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440101-2023-01617</w:t>
      </w:r>
    </w:p>
    <w:p>
      <w:pPr>
        <w:jc w:val="center"/>
      </w:pPr>
      <w:r>
        <w:rPr>
          <w:b/>
          <w:sz w:val="24"/>
        </w:rPr>
        <w:t>采购项目编号：</w:t>
      </w:r>
      <w:r>
        <w:rPr>
          <w:b/>
          <w:sz w:val="24"/>
        </w:rPr>
        <w:t>440101-2023-01617</w:t>
      </w:r>
    </w:p>
    <w:p>
      <w:pPr>
        <w:jc w:val="center"/>
      </w:pPr>
      <w:r>
        <w:rPr>
          <w:b/>
          <w:sz w:val="24"/>
        </w:rPr>
        <w:t>项目名称：</w:t>
      </w:r>
      <w:r>
        <w:rPr>
          <w:b/>
          <w:sz w:val="24"/>
        </w:rPr>
        <w:t>广州市重点河涌问题台账更新与整治效果跟踪评估</w:t>
      </w:r>
    </w:p>
    <w:p>
      <w:pPr>
        <w:jc w:val="center"/>
      </w:pPr>
      <w:r>
        <w:rPr>
          <w:b/>
          <w:sz w:val="24"/>
        </w:rPr>
        <w:t>采购人：</w:t>
      </w:r>
      <w:r>
        <w:rPr>
          <w:b/>
          <w:sz w:val="24"/>
        </w:rPr>
        <w:t>广州市城市排水监测站</w:t>
      </w:r>
    </w:p>
    <w:p>
      <w:pPr>
        <w:jc w:val="center"/>
      </w:pPr>
      <w:r>
        <w:rPr>
          <w:b/>
          <w:sz w:val="24"/>
        </w:rPr>
        <w:t>采购代理机构：</w:t>
      </w:r>
      <w:r>
        <w:rPr>
          <w:b/>
          <w:sz w:val="24"/>
        </w:rPr>
        <w:t>广东志正招标有限公司</w:t>
      </w:r>
    </w:p>
    <w:p>
      <w:pPr>
        <w:ind w:firstLine="480"/>
      </w:pPr>
    </w:p>
    <w:p>
      <w:r>
        <w:rPr/>
        <w:t xml:space="preserve"> </w:t>
      </w:r>
    </w:p>
    <w:p/>
    <w:p>
      <w:pPr>
        <w:jc w:val="center"/>
      </w:pPr>
      <w:r>
        <w:rPr>
          <w:b/>
          <w:sz w:val="36"/>
        </w:rPr>
        <w:t>第一章投标邀请</w:t>
      </w:r>
    </w:p>
    <w:p>
      <w:pPr>
        <w:ind w:firstLine="480"/>
      </w:pPr>
      <w:r>
        <w:rPr/>
        <w:t>广东志正招标有限公司</w:t>
      </w:r>
      <w:r>
        <w:rPr/>
        <w:t>受</w:t>
      </w:r>
      <w:r>
        <w:rPr/>
        <w:t>广州市城市排水监测站</w:t>
      </w:r>
      <w:r>
        <w:rPr/>
        <w:t>的委托，采用</w:t>
      </w:r>
      <w:r>
        <w:rPr/>
        <w:t>公开招标</w:t>
      </w:r>
      <w:r>
        <w:rPr/>
        <w:t>方式组织采购</w:t>
      </w:r>
      <w:r>
        <w:rPr/>
        <w:t>广州市重点河涌问题台账更新与整治效果跟踪评估</w:t>
      </w:r>
      <w:r>
        <w:rPr/>
        <w:t>。欢迎符合资格条件的国内供应商参加投标。</w:t>
      </w:r>
    </w:p>
    <w:p>
      <w:r>
        <w:rPr>
          <w:b/>
          <w:sz w:val="28"/>
        </w:rPr>
        <w:t>一.项目概述</w:t>
      </w:r>
    </w:p>
    <w:p>
      <w:r>
        <w:rPr>
          <w:b/>
          <w:sz w:val="24"/>
        </w:rPr>
        <w:t>1.名称与编号</w:t>
      </w:r>
    </w:p>
    <w:p>
      <w:pPr>
        <w:ind w:firstLine="480"/>
      </w:pPr>
      <w:r>
        <w:rPr/>
        <w:t>项目名称：</w:t>
      </w:r>
      <w:r>
        <w:rPr/>
        <w:t>广州市重点河涌问题台账更新与整治效果跟踪评估</w:t>
      </w:r>
    </w:p>
    <w:p>
      <w:pPr>
        <w:ind w:firstLine="480"/>
      </w:pPr>
      <w:r>
        <w:rPr/>
        <w:t>采购计划编号：</w:t>
      </w:r>
      <w:r>
        <w:rPr/>
        <w:t>440101-2023-01617</w:t>
      </w:r>
    </w:p>
    <w:p>
      <w:pPr>
        <w:ind w:firstLine="480"/>
      </w:pPr>
      <w:r>
        <w:rPr/>
        <w:t>采购项目编号：</w:t>
      </w:r>
      <w:r>
        <w:rPr/>
        <w:t>440101-2023-01617</w:t>
      </w:r>
    </w:p>
    <w:p>
      <w:pPr>
        <w:ind w:firstLine="480"/>
      </w:pPr>
      <w:r>
        <w:rPr/>
        <w:t>采购方式：</w:t>
      </w:r>
      <w:r>
        <w:rPr/>
        <w:t>公开招标</w:t>
      </w:r>
    </w:p>
    <w:p>
      <w:pPr>
        <w:ind w:firstLine="480"/>
      </w:pPr>
      <w:r>
        <w:rPr/>
        <w:t>预算金额：</w:t>
      </w:r>
      <w:r>
        <w:rPr/>
        <w:t>2,470,200.00</w:t>
      </w:r>
      <w:r>
        <w:rPr/>
        <w:t>元</w:t>
      </w:r>
    </w:p>
    <w:p>
      <w:r>
        <w:rPr>
          <w:b/>
          <w:sz w:val="24"/>
        </w:rPr>
        <w:t>2.项目内容及需求情况（采购项目技术规格、参数及要求）</w:t>
      </w:r>
    </w:p>
    <w:p>
      <w:pPr>
        <w:ind w:firstLine="480"/>
      </w:pPr>
    </w:p>
    <w:p/>
    <w:p>
      <w:r>
        <w:rPr/>
        <w:t>采购包1(广州市重点河涌问题台账更新与整治效果跟踪评估):</w:t>
      </w:r>
    </w:p>
    <w:p>
      <w:r>
        <w:rPr/>
        <w:t>采购包预算金额：2,470,200.00元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其他生态环境治理服务</w:t>
            </w:r>
          </w:p>
        </w:tc>
        <w:tc>
          <w:tcPr>
            <w:tcW w:type="dxa" w:w="2136"/>
          </w:tcPr>
          <w:p>
            <w:r>
              <w:rPr/>
              <w:t>本招标项目主要针对广州市197条达到“长制久清”的河涌。197条河涌清单以外，如存在群众投诉集中、反映强烈的或被上级部门巡查、遥感等方式发现问题的河涌（水体），亦将纳入跟踪评估范围。服务期限为12个月。</w:t>
            </w:r>
          </w:p>
        </w:tc>
        <w:tc>
          <w:tcPr>
            <w:tcW w:type="dxa" w:w="1187"/>
          </w:tcPr>
          <w:p>
            <w:r>
              <w:rPr/>
              <w:t>1.00(项)</w:t>
            </w:r>
          </w:p>
        </w:tc>
        <w:tc>
          <w:tcPr>
            <w:tcW w:type="dxa" w:w="1187"/>
          </w:tcPr>
          <w:p>
            <w:r>
              <w:rPr/>
              <w:t>详见第二章</w:t>
            </w:r>
          </w:p>
        </w:tc>
        <w:tc>
          <w:tcPr>
            <w:tcW w:type="dxa" w:w="1187"/>
          </w:tcPr>
          <w:p>
            <w:r>
              <w:rPr/>
              <w:t>否</w:t>
            </w:r>
          </w:p>
        </w:tc>
      </w:tr>
    </w:tbl>
    <w:p/>
    <w:p>
      <w:r>
        <w:rPr/>
        <w:t>本采购包接受联合体投标</w:t>
      </w:r>
    </w:p>
    <w:p/>
    <w:p>
      <w:r>
        <w:rPr/>
        <w:t>合同履行期限：自合同签订之日起12个月。</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2）有依法缴纳税收和社会保障资金的良好记录：有依法缴纳税收和社会保障资金的良好记录，提供签署及盖章合格的投标函。</w:t>
      </w:r>
    </w:p>
    <w:p/>
    <w:p>
      <w:r>
        <w:rPr/>
        <w:t>3）具有良好的商业信誉和健全的财务会计制度：具有良好的商业信誉和健全的财务会计制度，提供签署及盖章合格的投标函。</w:t>
      </w:r>
    </w:p>
    <w:p/>
    <w:p>
      <w:r>
        <w:rPr/>
        <w:t>4）履行合同所必需的设备和专业技术能力：具有履行合同所必需的设备和专业技术能力，提供签署及盖章合格的投标函。</w:t>
      </w:r>
    </w:p>
    <w:p/>
    <w:p>
      <w:r>
        <w:rPr/>
        <w:t>5）参加采购活动前3年内，在经营活动中没有重大违法记录：参加政府采购活动前三年内，在经营活动中没有重大违法记录，提供签署及盖章合格的投标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w:t>
      </w:r>
    </w:p>
    <w:p/>
    <w:p>
      <w:r>
        <w:rPr>
          <w:b/>
          <w:sz w:val="24"/>
        </w:rPr>
        <w:t>2.落实政府采购政策需满足的资格要求：</w:t>
      </w:r>
    </w:p>
    <w:p>
      <w:pPr>
        <w:ind w:firstLine="480"/>
      </w:pPr>
    </w:p>
    <w:p>
      <w:pPr>
        <w:jc w:val="left"/>
      </w:pPr>
    </w:p>
    <w:p>
      <w:r>
        <w:rPr/>
        <w:t>采购包1（广州市重点河涌问题台账更新与整治效果跟踪评估）：</w:t>
      </w:r>
      <w:r>
        <w:rPr/>
        <w:t>本项目不属于专门面向中小企业采购的项目。</w:t>
      </w:r>
    </w:p>
    <w:p/>
    <w:p>
      <w:r>
        <w:rPr>
          <w:b/>
          <w:sz w:val="24"/>
        </w:rPr>
        <w:t>3.本项目特定的资格要求：</w:t>
      </w:r>
    </w:p>
    <w:p>
      <w:pPr>
        <w:ind w:firstLine="480"/>
      </w:pPr>
    </w:p>
    <w:p/>
    <w:p>
      <w:r>
        <w:rPr/>
        <w:t>采购包1（广州市重点河涌问题台账更新与整治效果跟踪评估）：</w:t>
      </w:r>
    </w:p>
    <w:p/>
    <w:p>
      <w:r>
        <w:rPr/>
        <w:t>1)①未列入失信被执行人、重大税收违法失信主体、政府采购严重违法失信行为记录名单的供应商（以开标当日资格审查人员在“信用中国”网站（www.creditchina.gov.cn）、中国政府采购网（www.ccgp.gov.cn）的查询结果为准；处罚期限届满的除外。如“信用中国”网站查询结果显示“没有找到您搜索的企业”或“没有找到您搜索数据”，视为没有上述三类不良信用记录）。②若投标人具有分公司的，其所属分公司有上述不良信用记录的，视同该投标人存在不良信用记录。③若投标人为分公司的，其所属总公司（总所）存在上述不良信用记录的，视同该分公司存在不良信用记录。</w:t>
      </w:r>
    </w:p>
    <w:p/>
    <w:p>
      <w:r>
        <w:rPr/>
        <w:t>2)不得参与同一采购项目竞争的供应商（提供签署及盖章合格的投标函）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p/>
    <w:p>
      <w:r>
        <w:rPr/>
        <w:t>3)本项目接受联合体投标。</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广东志正招标有限公司（https://www.zztender.com/）</w:t>
      </w:r>
      <w:r>
        <w:rPr/>
        <w:t>。</w:t>
      </w:r>
    </w:p>
    <w:p>
      <w:r>
        <w:rPr>
          <w:b/>
          <w:sz w:val="28"/>
        </w:rPr>
        <w:t>六.本项目联系方式：</w:t>
      </w:r>
    </w:p>
    <w:p>
      <w:r>
        <w:rPr>
          <w:b/>
          <w:sz w:val="24"/>
        </w:rPr>
        <w:t>1.采购人信息</w:t>
      </w:r>
    </w:p>
    <w:p>
      <w:pPr>
        <w:ind w:firstLine="480"/>
      </w:pPr>
      <w:r>
        <w:rPr/>
        <w:t>名称：</w:t>
      </w:r>
      <w:r>
        <w:rPr/>
        <w:t>广州市城市排水监测站</w:t>
      </w:r>
    </w:p>
    <w:p>
      <w:pPr>
        <w:ind w:firstLine="480"/>
      </w:pPr>
      <w:r>
        <w:rPr/>
        <w:t>地址：</w:t>
      </w:r>
      <w:r>
        <w:rPr/>
        <w:t>广州市越秀区站南路15号之一</w:t>
      </w:r>
    </w:p>
    <w:p>
      <w:pPr>
        <w:ind w:firstLine="480"/>
      </w:pPr>
      <w:r>
        <w:rPr/>
        <w:t>联系方式：</w:t>
      </w:r>
      <w:r>
        <w:rPr/>
        <w:t>020-86670043</w:t>
      </w:r>
    </w:p>
    <w:p>
      <w:r>
        <w:rPr>
          <w:b/>
          <w:sz w:val="24"/>
        </w:rPr>
        <w:t>2.采购代理机构信息</w:t>
      </w:r>
    </w:p>
    <w:p>
      <w:pPr>
        <w:ind w:firstLine="480"/>
      </w:pPr>
      <w:r>
        <w:rPr/>
        <w:t>名称：</w:t>
      </w:r>
      <w:r>
        <w:rPr/>
        <w:t>广东志正招标有限公司</w:t>
      </w:r>
    </w:p>
    <w:p>
      <w:pPr>
        <w:ind w:firstLine="480"/>
      </w:pPr>
      <w:r>
        <w:rPr/>
        <w:t>地址：</w:t>
      </w:r>
      <w:r>
        <w:rPr/>
        <w:t>广东省广州市天河区龙怡路117号5楼</w:t>
      </w:r>
    </w:p>
    <w:p>
      <w:pPr>
        <w:ind w:firstLine="480"/>
      </w:pPr>
      <w:r>
        <w:rPr/>
        <w:t>联系方式：</w:t>
      </w:r>
      <w:r>
        <w:rPr/>
        <w:t>020-85165610</w:t>
      </w:r>
    </w:p>
    <w:p>
      <w:r>
        <w:rPr>
          <w:b/>
          <w:sz w:val="24"/>
        </w:rPr>
        <w:t>3.项目联系方式</w:t>
      </w:r>
    </w:p>
    <w:p>
      <w:pPr>
        <w:ind w:firstLine="480"/>
      </w:pPr>
      <w:r>
        <w:rPr/>
        <w:t>项目联系人：</w:t>
      </w:r>
      <w:r>
        <w:rPr/>
        <w:t>滕小姐</w:t>
      </w:r>
    </w:p>
    <w:p>
      <w:pPr>
        <w:ind w:firstLine="480"/>
      </w:pPr>
      <w:r>
        <w:rPr/>
        <w:t>电话：</w:t>
      </w:r>
      <w:r>
        <w:rPr/>
        <w:t>020-85165610</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广东志正招标有限公司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4"/>
        </w:rPr>
        <w:t>说明：</w:t>
      </w:r>
    </w:p>
    <w:p>
      <w:pPr>
        <w:jc w:val="both"/>
      </w:pPr>
      <w:r>
        <w:rPr>
          <w:sz w:val="21"/>
        </w:rPr>
        <w:t>1</w:t>
      </w:r>
      <w:r>
        <w:rPr>
          <w:sz w:val="21"/>
        </w:rPr>
        <w:t>、投标人须对本项目为单位（有划分包组的，则以包组为单位）的标的物进行整体投标，任何只对其中一部分内容进行的投标都被视为无效投标。</w:t>
      </w:r>
    </w:p>
    <w:p>
      <w:pPr>
        <w:jc w:val="both"/>
      </w:pPr>
      <w:r>
        <w:rPr>
          <w:sz w:val="21"/>
        </w:rPr>
        <w:t>2</w:t>
      </w:r>
      <w:r>
        <w:rPr>
          <w:sz w:val="21"/>
        </w:rPr>
        <w:t>、本招标文件中，凡标有“★”的地方，投标人要特别加以注意，必须对此作出一一响应。若有一项带“★”的指标未响应或不满足，将导致其废标或投标无效。</w:t>
      </w:r>
    </w:p>
    <w:p>
      <w:pPr>
        <w:jc w:val="both"/>
      </w:pPr>
      <w:r>
        <w:rPr>
          <w:sz w:val="21"/>
        </w:rPr>
        <w:t>3</w:t>
      </w:r>
      <w:r>
        <w:rPr>
          <w:sz w:val="21"/>
        </w:rPr>
        <w:t>、落实政府采购政策需满足的资格要求：</w:t>
      </w:r>
      <w:r>
        <w:rPr>
          <w:b/>
          <w:sz w:val="21"/>
          <w:u w:val="single"/>
        </w:rPr>
        <w:t>本项目不属于专门面向中小企业采购的项目。</w:t>
      </w:r>
    </w:p>
    <w:p>
      <w:pPr>
        <w:jc w:val="both"/>
      </w:pPr>
      <w:r>
        <w:rPr>
          <w:sz w:val="21"/>
        </w:rPr>
        <w:t>4</w:t>
      </w:r>
      <w:r>
        <w:rPr>
          <w:sz w:val="21"/>
        </w:rPr>
        <w:t>、中小企业声明函中，</w:t>
      </w:r>
      <w:r>
        <w:rPr>
          <w:b/>
          <w:sz w:val="21"/>
          <w:u w:val="single"/>
        </w:rPr>
        <w:t>本项目广州市重点河涌问题台账更新与整治效果跟踪评估</w:t>
      </w:r>
      <w:r>
        <w:rPr>
          <w:sz w:val="21"/>
        </w:rPr>
        <w:t xml:space="preserve"> 属于</w:t>
      </w:r>
      <w:r>
        <w:rPr>
          <w:sz w:val="21"/>
          <w:u w:val="single"/>
        </w:rPr>
        <w:t xml:space="preserve">  </w:t>
      </w:r>
      <w:r>
        <w:rPr>
          <w:b/>
          <w:sz w:val="21"/>
          <w:u w:val="single"/>
        </w:rPr>
        <w:t>其他未列明行业</w:t>
      </w:r>
      <w:r>
        <w:rPr>
          <w:sz w:val="21"/>
          <w:u w:val="single"/>
        </w:rPr>
        <w:t xml:space="preserve">   </w:t>
      </w:r>
      <w:r>
        <w:rPr>
          <w:sz w:val="21"/>
        </w:rPr>
        <w:t>行业。</w:t>
      </w:r>
    </w:p>
    <w:p/>
    <w:p>
      <w:pPr>
        <w:ind w:firstLine="480"/>
      </w:pPr>
    </w:p>
    <w:p/>
    <w:p>
      <w:r>
        <w:rPr/>
        <w:t>采购包1（广州市重点河涌问题台账更新与整治效果跟踪评估）</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自合同签订之日起12个月</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1期：支付比例100%,1.本项目采用分期付款方式，具体支付时间及金额如下。 ①中标人于签订合同后提交整体工作方案，通过验收后采购人支付合同总价30%的款项。 ②采购人于2024年4月对项目进行整体验收，通过验收后采购人支付合同尾款。每次实际支付服务费=应支全额服务费-阶段考核扣减服务费总和。 2.具体付款时间为采购人向政府采购支付部门提出的支付申请的时间（不含政府财政支付部门审查的时间）。采购人有权根据财政资金批复情况，调整付款时间和金额。 3.每次实际支付服务费=应支全额服务费-阶段考核扣减服务费总和。当阶段考核扣减服务费总和大于应支全额服务费时，当次未扣减部分将在下次验收时继续扣减。 4.按照市财政下达的部门预算计划执行，若无部门预算计划，则服务中断或终止。若中标金额低于财政下达的部门预算计划时，以中标金额作为合同价；若中标金额高于财政下达的部门预算计划时，则以财政下达的部门预算计划作为合同价。 5.项目实施过程中，如有变更，由双方协商解决并签订书面补充协议，如协商不成的，则按合同第九条解决。 6.本项目如需进行财政评审确认合同结算价款的，则以市财政评审结算价为准。如本项目当年纳入审计，本项目的最终结算价以财政审计结算价为准。中标人申请付款时应先提供符合要求的正式发票给采购人作请款之用，中标人未及时提供发票导致付款迟延,由中标人自行承担不利后果。 7.中标人开户银行名称、地址和账号： 开户银行：                     收款单位：                     银行账号：                     付款方式：采用支票、银行汇付（含电汇）等形式。 中标人申请付款时应先提供符合要求的正式发票给采购人作请款之用，中标人未及时提供发票导致付款迟延,由中标人自行承担不利后果。 注：鉴于本项目资金来源为财政资金并通过广州市财政集中支付方式进行支付，双方同意，本合同中采购人的付款节点为采购人完成付款资料审查并向政府财政部门提出支付申请的时间，具体到账时间以政府财政支付部门实际支付时间为准。当采购人在上述约定付款时间内完成前述申请付款工作，即视为采购人已依约完成本合同约定的付款义务，若因政府财政支付部门原因延迟实际付款时间的，不视为采购人违约，中标人应依约继续履行本合同义务，不能以此为借口拒绝履约。</w:t>
            </w:r>
          </w:p>
        </w:tc>
      </w:tr>
      <w:tr>
        <w:tc>
          <w:tcPr>
            <w:tcW w:type="dxa" w:w="4153"/>
          </w:tcPr>
          <w:p>
            <w:r>
              <w:rPr/>
              <w:t>验收要求</w:t>
            </w:r>
          </w:p>
        </w:tc>
        <w:tc>
          <w:tcPr>
            <w:tcW w:type="dxa" w:w="4153"/>
          </w:tcPr>
          <w:p/>
          <w:p/>
          <w:p/>
          <w:p>
            <w:r>
              <w:rPr/>
              <w:t>1期：1、项目成果资料：该项目的成果报告、工作报告、检查台账等文档资料和电子资料（详按本项目“项目成果要求”项执行）。 2、中标人组织召开项目验收会，对在服务期内所提交的各项成果资料进行清点和审核。项目验收会费用包含在合同总价内。</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其他生态环境治理服务</w:t>
            </w:r>
          </w:p>
        </w:tc>
        <w:tc>
          <w:tcPr>
            <w:tcW w:type="dxa" w:w="933"/>
          </w:tcPr>
          <w:p>
            <w:pPr>
              <w:jc w:val="left"/>
            </w:pPr>
            <w:r>
              <w:rPr/>
              <w:t>本招标项目主要针对广州市197条达到“长制久清”的河涌。197条河涌清单以外，如存在群众投诉集中、反映强烈的或被上级部门巡查、遥感等方式发现问题的河涌（水体），亦将纳入跟踪评估范围。服务期限为12个月。</w:t>
            </w:r>
          </w:p>
        </w:tc>
        <w:tc>
          <w:tcPr>
            <w:tcW w:type="dxa" w:w="933"/>
          </w:tcPr>
          <w:p>
            <w:pPr>
              <w:jc w:val="left"/>
            </w:pPr>
            <w:r>
              <w:rPr/>
              <w:t>项</w:t>
            </w:r>
          </w:p>
        </w:tc>
        <w:tc>
          <w:tcPr>
            <w:tcW w:type="dxa" w:w="933"/>
          </w:tcPr>
          <w:p>
            <w:pPr>
              <w:jc w:val="right"/>
            </w:pPr>
            <w:r>
              <w:rPr/>
              <w:t>1.00</w:t>
            </w:r>
          </w:p>
        </w:tc>
        <w:tc>
          <w:tcPr>
            <w:tcW w:type="dxa" w:w="933"/>
          </w:tcPr>
          <w:p>
            <w:pPr>
              <w:jc w:val="right"/>
            </w:pPr>
            <w:r>
              <w:rPr/>
              <w:t>2,470,200.00</w:t>
            </w:r>
          </w:p>
        </w:tc>
        <w:tc>
          <w:tcPr>
            <w:tcW w:type="dxa" w:w="933"/>
          </w:tcPr>
          <w:p>
            <w:pPr>
              <w:jc w:val="right"/>
            </w:pPr>
            <w:r>
              <w:rPr/>
              <w:t>2,470,200.00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本招标项目主要针对广州市197条达到“长制久清”的河涌。197条河涌清单以外，如存在群众投诉集中、反映强烈的或被上级部门巡查、遥感等方式发现问题的河涌（水体），亦将纳入跟踪评估范围。服务期限为12个月。</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0"/>
              <w:jc w:val="both"/>
            </w:pPr>
            <w:r>
              <w:rPr>
                <w:sz w:val="21"/>
              </w:rPr>
              <w:t>1.</w:t>
            </w:r>
            <w:r>
              <w:rPr>
                <w:sz w:val="21"/>
              </w:rPr>
              <w:t>项目基本情况</w:t>
            </w:r>
          </w:p>
          <w:p>
            <w:pPr>
              <w:ind w:firstLine="420"/>
              <w:jc w:val="both"/>
            </w:pPr>
            <w:r>
              <w:rPr>
                <w:sz w:val="21"/>
              </w:rPr>
              <w:t>根据《广州市河长制办公室关于开展重点整治河涌跟踪评估专项行动的通知》要求，为巩固城市黑臭水体治理剿灭战的成果，了解掌握197条“长制久清”河涌效果保持情况与存在问题，有序采取针对性措施，实现水环境质量的持续改善，确保黑臭水体整治成效顺利通过中央生态环境保护督察的检验，现针对全市重点整治河涌开展跟踪评估专项行动。</w:t>
            </w:r>
          </w:p>
          <w:p>
            <w:pPr>
              <w:ind w:firstLine="420"/>
              <w:jc w:val="both"/>
            </w:pPr>
            <w:r>
              <w:rPr>
                <w:sz w:val="21"/>
              </w:rPr>
              <w:t>2.</w:t>
            </w:r>
            <w:r>
              <w:rPr>
                <w:sz w:val="21"/>
              </w:rPr>
              <w:t>项目内容</w:t>
            </w:r>
          </w:p>
          <w:p>
            <w:pPr>
              <w:ind w:firstLine="420"/>
              <w:jc w:val="both"/>
            </w:pPr>
            <w:r>
              <w:rPr>
                <w:sz w:val="21"/>
              </w:rPr>
              <w:t>本招标项目主要针对广州市197条达到“长制久清”的河涌。197条河涌清单以外，如存在群众投诉集中、反映强烈的或被上级部门巡查、遥感等方式发现问题的河涌（水体），亦将纳入跟踪评估范围。服务期限为12个月。</w:t>
            </w:r>
          </w:p>
          <w:p>
            <w:pPr>
              <w:ind w:firstLine="420"/>
              <w:jc w:val="both"/>
            </w:pPr>
            <w:r>
              <w:rPr>
                <w:sz w:val="21"/>
              </w:rPr>
              <w:t>3.</w:t>
            </w:r>
            <w:r>
              <w:rPr>
                <w:sz w:val="21"/>
              </w:rPr>
              <w:t>项目要求</w:t>
            </w:r>
          </w:p>
          <w:p>
            <w:pPr>
              <w:ind w:firstLine="420"/>
              <w:jc w:val="both"/>
            </w:pPr>
            <w:r>
              <w:rPr>
                <w:sz w:val="21"/>
              </w:rPr>
              <w:t>3.1</w:t>
            </w:r>
            <w:r>
              <w:rPr>
                <w:sz w:val="21"/>
              </w:rPr>
              <w:t>工作内容</w:t>
            </w:r>
          </w:p>
          <w:p>
            <w:pPr>
              <w:ind w:firstLine="420"/>
              <w:jc w:val="both"/>
            </w:pPr>
            <w:r>
              <w:rPr>
                <w:sz w:val="21"/>
              </w:rPr>
              <w:t>3.1.1</w:t>
            </w:r>
            <w:r>
              <w:rPr>
                <w:sz w:val="21"/>
              </w:rPr>
              <w:t>重点河涌问题台账更新与整治效果跟踪评估</w:t>
            </w:r>
          </w:p>
          <w:p>
            <w:pPr>
              <w:ind w:firstLine="420"/>
              <w:jc w:val="both"/>
            </w:pPr>
            <w:r>
              <w:rPr>
                <w:sz w:val="21"/>
              </w:rPr>
              <w:t>3.1.1.1</w:t>
            </w:r>
            <w:r>
              <w:rPr>
                <w:sz w:val="21"/>
              </w:rPr>
              <w:t>河涌筛选</w:t>
            </w:r>
          </w:p>
          <w:p>
            <w:pPr>
              <w:ind w:firstLine="420"/>
              <w:jc w:val="both"/>
            </w:pPr>
            <w:r>
              <w:rPr>
                <w:sz w:val="21"/>
              </w:rPr>
              <w:t>根据《城市黑臭水体整治工作指南》（以下简称《指南》）中城市黑臭水体分级指标和污染程度分级标准相关要求，结合每月水质监测结果及各级政府或部门通报以及群众投诉等情况，每个季度筛选水质较差的或水质波动较大的河涌作为该季度现场巡查的目标河涌，合同期内共抽取不少于160条（次）河涌，具体数量以实际需求为准。</w:t>
            </w:r>
          </w:p>
          <w:p>
            <w:pPr>
              <w:ind w:firstLine="420"/>
              <w:jc w:val="both"/>
            </w:pPr>
            <w:r>
              <w:rPr>
                <w:sz w:val="21"/>
              </w:rPr>
              <w:t>3.1.1.2</w:t>
            </w:r>
            <w:r>
              <w:rPr>
                <w:sz w:val="21"/>
              </w:rPr>
              <w:t>现场巡查</w:t>
            </w:r>
          </w:p>
          <w:p>
            <w:pPr>
              <w:ind w:firstLine="420"/>
              <w:jc w:val="both"/>
            </w:pPr>
            <w:r>
              <w:rPr>
                <w:sz w:val="21"/>
              </w:rPr>
              <w:t>参照《城市黑臭水体治理核查工作手册》相关要求，每季度对抽取的目标河涌开展现场巡查，主要核查河涌控源截污、垃圾清理、内源治理、生态修复方面的整治效果与河涌水质达标情况。其中：</w:t>
            </w:r>
          </w:p>
          <w:p>
            <w:pPr>
              <w:ind w:firstLine="420"/>
              <w:jc w:val="both"/>
            </w:pPr>
            <w:r>
              <w:rPr>
                <w:sz w:val="21"/>
              </w:rPr>
              <w:t>（1）控源截污方面要求沿河（湖）污水收集处理体系基本建成并有效运行；</w:t>
            </w:r>
          </w:p>
          <w:p>
            <w:pPr>
              <w:ind w:firstLine="420"/>
              <w:jc w:val="both"/>
            </w:pPr>
            <w:r>
              <w:rPr>
                <w:sz w:val="21"/>
              </w:rPr>
              <w:t>（2）垃圾清理方面要求沿河（湖）垃圾收集、转运及处理处置措施有效落实；</w:t>
            </w:r>
          </w:p>
          <w:p>
            <w:pPr>
              <w:ind w:firstLine="420"/>
              <w:jc w:val="both"/>
            </w:pPr>
            <w:r>
              <w:rPr>
                <w:sz w:val="21"/>
              </w:rPr>
              <w:t>（3）内源治理方面要求河涌底泥内源污染得到有效控制，清淤后底泥需得到安全处理处置。</w:t>
            </w:r>
          </w:p>
          <w:p>
            <w:pPr>
              <w:ind w:firstLine="420"/>
              <w:jc w:val="both"/>
            </w:pPr>
            <w:r>
              <w:rPr>
                <w:sz w:val="21"/>
              </w:rPr>
              <w:t>3.1.1.3</w:t>
            </w:r>
            <w:r>
              <w:rPr>
                <w:sz w:val="21"/>
              </w:rPr>
              <w:t>水质监测</w:t>
            </w:r>
          </w:p>
          <w:p>
            <w:pPr>
              <w:ind w:firstLine="420"/>
              <w:jc w:val="both"/>
            </w:pPr>
            <w:r>
              <w:rPr>
                <w:sz w:val="21"/>
              </w:rPr>
              <w:t>现场核查同步开展水质监测，监测步骤及方法参照《城市黑臭水体整治工作指南》。原则上，晴天直接开展水质监测，小雨雨停后、中雨雨停48小时后、大雨及以上雨停72小时后开展水质监测。（降雨量等级划分参照GB/T 28592-2012）</w:t>
            </w:r>
          </w:p>
          <w:p>
            <w:pPr>
              <w:ind w:firstLine="420"/>
              <w:jc w:val="both"/>
            </w:pPr>
            <w:r>
              <w:rPr>
                <w:sz w:val="21"/>
              </w:rPr>
              <w:t>水质监测结果需符合《指南》关于基本消除水体黑臭的指标要求，即每条河涌氨氮、溶解氧、透明度、氧化还原电位四项指标的所有采样点的监测结果的算术平均值均需达到不黑不臭标准。</w:t>
            </w:r>
          </w:p>
          <w:p>
            <w:pPr>
              <w:ind w:firstLine="420"/>
              <w:jc w:val="both"/>
            </w:pPr>
            <w:r>
              <w:rPr>
                <w:sz w:val="21"/>
              </w:rPr>
              <w:t>3.1.1.4</w:t>
            </w:r>
            <w:r>
              <w:rPr>
                <w:sz w:val="21"/>
              </w:rPr>
              <w:t>编制报告</w:t>
            </w:r>
          </w:p>
          <w:p>
            <w:pPr>
              <w:ind w:firstLine="420"/>
              <w:jc w:val="both"/>
            </w:pPr>
            <w:r>
              <w:rPr>
                <w:sz w:val="21"/>
              </w:rPr>
              <w:t>每季度巡查工作完成后，</w:t>
            </w:r>
            <w:r>
              <w:rPr>
                <w:sz w:val="21"/>
              </w:rPr>
              <w:t>结合现场巡查问题清单与水质检测结果，对河涌整治效果进行综合分析与评价，编制《广州市重点整治河涌跟踪评估抽查巡查报告》。</w:t>
            </w:r>
          </w:p>
          <w:p>
            <w:pPr>
              <w:ind w:firstLine="210"/>
              <w:jc w:val="both"/>
            </w:pPr>
            <w:r>
              <w:rPr>
                <w:sz w:val="21"/>
              </w:rPr>
              <w:t>按照采购人要求编制相关的专项分析报告等。</w:t>
            </w:r>
          </w:p>
          <w:p>
            <w:pPr>
              <w:ind w:firstLine="420"/>
              <w:jc w:val="both"/>
            </w:pPr>
            <w:r>
              <w:rPr>
                <w:sz w:val="21"/>
              </w:rPr>
              <w:t>3.1.2</w:t>
            </w:r>
            <w:r>
              <w:rPr>
                <w:sz w:val="21"/>
              </w:rPr>
              <w:t>重点河涌雨季水质影响分析</w:t>
            </w:r>
          </w:p>
          <w:p>
            <w:pPr>
              <w:ind w:firstLine="420"/>
              <w:jc w:val="both"/>
            </w:pPr>
            <w:r>
              <w:rPr>
                <w:sz w:val="21"/>
              </w:rPr>
              <w:t>为了解降水过程河涌的水质变化特征，于广州市汛期期间，选取不少于30条重点河涌，对照例行监测和降雨过程的水质监测结果，开展河涌和控源截污和垃圾清理等现场情况巡查。对比降水对河涌的水质影响程度，探究其原因和特点，为后续的水质提升和监控管理提供支持。</w:t>
            </w:r>
          </w:p>
          <w:p>
            <w:pPr>
              <w:ind w:firstLine="420"/>
              <w:jc w:val="both"/>
            </w:pPr>
            <w:r>
              <w:rPr>
                <w:sz w:val="21"/>
              </w:rPr>
              <w:t>3.1.2.1</w:t>
            </w:r>
            <w:r>
              <w:rPr>
                <w:sz w:val="21"/>
              </w:rPr>
              <w:t>河涌选择</w:t>
            </w:r>
          </w:p>
          <w:p>
            <w:pPr>
              <w:ind w:firstLine="420"/>
              <w:jc w:val="both"/>
            </w:pPr>
            <w:r>
              <w:rPr>
                <w:sz w:val="21"/>
              </w:rPr>
              <w:t>选择广州市内代表性30条河涌，包括河网区河涌/非河网区河涌、感潮河涌/非感潮河涌。</w:t>
            </w:r>
          </w:p>
          <w:p>
            <w:pPr>
              <w:ind w:firstLine="420"/>
              <w:jc w:val="both"/>
            </w:pPr>
            <w:r>
              <w:rPr>
                <w:sz w:val="21"/>
              </w:rPr>
              <w:t>3.1.2.2</w:t>
            </w:r>
            <w:r>
              <w:rPr>
                <w:sz w:val="21"/>
              </w:rPr>
              <w:t>监测指标</w:t>
            </w:r>
          </w:p>
          <w:p>
            <w:pPr>
              <w:ind w:firstLine="420"/>
              <w:jc w:val="both"/>
            </w:pPr>
            <w:r>
              <w:rPr>
                <w:sz w:val="21"/>
              </w:rPr>
              <w:t>监测30条河涌晴天、雨中和雨后的水质情况，监测指标为氨氮、COD、总磷。</w:t>
            </w:r>
          </w:p>
          <w:p>
            <w:pPr>
              <w:ind w:firstLine="420"/>
              <w:jc w:val="both"/>
            </w:pPr>
            <w:r>
              <w:rPr>
                <w:sz w:val="21"/>
              </w:rPr>
              <w:t>3.1.2.3</w:t>
            </w:r>
            <w:r>
              <w:rPr>
                <w:sz w:val="21"/>
              </w:rPr>
              <w:t>现场巡查</w:t>
            </w:r>
          </w:p>
          <w:p>
            <w:pPr>
              <w:ind w:firstLine="420"/>
              <w:jc w:val="both"/>
            </w:pPr>
            <w:r>
              <w:rPr>
                <w:sz w:val="21"/>
              </w:rPr>
              <w:t>参照《城市黑臭水体治理核查工作手册》相关要求，主要核查河涌控源截污、垃圾清理、内源治理、生态修复方面的整治效果。</w:t>
            </w:r>
          </w:p>
          <w:p>
            <w:pPr>
              <w:ind w:firstLine="420"/>
              <w:jc w:val="both"/>
            </w:pPr>
            <w:r>
              <w:rPr>
                <w:sz w:val="21"/>
              </w:rPr>
              <w:t>3.1.2.4</w:t>
            </w:r>
            <w:r>
              <w:rPr>
                <w:sz w:val="21"/>
              </w:rPr>
              <w:t>编制报告</w:t>
            </w:r>
          </w:p>
          <w:p>
            <w:pPr>
              <w:ind w:firstLine="420"/>
              <w:jc w:val="both"/>
            </w:pPr>
            <w:r>
              <w:rPr>
                <w:sz w:val="21"/>
              </w:rPr>
              <w:t>对照例行监测和降雨过程的水质监测结果、现场情况巡查结果及在线监测数据，分析降水对河涌的水质影响程度，探究其原因和特点，完成《重点河涌雨季水质影响分析报告》。</w:t>
            </w:r>
          </w:p>
          <w:p>
            <w:pPr>
              <w:ind w:firstLine="420"/>
              <w:jc w:val="both"/>
            </w:pPr>
            <w:r>
              <w:rPr>
                <w:sz w:val="21"/>
              </w:rPr>
              <w:t>3.2</w:t>
            </w:r>
            <w:r>
              <w:rPr>
                <w:sz w:val="21"/>
              </w:rPr>
              <w:t>项目成果要求</w:t>
            </w:r>
          </w:p>
          <w:p>
            <w:pPr>
              <w:ind w:firstLine="420"/>
              <w:jc w:val="both"/>
            </w:pPr>
            <w:r>
              <w:rPr>
                <w:sz w:val="21"/>
              </w:rPr>
              <w:t>中标人要向采购人提交相关材料：①2023年6月15日、9月15日、12月15日、2024年3月15日前提交《广州市重点整治河涌跟踪评估抽查巡查报告》及现场巡查问题清单。②2024年1月15日前提交《广州市重点整治河涌跟踪评估抽查巡查项目年报》。③按要求提交《重点河涌雨季水质影响分析报告》。④视频图像资料、现场数据原始记录档案等内容。</w:t>
            </w:r>
          </w:p>
          <w:p>
            <w:pPr>
              <w:ind w:firstLine="420"/>
              <w:jc w:val="both"/>
            </w:pPr>
            <w:r>
              <w:rPr>
                <w:sz w:val="21"/>
              </w:rPr>
              <w:t>按照采购人时间和内容要求提交相关的专项分析报告。</w:t>
            </w:r>
          </w:p>
          <w:p>
            <w:pPr>
              <w:ind w:firstLine="420"/>
              <w:jc w:val="both"/>
            </w:pPr>
            <w:r>
              <w:rPr>
                <w:sz w:val="21"/>
              </w:rPr>
              <w:t>3.3</w:t>
            </w:r>
            <w:r>
              <w:rPr>
                <w:sz w:val="21"/>
              </w:rPr>
              <w:t>人员要求</w:t>
            </w:r>
          </w:p>
          <w:p>
            <w:pPr>
              <w:ind w:firstLine="420"/>
              <w:jc w:val="both"/>
            </w:pPr>
            <w:r>
              <w:rPr>
                <w:sz w:val="21"/>
              </w:rPr>
              <w:t>3.3.1</w:t>
            </w:r>
            <w:r>
              <w:rPr>
                <w:sz w:val="21"/>
              </w:rPr>
              <w:t>现场巡查工作组每组配备人员不得少于3名，包含2名中级工程师现场判定问题，1名助理工程师进行记录和拍照。现场采样工作组每组配备人员不得少于2名，且持有采样和现场检测人员技术上岗证。现场工作人员要熟悉采样方法、水样容器的洗涤、样品的保存技术。</w:t>
            </w:r>
          </w:p>
          <w:p>
            <w:pPr>
              <w:ind w:firstLine="420"/>
              <w:jc w:val="both"/>
            </w:pPr>
            <w:r>
              <w:rPr>
                <w:sz w:val="21"/>
              </w:rPr>
              <w:t>3.3.2</w:t>
            </w:r>
            <w:r>
              <w:rPr>
                <w:sz w:val="21"/>
              </w:rPr>
              <w:t>报告编制至少安排4位助理工程师、4位中级工程师、2位高级工程师，分别进行基础数据汇总与整理、数据分析与图表制作、报告编制、报告审核与修改。</w:t>
            </w:r>
          </w:p>
          <w:p>
            <w:pPr>
              <w:ind w:firstLine="420"/>
              <w:jc w:val="both"/>
            </w:pPr>
            <w:r>
              <w:rPr>
                <w:sz w:val="21"/>
              </w:rPr>
              <w:t>3.3.3</w:t>
            </w:r>
            <w:r>
              <w:rPr>
                <w:sz w:val="21"/>
              </w:rPr>
              <w:t>资料整理员不少于3名，负责后期数据的处理分析，编写《广州市重点整治河涌跟踪评估抽查巡查报告》《重点河涌雨季水质影响分析报告》及现场巡查问题清单。</w:t>
            </w:r>
          </w:p>
          <w:p>
            <w:pPr>
              <w:ind w:firstLine="420"/>
              <w:jc w:val="both"/>
            </w:pPr>
            <w:r>
              <w:rPr>
                <w:sz w:val="21"/>
              </w:rPr>
              <w:t>3.3.4</w:t>
            </w:r>
            <w:r>
              <w:rPr>
                <w:sz w:val="21"/>
              </w:rPr>
              <w:t>在合同执行期内，中标人选定一名工作人员作为指定联络人，联络人需定期和采购人进行资料汇报、数据交接、报告提交等工作。若更替联络人需提前通知采购人，且事先安排后备人员负责交接工作。</w:t>
            </w:r>
          </w:p>
          <w:p>
            <w:pPr>
              <w:ind w:firstLine="420"/>
              <w:jc w:val="both"/>
            </w:pPr>
            <w:r>
              <w:rPr>
                <w:sz w:val="21"/>
              </w:rPr>
              <w:t>★3.3.5在合同执行期内，中标人需选派2名本科学历环境相关专业工作人员进驻采购人单位，根据采购 人要求完成相应工作，并为该工作人员配备办公设备（服务期结束后退还）。该人员的选聘、更替须征得采购人的同意，具备上岗资格，服从采购人工作安排及考勤管理。派驻人员为中标人合法员工，中标人应当签订相应的劳动合同等完善合法用工手续，并按时支付该人员的劳动报酬（包括但不限于应发工资、岗位培训费用、职工福利（体检费）、奖金及单位缴纳的五险一金部分等，其中应发工资应含基本工资、津补贴及个人缴纳的五险一金部分。中标人应根据派驻人员的学历、职称、工龄、绩效等上下浮动确定应发工资数额。派驻人员的年应发工资数额应不低于广州市统计局最新发布的广州市城镇非私营单位在岗职工的年平均工资数额并及时调整。）</w:t>
            </w:r>
            <w:r>
              <w:rPr>
                <w:b/>
                <w:sz w:val="21"/>
              </w:rPr>
              <w:t>（投标人在实质性响应一览表中响应）</w:t>
            </w:r>
          </w:p>
          <w:p>
            <w:pPr>
              <w:ind w:firstLine="420"/>
              <w:jc w:val="both"/>
            </w:pPr>
            <w:r>
              <w:rPr>
                <w:sz w:val="21"/>
              </w:rPr>
              <w:t>3.3.6</w:t>
            </w:r>
            <w:r>
              <w:rPr>
                <w:sz w:val="21"/>
              </w:rPr>
              <w:t>中标人管理派驻人员的责任及考核要求：</w:t>
            </w:r>
          </w:p>
          <w:p>
            <w:pPr>
              <w:ind w:firstLine="420"/>
              <w:jc w:val="left"/>
            </w:pPr>
            <w:r>
              <w:rPr>
                <w:sz w:val="21"/>
              </w:rPr>
              <w:t>①中标人须向采购人提供派驻人员的用人合同进行备案；②用人合同应至少包含基本年薪和学历、职称、工龄、绩效等内容；③中标人须向派驻人员提供岗位培训；④若派驻人员发生更替，中标人须确保原派驻人员离岗前顺利完成工作交接，人员更替不能影响采购人正常工作；⑤中标人须严格执行派驻人员的用人合同条款；⑥派驻人员应服从采购人工作安排及考勤管理；⑦以上条款均列入项目验收考核内容，若有违反，则按合同考核条款进行扣分。</w:t>
            </w:r>
          </w:p>
          <w:p>
            <w:pPr>
              <w:ind w:firstLine="420"/>
              <w:jc w:val="both"/>
            </w:pPr>
            <w:r>
              <w:rPr>
                <w:sz w:val="21"/>
              </w:rPr>
              <w:t>3.4</w:t>
            </w:r>
            <w:r>
              <w:rPr>
                <w:sz w:val="21"/>
              </w:rPr>
              <w:t>车辆要求</w:t>
            </w:r>
          </w:p>
          <w:p>
            <w:pPr>
              <w:ind w:firstLine="420"/>
              <w:jc w:val="both"/>
            </w:pPr>
            <w:r>
              <w:rPr>
                <w:sz w:val="21"/>
              </w:rPr>
              <w:t>中标人需承诺投入用于本项目的采样检查车辆足够支撑完成本项目工作任务，且必须保证车辆的正常使用，车辆的保养维修应安排在非采样时间，不得影响采样检查计划。因特殊原因，不能按计划出车的，必须提供备用车辆替代。采样车辆在使用过程中产生的一切费用，如租赁费、购置、上牌、附加费、缴费、保险费、保养费等均由中标人负责，并需遵守我国有关法律法规，如发生事故，由中标人负责。该车辆需专车专用，不能用于其他项目。</w:t>
            </w:r>
          </w:p>
          <w:p>
            <w:pPr>
              <w:ind w:firstLine="420"/>
              <w:jc w:val="both"/>
            </w:pPr>
            <w:r>
              <w:rPr>
                <w:sz w:val="21"/>
              </w:rPr>
              <w:t>3.5</w:t>
            </w:r>
            <w:r>
              <w:rPr>
                <w:sz w:val="21"/>
              </w:rPr>
              <w:t>质量控制要求</w:t>
            </w:r>
          </w:p>
          <w:p>
            <w:pPr>
              <w:ind w:firstLine="420"/>
              <w:jc w:val="both"/>
            </w:pPr>
            <w:r>
              <w:rPr>
                <w:sz w:val="21"/>
              </w:rPr>
              <w:t>3.5.1</w:t>
            </w:r>
            <w:r>
              <w:rPr>
                <w:sz w:val="21"/>
              </w:rPr>
              <w:t>质量控制：中标人需按照计量认证的有关规定，在采样检测过程中进行质量控制，以保证检测结果的合理性、科学性和公正性。</w:t>
            </w:r>
          </w:p>
          <w:p>
            <w:pPr>
              <w:ind w:firstLine="420"/>
              <w:jc w:val="both"/>
            </w:pPr>
            <w:r>
              <w:rPr>
                <w:sz w:val="21"/>
              </w:rPr>
              <w:t>3.5.2</w:t>
            </w:r>
            <w:r>
              <w:rPr>
                <w:sz w:val="21"/>
              </w:rPr>
              <w:t>样品保存和管理：按照《水质样品的保存和管理技术规定》（HJ493-2009）相关要求执行（所采集的样品留样保存至数据报送后）。</w:t>
            </w:r>
          </w:p>
          <w:p>
            <w:pPr>
              <w:ind w:firstLine="420"/>
              <w:jc w:val="both"/>
            </w:pPr>
            <w:r>
              <w:rPr>
                <w:sz w:val="21"/>
              </w:rPr>
              <w:t>3.5.3</w:t>
            </w:r>
            <w:r>
              <w:rPr>
                <w:sz w:val="21"/>
              </w:rPr>
              <w:t>采购人若发现水样检测结果异常，有权要求中标人重新采样，中标人必须全力配合，期间所发生的费用包含在投标总价中。</w:t>
            </w:r>
          </w:p>
          <w:p>
            <w:pPr>
              <w:ind w:firstLine="420"/>
              <w:jc w:val="both"/>
            </w:pPr>
            <w:r>
              <w:rPr>
                <w:sz w:val="21"/>
              </w:rPr>
              <w:t>★3.6 应急要求</w:t>
            </w:r>
          </w:p>
          <w:p>
            <w:pPr>
              <w:ind w:firstLine="420"/>
              <w:jc w:val="both"/>
            </w:pPr>
            <w:r>
              <w:rPr>
                <w:sz w:val="21"/>
              </w:rPr>
              <w:t>发生突发水质事故或接到上级部门紧急任务时，中标人必须在2小时内到达现场，全力协助采购人做好应急检查工作，提供人员、车辆等后勤保障。周末及节假日均需有固定的应急队伍待命。应急检查工作所发生的一切费用均包含在投标总价中。</w:t>
            </w:r>
            <w:r>
              <w:rPr>
                <w:b/>
                <w:sz w:val="21"/>
              </w:rPr>
              <w:t>（投标人在实质性响应一览表中响应）</w:t>
            </w:r>
          </w:p>
          <w:p>
            <w:pPr>
              <w:ind w:firstLine="420"/>
              <w:jc w:val="both"/>
            </w:pPr>
            <w:r>
              <w:rPr>
                <w:sz w:val="21"/>
              </w:rPr>
              <w:t>3.7</w:t>
            </w:r>
            <w:r>
              <w:rPr>
                <w:sz w:val="21"/>
              </w:rPr>
              <w:t xml:space="preserve">廉政要求   </w:t>
            </w:r>
          </w:p>
          <w:p>
            <w:pPr>
              <w:ind w:firstLine="420"/>
              <w:jc w:val="both"/>
            </w:pPr>
            <w:r>
              <w:rPr>
                <w:sz w:val="21"/>
              </w:rPr>
              <w:t>为进一步完善监督制约机制，确保工作质量和预防职务犯罪行为以及各种不正当行为的发生，保护国家、集体和当事人的合法权益，经采购人和中标人双方签订廉政保证书，作为采购人和中标人双方共同遵守的行为准则。</w:t>
            </w:r>
          </w:p>
          <w:p>
            <w:pPr>
              <w:ind w:firstLine="420"/>
              <w:jc w:val="both"/>
            </w:pPr>
            <w:r>
              <w:rPr>
                <w:sz w:val="21"/>
              </w:rPr>
              <w:t>3.8</w:t>
            </w:r>
            <w:r>
              <w:rPr>
                <w:sz w:val="21"/>
              </w:rPr>
              <w:t>安全生产要求</w:t>
            </w:r>
          </w:p>
          <w:p>
            <w:pPr>
              <w:ind w:firstLine="420"/>
              <w:jc w:val="both"/>
            </w:pPr>
            <w:r>
              <w:rPr>
                <w:sz w:val="21"/>
              </w:rPr>
              <w:t>中标人应建立安全生产制度，保障外业人员的工作安全，切实消除安全隐患。当发生安全事故时，所有责任由中标人承担。合同期内，中标人因各种原因，在工作过程中造成第三方的人身和财产损失，由中标人独自承担相应的法律和经济责任，与采购人无关；造成采购人经济损失的，由中标人承担，采购人保留追究其法律责任的权利。</w:t>
            </w:r>
          </w:p>
          <w:p>
            <w:pPr>
              <w:ind w:firstLine="420"/>
              <w:jc w:val="both"/>
            </w:pPr>
            <w:r>
              <w:rPr>
                <w:sz w:val="21"/>
              </w:rPr>
              <w:t>3.9</w:t>
            </w:r>
            <w:r>
              <w:rPr>
                <w:sz w:val="21"/>
              </w:rPr>
              <w:t>保密要求</w:t>
            </w:r>
          </w:p>
          <w:p>
            <w:pPr>
              <w:ind w:firstLine="420"/>
              <w:jc w:val="both"/>
            </w:pPr>
            <w:r>
              <w:rPr>
                <w:sz w:val="21"/>
              </w:rPr>
              <w:t>中标人应承担并承诺本项目工作资料的保密责任。中标人未经采购人同意，不得利用本项目的所有资料对外开展技术交流、业务联系、数据交换等。中标人必须承诺关于该项目的地理信息、服务内容、实现方法、数据和资料、传输方法、软件系统、监控平台等相关信息的保密义务。</w:t>
            </w:r>
          </w:p>
          <w:p>
            <w:pPr>
              <w:ind w:firstLine="420"/>
              <w:jc w:val="both"/>
            </w:pPr>
            <w:r>
              <w:rPr>
                <w:sz w:val="21"/>
              </w:rPr>
              <w:t>3.10</w:t>
            </w:r>
            <w:r>
              <w:rPr>
                <w:sz w:val="21"/>
              </w:rPr>
              <w:t xml:space="preserve">其它要求   </w:t>
            </w:r>
          </w:p>
          <w:p>
            <w:pPr>
              <w:ind w:firstLine="420"/>
              <w:jc w:val="both"/>
            </w:pPr>
            <w:r>
              <w:rPr>
                <w:sz w:val="21"/>
              </w:rPr>
              <w:t>项目执行期间，若上级环境保护部门对广州市城市黑臭水体整治效果进行督查/巡察等工作，中标人需无条件提供熟悉黑臭水体整治的人员进行配合督查/巡察工作。</w:t>
            </w:r>
          </w:p>
          <w:p>
            <w:pPr>
              <w:ind w:firstLine="420"/>
              <w:jc w:val="both"/>
            </w:pPr>
            <w:r>
              <w:rPr>
                <w:sz w:val="21"/>
              </w:rPr>
              <w:t>4</w:t>
            </w:r>
            <w:r>
              <w:rPr>
                <w:sz w:val="21"/>
              </w:rPr>
              <w:t>考核方法</w:t>
            </w:r>
          </w:p>
          <w:p>
            <w:pPr>
              <w:ind w:firstLine="420"/>
              <w:jc w:val="both"/>
            </w:pPr>
            <w:r>
              <w:rPr>
                <w:sz w:val="21"/>
              </w:rPr>
              <w:t>4.1</w:t>
            </w:r>
            <w:r>
              <w:rPr>
                <w:sz w:val="21"/>
              </w:rPr>
              <w:t>中标人工作的考核按照《广州市重点河涌问题台账更新与整治效果跟踪评估考核表》（见表1）的要求进行，考核表由采购人按规定及合同相关内容进行填写。对不符合要求的项目，根据规定进行扣分，直至扣完所有分数为止。</w:t>
            </w:r>
          </w:p>
          <w:p>
            <w:pPr>
              <w:ind w:firstLine="420"/>
              <w:jc w:val="both"/>
            </w:pPr>
            <w:r>
              <w:rPr>
                <w:sz w:val="21"/>
              </w:rPr>
              <w:t>4.2</w:t>
            </w:r>
            <w:r>
              <w:rPr>
                <w:sz w:val="21"/>
              </w:rPr>
              <w:t>考核周期为每季度一次，90-100分为优秀，76-89分为良好，75分及以下为不合格。每季度考核结果为“优秀”的，全额支付当季度服务费；每季度考核结果为“良好”的，扣除当季度10%服务费；每季度考核结果为“不合格”的，扣除当季度全额服务费。</w:t>
            </w:r>
          </w:p>
          <w:p>
            <w:pPr>
              <w:ind w:firstLine="420"/>
              <w:jc w:val="both"/>
            </w:pPr>
            <w:r>
              <w:rPr>
                <w:sz w:val="21"/>
              </w:rPr>
              <w:t>4.3</w:t>
            </w:r>
            <w:r>
              <w:rPr>
                <w:sz w:val="21"/>
              </w:rPr>
              <w:t>有如下情况之一的，采购人有权终止运营合同，中标人须无条件服从：</w:t>
            </w:r>
          </w:p>
          <w:p>
            <w:pPr>
              <w:ind w:firstLine="420"/>
              <w:jc w:val="both"/>
            </w:pPr>
            <w:r>
              <w:rPr>
                <w:sz w:val="21"/>
              </w:rPr>
              <w:t>4.3.1</w:t>
            </w:r>
            <w:r>
              <w:rPr>
                <w:sz w:val="21"/>
              </w:rPr>
              <w:t>在项目合同期内，如发现中标人有伪造数据、弄虚作假等行为，经证实后采购人有权立即解除项目合同，并保留追究中标人相关法律的责任。</w:t>
            </w:r>
          </w:p>
          <w:p>
            <w:pPr>
              <w:ind w:firstLine="420"/>
              <w:jc w:val="both"/>
            </w:pPr>
            <w:r>
              <w:rPr>
                <w:sz w:val="21"/>
              </w:rPr>
              <w:t>4.3.2</w:t>
            </w:r>
            <w:r>
              <w:rPr>
                <w:sz w:val="21"/>
              </w:rPr>
              <w:t>如考核不合格次数达到或超过3次以上的，采购人有权解除项目合同。</w:t>
            </w:r>
          </w:p>
          <w:p>
            <w:pPr>
              <w:ind w:firstLine="420"/>
              <w:jc w:val="both"/>
            </w:pPr>
            <w:r>
              <w:rPr>
                <w:sz w:val="21"/>
              </w:rPr>
              <w:t>4.3.3</w:t>
            </w:r>
            <w:r>
              <w:rPr>
                <w:sz w:val="21"/>
              </w:rPr>
              <w:t>中标人应承诺对合同所涉及监测点的地理信息、监测数据、设备信息等所有相关信息的保密义务，如中标人未经采购人同意擅自将上述信息泄露给第三方，采购人有权将中标人评定当月不合格且解除项目合同。</w:t>
            </w:r>
          </w:p>
          <w:p>
            <w:pPr>
              <w:ind w:firstLine="420"/>
              <w:jc w:val="both"/>
            </w:pPr>
            <w:r>
              <w:rPr>
                <w:sz w:val="21"/>
              </w:rPr>
              <w:t>4.3.4</w:t>
            </w:r>
            <w:r>
              <w:rPr>
                <w:sz w:val="21"/>
              </w:rPr>
              <w:t>中标人在项目实施期间发生CMA资质被暂停、取消，或被相关部门责令停产整改等情况时，采购人有权扣除当月服务款项的100%且解除项目合同。</w:t>
            </w:r>
          </w:p>
          <w:p>
            <w:pPr>
              <w:ind w:firstLine="420"/>
              <w:jc w:val="both"/>
            </w:pPr>
            <w:r>
              <w:rPr>
                <w:sz w:val="21"/>
              </w:rPr>
              <w:t>4.3.5</w:t>
            </w:r>
            <w:r>
              <w:rPr>
                <w:sz w:val="21"/>
              </w:rPr>
              <w:t>中标人应对提交的报告成果负责。成果达不到要求的，采购人有权督促中标人补充完善，采购人不另外支付费用；如出现重大失误，中标人须承担由此造成的全部经济责任和法律责任，采购人可不支付该项目的合同费用。</w:t>
            </w:r>
          </w:p>
          <w:p>
            <w:pPr>
              <w:ind w:firstLine="210"/>
              <w:jc w:val="both"/>
            </w:pPr>
          </w:p>
          <w:p>
            <w:pPr>
              <w:jc w:val="center"/>
            </w:pPr>
            <w:r>
              <w:rPr>
                <w:sz w:val="21"/>
              </w:rPr>
              <w:t>表1广州市重点河涌问题台账更新与整治效果跟踪评估考核表</w:t>
            </w:r>
          </w:p>
          <w:tbl>
            <w:tblPr>
              <w:tblInd w:type="dxa" w:w="135"/>
              <w:tblBorders>
                <w:top w:val="none" w:color="000000" w:sz="4"/>
                <w:left w:val="none" w:color="000000" w:sz="4"/>
                <w:bottom w:val="none" w:color="000000" w:sz="4"/>
                <w:right w:val="none" w:color="000000" w:sz="4"/>
                <w:insideH w:val="none"/>
                <w:insideV w:val="none"/>
              </w:tblBorders>
            </w:tblPr>
            <w:tblGrid>
              <w:gridCol w:w="532"/>
              <w:gridCol w:w="847"/>
              <w:gridCol w:w="1312"/>
              <w:gridCol w:w="1645"/>
              <w:gridCol w:w="548"/>
              <w:gridCol w:w="714"/>
            </w:tblGrid>
            <w:tr>
              <w:tc>
                <w:tcPr>
                  <w:tcW w:type="dxa" w:w="532"/>
                  <w:tcBorders>
                    <w:top w:val="single" w:color="000000" w:sz="4"/>
                    <w:left w:val="single" w:color="000000" w:sz="4"/>
                    <w:bottom w:val="single" w:color="000000" w:sz="4"/>
                    <w:right w:val="single" w:color="000000" w:sz="4"/>
                  </w:tcBorders>
                </w:tcPr>
                <w:p>
                  <w:pPr>
                    <w:jc w:val="center"/>
                  </w:pPr>
                  <w:r>
                    <w:rPr>
                      <w:sz w:val="21"/>
                    </w:rPr>
                    <w:t>序号</w:t>
                  </w:r>
                </w:p>
              </w:tc>
              <w:tc>
                <w:tcPr>
                  <w:tcW w:type="dxa" w:w="847"/>
                  <w:tcBorders>
                    <w:top w:val="single" w:color="000000" w:sz="4"/>
                    <w:left w:val="none" w:color="000000" w:sz="4"/>
                    <w:bottom w:val="single" w:color="000000" w:sz="4"/>
                    <w:right w:val="single" w:color="000000" w:sz="4"/>
                  </w:tcBorders>
                </w:tcPr>
                <w:p>
                  <w:pPr>
                    <w:jc w:val="center"/>
                  </w:pPr>
                  <w:r>
                    <w:rPr>
                      <w:sz w:val="21"/>
                    </w:rPr>
                    <w:t>考核内容</w:t>
                  </w:r>
                </w:p>
              </w:tc>
              <w:tc>
                <w:tcPr>
                  <w:tcW w:type="dxa" w:w="1312"/>
                  <w:tcBorders>
                    <w:top w:val="single" w:color="000000" w:sz="4"/>
                    <w:left w:val="none" w:color="000000" w:sz="4"/>
                    <w:bottom w:val="single" w:color="000000" w:sz="4"/>
                    <w:right w:val="single" w:color="000000" w:sz="4"/>
                  </w:tcBorders>
                </w:tcPr>
                <w:p>
                  <w:pPr>
                    <w:jc w:val="center"/>
                  </w:pPr>
                  <w:r>
                    <w:rPr>
                      <w:sz w:val="21"/>
                    </w:rPr>
                    <w:t>考核要求</w:t>
                  </w:r>
                </w:p>
              </w:tc>
              <w:tc>
                <w:tcPr>
                  <w:tcW w:type="dxa" w:w="1645"/>
                  <w:tcBorders>
                    <w:top w:val="single" w:color="000000" w:sz="4"/>
                    <w:left w:val="none" w:color="000000" w:sz="4"/>
                    <w:bottom w:val="single" w:color="000000" w:sz="4"/>
                    <w:right w:val="single" w:color="000000" w:sz="4"/>
                  </w:tcBorders>
                </w:tcPr>
                <w:p>
                  <w:pPr>
                    <w:jc w:val="center"/>
                  </w:pPr>
                  <w:r>
                    <w:rPr>
                      <w:sz w:val="21"/>
                    </w:rPr>
                    <w:t>评分说明</w:t>
                  </w:r>
                </w:p>
              </w:tc>
              <w:tc>
                <w:tcPr>
                  <w:tcW w:type="dxa" w:w="548"/>
                  <w:tcBorders>
                    <w:top w:val="single" w:color="000000" w:sz="4"/>
                    <w:left w:val="none" w:color="000000" w:sz="4"/>
                    <w:bottom w:val="single" w:color="000000" w:sz="4"/>
                    <w:right w:val="single" w:color="000000" w:sz="4"/>
                  </w:tcBorders>
                </w:tcPr>
                <w:p>
                  <w:pPr>
                    <w:jc w:val="center"/>
                  </w:pPr>
                  <w:r>
                    <w:rPr>
                      <w:sz w:val="21"/>
                    </w:rPr>
                    <w:t>评分</w:t>
                  </w:r>
                </w:p>
              </w:tc>
              <w:tc>
                <w:tcPr>
                  <w:tcW w:type="dxa" w:w="714"/>
                  <w:tcBorders>
                    <w:top w:val="single" w:color="000000" w:sz="4"/>
                    <w:left w:val="none" w:color="000000" w:sz="4"/>
                    <w:bottom w:val="single" w:color="000000" w:sz="4"/>
                    <w:right w:val="single" w:color="000000" w:sz="4"/>
                  </w:tcBorders>
                </w:tcPr>
                <w:p>
                  <w:pPr>
                    <w:jc w:val="center"/>
                  </w:pPr>
                  <w:r>
                    <w:rPr>
                      <w:sz w:val="21"/>
                    </w:rPr>
                    <w:t>备注</w:t>
                  </w:r>
                </w:p>
              </w:tc>
            </w:tr>
            <w:tr>
              <w:tc>
                <w:tcPr>
                  <w:tcW w:type="dxa" w:w="532"/>
                  <w:vMerge w:val="restart"/>
                  <w:tcBorders>
                    <w:top w:val="none" w:color="000000" w:sz="4"/>
                    <w:left w:val="single" w:color="000000" w:sz="4"/>
                    <w:bottom w:val="single" w:color="000000" w:sz="4"/>
                    <w:right w:val="single" w:color="000000" w:sz="4"/>
                  </w:tcBorders>
                </w:tcPr>
                <w:p>
                  <w:pPr>
                    <w:jc w:val="center"/>
                  </w:pPr>
                  <w:r>
                    <w:rPr>
                      <w:sz w:val="21"/>
                    </w:rPr>
                    <w:t>1</w:t>
                  </w:r>
                </w:p>
              </w:tc>
              <w:tc>
                <w:tcPr>
                  <w:tcW w:type="dxa" w:w="847"/>
                  <w:vMerge w:val="restart"/>
                  <w:tcBorders>
                    <w:top w:val="none" w:color="000000" w:sz="4"/>
                    <w:left w:val="none" w:color="000000" w:sz="4"/>
                    <w:bottom w:val="single" w:color="000000" w:sz="4"/>
                    <w:right w:val="single" w:color="000000" w:sz="4"/>
                  </w:tcBorders>
                </w:tcPr>
                <w:p>
                  <w:pPr>
                    <w:jc w:val="both"/>
                  </w:pPr>
                  <w:r>
                    <w:rPr>
                      <w:sz w:val="21"/>
                    </w:rPr>
                    <w:t>日常工作情况（10分）</w:t>
                  </w:r>
                </w:p>
              </w:tc>
              <w:tc>
                <w:tcPr>
                  <w:tcW w:type="dxa" w:w="1312"/>
                  <w:tcBorders>
                    <w:top w:val="none" w:color="000000" w:sz="4"/>
                    <w:left w:val="none" w:color="000000" w:sz="4"/>
                    <w:bottom w:val="single" w:color="000000" w:sz="4"/>
                    <w:right w:val="single" w:color="000000" w:sz="4"/>
                  </w:tcBorders>
                </w:tcPr>
                <w:p>
                  <w:pPr>
                    <w:jc w:val="both"/>
                  </w:pPr>
                  <w:r>
                    <w:rPr>
                      <w:sz w:val="21"/>
                    </w:rPr>
                    <w:t>是否按合同要求递交工作计划</w:t>
                  </w:r>
                </w:p>
              </w:tc>
              <w:tc>
                <w:tcPr>
                  <w:tcW w:type="dxa" w:w="1645"/>
                  <w:tcBorders>
                    <w:top w:val="none" w:color="000000" w:sz="4"/>
                    <w:left w:val="none" w:color="000000" w:sz="4"/>
                    <w:bottom w:val="single" w:color="000000" w:sz="4"/>
                    <w:right w:val="single" w:color="000000" w:sz="4"/>
                  </w:tcBorders>
                </w:tcPr>
                <w:p>
                  <w:pPr>
                    <w:jc w:val="both"/>
                  </w:pPr>
                  <w:r>
                    <w:rPr>
                      <w:sz w:val="21"/>
                    </w:rPr>
                    <w:t>按时提交工作计划（5分）</w:t>
                  </w:r>
                </w:p>
              </w:tc>
              <w:tc>
                <w:tcPr>
                  <w:tcW w:type="dxa" w:w="548"/>
                  <w:tcBorders>
                    <w:top w:val="none" w:color="000000" w:sz="4"/>
                    <w:left w:val="none" w:color="000000" w:sz="4"/>
                    <w:bottom w:val="single" w:color="000000" w:sz="4"/>
                    <w:right w:val="single" w:color="000000" w:sz="4"/>
                  </w:tcBorders>
                </w:tcPr>
                <w:p>
                  <w:pPr>
                    <w:jc w:val="both"/>
                  </w:pPr>
                </w:p>
              </w:tc>
              <w:tc>
                <w:tcPr>
                  <w:tcW w:type="dxa" w:w="714"/>
                  <w:vMerge w:val="restart"/>
                  <w:tcBorders>
                    <w:top w:val="none" w:color="000000" w:sz="4"/>
                    <w:left w:val="none" w:color="000000" w:sz="4"/>
                    <w:bottom w:val="single" w:color="000000" w:sz="4"/>
                    <w:right w:val="single" w:color="000000" w:sz="4"/>
                  </w:tcBorders>
                </w:tcPr>
                <w:p>
                  <w:pPr>
                    <w:jc w:val="both"/>
                  </w:pPr>
                </w:p>
              </w:tc>
            </w:tr>
            <w:tr>
              <w:tc>
                <w:tcPr>
                  <w:tcW w:type="dxa" w:w="532"/>
                  <w:vMerge/>
                  <w:tcBorders>
                    <w:top w:val="none" w:color="000000" w:sz="4"/>
                    <w:left w:val="single" w:color="000000" w:sz="4"/>
                    <w:bottom w:val="single" w:color="000000" w:sz="4"/>
                    <w:right w:val="single" w:color="000000" w:sz="4"/>
                  </w:tcBorders>
                </w:tcPr>
                <w:p/>
              </w:tc>
              <w:tc>
                <w:tcPr>
                  <w:tcW w:type="dxa" w:w="847"/>
                  <w:vMerge/>
                  <w:tcBorders>
                    <w:top w:val="none" w:color="000000" w:sz="4"/>
                    <w:left w:val="none" w:color="000000" w:sz="4"/>
                    <w:bottom w:val="single" w:color="000000" w:sz="4"/>
                    <w:right w:val="single" w:color="000000" w:sz="4"/>
                  </w:tcBorders>
                </w:tcPr>
                <w:p/>
              </w:tc>
              <w:tc>
                <w:tcPr>
                  <w:tcW w:type="dxa" w:w="1312"/>
                  <w:tcBorders>
                    <w:top w:val="none" w:color="000000" w:sz="4"/>
                    <w:left w:val="none" w:color="000000" w:sz="4"/>
                    <w:bottom w:val="single" w:color="000000" w:sz="4"/>
                    <w:right w:val="single" w:color="000000" w:sz="4"/>
                  </w:tcBorders>
                </w:tcPr>
                <w:p>
                  <w:pPr>
                    <w:jc w:val="both"/>
                  </w:pPr>
                  <w:r>
                    <w:rPr>
                      <w:sz w:val="21"/>
                    </w:rPr>
                    <w:t>工作计划是否符合评估要求</w:t>
                  </w:r>
                </w:p>
              </w:tc>
              <w:tc>
                <w:tcPr>
                  <w:tcW w:type="dxa" w:w="1645"/>
                  <w:tcBorders>
                    <w:top w:val="none" w:color="000000" w:sz="4"/>
                    <w:left w:val="none" w:color="000000" w:sz="4"/>
                    <w:bottom w:val="single" w:color="000000" w:sz="4"/>
                    <w:right w:val="single" w:color="000000" w:sz="4"/>
                  </w:tcBorders>
                </w:tcPr>
                <w:p>
                  <w:pPr>
                    <w:jc w:val="both"/>
                  </w:pPr>
                  <w:r>
                    <w:rPr>
                      <w:sz w:val="21"/>
                    </w:rPr>
                    <w:t>工作计划合理，符合评估要求（5分）</w:t>
                  </w:r>
                </w:p>
              </w:tc>
              <w:tc>
                <w:tcPr>
                  <w:tcW w:type="dxa" w:w="548"/>
                  <w:tcBorders>
                    <w:top w:val="none" w:color="000000" w:sz="4"/>
                    <w:left w:val="none" w:color="000000" w:sz="4"/>
                    <w:bottom w:val="single" w:color="000000" w:sz="4"/>
                    <w:right w:val="single" w:color="000000" w:sz="4"/>
                  </w:tcBorders>
                </w:tcPr>
                <w:p>
                  <w:pPr>
                    <w:jc w:val="both"/>
                  </w:pPr>
                </w:p>
              </w:tc>
            </w:tr>
            <w:tr>
              <w:tc>
                <w:tcPr>
                  <w:tcW w:type="dxa" w:w="532"/>
                  <w:tcBorders>
                    <w:top w:val="none" w:color="000000" w:sz="4"/>
                    <w:left w:val="single" w:color="000000" w:sz="4"/>
                    <w:bottom w:val="single" w:color="000000" w:sz="4"/>
                    <w:right w:val="single" w:color="000000" w:sz="4"/>
                  </w:tcBorders>
                </w:tcPr>
                <w:p>
                  <w:pPr>
                    <w:jc w:val="center"/>
                  </w:pPr>
                  <w:r>
                    <w:rPr>
                      <w:sz w:val="21"/>
                    </w:rPr>
                    <w:t>2</w:t>
                  </w:r>
                </w:p>
              </w:tc>
              <w:tc>
                <w:tcPr>
                  <w:tcW w:type="dxa" w:w="847"/>
                  <w:tcBorders>
                    <w:top w:val="none" w:color="000000" w:sz="4"/>
                    <w:left w:val="none" w:color="000000" w:sz="4"/>
                    <w:bottom w:val="single" w:color="000000" w:sz="4"/>
                    <w:right w:val="single" w:color="000000" w:sz="4"/>
                  </w:tcBorders>
                </w:tcPr>
                <w:p>
                  <w:pPr>
                    <w:jc w:val="both"/>
                  </w:pPr>
                  <w:r>
                    <w:rPr>
                      <w:sz w:val="21"/>
                    </w:rPr>
                    <w:t>现场巡查问题清单提交情况（10分）</w:t>
                  </w:r>
                </w:p>
              </w:tc>
              <w:tc>
                <w:tcPr>
                  <w:tcW w:type="dxa" w:w="1312"/>
                  <w:tcBorders>
                    <w:top w:val="none" w:color="000000" w:sz="4"/>
                    <w:left w:val="none" w:color="000000" w:sz="4"/>
                    <w:bottom w:val="single" w:color="000000" w:sz="4"/>
                    <w:right w:val="single" w:color="000000" w:sz="4"/>
                  </w:tcBorders>
                </w:tcPr>
                <w:p>
                  <w:pPr>
                    <w:jc w:val="both"/>
                  </w:pPr>
                  <w:r>
                    <w:rPr>
                      <w:sz w:val="21"/>
                    </w:rPr>
                    <w:t>于合同规定时间内提交现场巡查问题清单</w:t>
                  </w:r>
                </w:p>
              </w:tc>
              <w:tc>
                <w:tcPr>
                  <w:tcW w:type="dxa" w:w="1645"/>
                  <w:tcBorders>
                    <w:top w:val="none" w:color="000000" w:sz="4"/>
                    <w:left w:val="none" w:color="000000" w:sz="4"/>
                    <w:bottom w:val="single" w:color="000000" w:sz="4"/>
                    <w:right w:val="single" w:color="000000" w:sz="4"/>
                  </w:tcBorders>
                </w:tcPr>
                <w:p>
                  <w:pPr>
                    <w:jc w:val="both"/>
                  </w:pPr>
                  <w:r>
                    <w:rPr>
                      <w:sz w:val="21"/>
                    </w:rPr>
                    <w:t>未按要求及时提交现场巡查问题清单，每迟一天扣5分，扣完为止。</w:t>
                  </w:r>
                </w:p>
              </w:tc>
              <w:tc>
                <w:tcPr>
                  <w:tcW w:type="dxa" w:w="548"/>
                  <w:tcBorders>
                    <w:top w:val="none" w:color="000000" w:sz="4"/>
                    <w:left w:val="none" w:color="000000" w:sz="4"/>
                    <w:bottom w:val="single" w:color="000000" w:sz="4"/>
                    <w:right w:val="single" w:color="000000" w:sz="4"/>
                  </w:tcBorders>
                </w:tcPr>
                <w:p>
                  <w:pPr>
                    <w:jc w:val="both"/>
                  </w:pPr>
                </w:p>
              </w:tc>
              <w:tc>
                <w:tcPr>
                  <w:tcW w:type="dxa" w:w="714"/>
                  <w:tcBorders>
                    <w:top w:val="none" w:color="000000" w:sz="4"/>
                    <w:left w:val="none" w:color="000000" w:sz="4"/>
                    <w:bottom w:val="single" w:color="000000" w:sz="4"/>
                    <w:right w:val="single" w:color="000000" w:sz="4"/>
                  </w:tcBorders>
                </w:tcPr>
                <w:p>
                  <w:pPr>
                    <w:jc w:val="both"/>
                  </w:pPr>
                </w:p>
              </w:tc>
            </w:tr>
            <w:tr>
              <w:tc>
                <w:tcPr>
                  <w:tcW w:type="dxa" w:w="532"/>
                  <w:vMerge w:val="restart"/>
                  <w:tcBorders>
                    <w:top w:val="none" w:color="000000" w:sz="4"/>
                    <w:left w:val="single" w:color="000000" w:sz="4"/>
                    <w:bottom w:val="single" w:color="000000" w:sz="4"/>
                    <w:right w:val="single" w:color="000000" w:sz="4"/>
                  </w:tcBorders>
                </w:tcPr>
                <w:p>
                  <w:pPr>
                    <w:jc w:val="center"/>
                  </w:pPr>
                  <w:r>
                    <w:rPr>
                      <w:sz w:val="21"/>
                    </w:rPr>
                    <w:t>3</w:t>
                  </w:r>
                </w:p>
              </w:tc>
              <w:tc>
                <w:tcPr>
                  <w:tcW w:type="dxa" w:w="847"/>
                  <w:vMerge w:val="restart"/>
                  <w:tcBorders>
                    <w:top w:val="none" w:color="000000" w:sz="4"/>
                    <w:left w:val="none" w:color="000000" w:sz="4"/>
                    <w:bottom w:val="single" w:color="000000" w:sz="4"/>
                    <w:right w:val="single" w:color="000000" w:sz="4"/>
                  </w:tcBorders>
                </w:tcPr>
                <w:p>
                  <w:pPr>
                    <w:jc w:val="both"/>
                  </w:pPr>
                  <w:r>
                    <w:rPr>
                      <w:sz w:val="21"/>
                    </w:rPr>
                    <w:t>现场抽查完成情况（25分）</w:t>
                  </w:r>
                </w:p>
              </w:tc>
              <w:tc>
                <w:tcPr>
                  <w:tcW w:type="dxa" w:w="1312"/>
                  <w:vMerge w:val="restart"/>
                  <w:tcBorders>
                    <w:top w:val="none" w:color="000000" w:sz="4"/>
                    <w:left w:val="none" w:color="000000" w:sz="4"/>
                    <w:bottom w:val="single" w:color="000000" w:sz="4"/>
                    <w:right w:val="single" w:color="000000" w:sz="4"/>
                  </w:tcBorders>
                </w:tcPr>
                <w:p>
                  <w:pPr>
                    <w:jc w:val="both"/>
                  </w:pPr>
                  <w:r>
                    <w:rPr>
                      <w:sz w:val="21"/>
                    </w:rPr>
                    <w:t>是否按采样计划进行采样，采样操作是否符合标准要求</w:t>
                  </w:r>
                </w:p>
              </w:tc>
              <w:tc>
                <w:tcPr>
                  <w:tcW w:type="dxa" w:w="1645"/>
                  <w:tcBorders>
                    <w:top w:val="none" w:color="000000" w:sz="4"/>
                    <w:left w:val="none" w:color="000000" w:sz="4"/>
                    <w:bottom w:val="single" w:color="000000" w:sz="4"/>
                    <w:right w:val="single" w:color="000000" w:sz="4"/>
                  </w:tcBorders>
                </w:tcPr>
                <w:p>
                  <w:pPr>
                    <w:jc w:val="both"/>
                  </w:pPr>
                  <w:r>
                    <w:rPr>
                      <w:sz w:val="21"/>
                    </w:rPr>
                    <w:t>按照采样计划进行采样（5分）</w:t>
                  </w:r>
                </w:p>
              </w:tc>
              <w:tc>
                <w:tcPr>
                  <w:tcW w:type="dxa" w:w="548"/>
                  <w:vMerge w:val="restart"/>
                  <w:tcBorders>
                    <w:top w:val="none" w:color="000000" w:sz="4"/>
                    <w:left w:val="none" w:color="000000" w:sz="4"/>
                    <w:bottom w:val="single" w:color="000000" w:sz="4"/>
                    <w:right w:val="single" w:color="000000" w:sz="4"/>
                  </w:tcBorders>
                </w:tcPr>
                <w:p>
                  <w:pPr>
                    <w:jc w:val="both"/>
                  </w:pPr>
                </w:p>
              </w:tc>
              <w:tc>
                <w:tcPr>
                  <w:tcW w:type="dxa" w:w="714"/>
                  <w:vMerge w:val="restart"/>
                  <w:tcBorders>
                    <w:top w:val="none" w:color="000000" w:sz="4"/>
                    <w:left w:val="none" w:color="000000" w:sz="4"/>
                    <w:bottom w:val="single" w:color="000000" w:sz="4"/>
                    <w:right w:val="single" w:color="000000" w:sz="4"/>
                  </w:tcBorders>
                </w:tcPr>
                <w:p>
                  <w:pPr>
                    <w:jc w:val="both"/>
                  </w:pPr>
                </w:p>
              </w:tc>
            </w:tr>
            <w:tr>
              <w:tc>
                <w:tcPr>
                  <w:tcW w:type="dxa" w:w="532"/>
                  <w:vMerge/>
                  <w:tcBorders>
                    <w:top w:val="none" w:color="000000" w:sz="4"/>
                    <w:left w:val="single" w:color="000000" w:sz="4"/>
                    <w:bottom w:val="single" w:color="000000" w:sz="4"/>
                    <w:right w:val="single" w:color="000000" w:sz="4"/>
                  </w:tcBorders>
                </w:tcPr>
                <w:p/>
              </w:tc>
              <w:tc>
                <w:tcPr>
                  <w:tcW w:type="dxa" w:w="847"/>
                  <w:vMerge/>
                  <w:tcBorders>
                    <w:top w:val="none" w:color="000000" w:sz="4"/>
                    <w:left w:val="none" w:color="000000" w:sz="4"/>
                    <w:bottom w:val="single" w:color="000000" w:sz="4"/>
                    <w:right w:val="single" w:color="000000" w:sz="4"/>
                  </w:tcBorders>
                </w:tcPr>
                <w:p/>
              </w:tc>
              <w:tc>
                <w:tcPr>
                  <w:tcW w:type="dxa" w:w="1312"/>
                  <w:vMerge/>
                  <w:tcBorders>
                    <w:top w:val="none" w:color="000000" w:sz="4"/>
                    <w:left w:val="none" w:color="000000" w:sz="4"/>
                    <w:bottom w:val="single" w:color="000000" w:sz="4"/>
                    <w:right w:val="single" w:color="000000" w:sz="4"/>
                  </w:tcBorders>
                </w:tcPr>
                <w:p/>
              </w:tc>
              <w:tc>
                <w:tcPr>
                  <w:tcW w:type="dxa" w:w="1645"/>
                  <w:tcBorders>
                    <w:top w:val="none" w:color="000000" w:sz="4"/>
                    <w:left w:val="none" w:color="000000" w:sz="4"/>
                    <w:bottom w:val="single" w:color="000000" w:sz="4"/>
                    <w:right w:val="single" w:color="000000" w:sz="4"/>
                  </w:tcBorders>
                </w:tcPr>
                <w:p>
                  <w:pPr>
                    <w:jc w:val="both"/>
                  </w:pPr>
                  <w:r>
                    <w:rPr>
                      <w:sz w:val="21"/>
                    </w:rPr>
                    <w:t>采样车辆、人员、工具、采样容器、现场仪器准备充分、准确（5分）</w:t>
                  </w:r>
                </w:p>
              </w:tc>
            </w:tr>
            <w:tr>
              <w:tc>
                <w:tcPr>
                  <w:tcW w:type="dxa" w:w="532"/>
                  <w:vMerge/>
                  <w:tcBorders>
                    <w:top w:val="none" w:color="000000" w:sz="4"/>
                    <w:left w:val="single" w:color="000000" w:sz="4"/>
                    <w:bottom w:val="single" w:color="000000" w:sz="4"/>
                    <w:right w:val="single" w:color="000000" w:sz="4"/>
                  </w:tcBorders>
                </w:tcPr>
                <w:p/>
              </w:tc>
              <w:tc>
                <w:tcPr>
                  <w:tcW w:type="dxa" w:w="847"/>
                  <w:vMerge/>
                  <w:tcBorders>
                    <w:top w:val="none" w:color="000000" w:sz="4"/>
                    <w:left w:val="none" w:color="000000" w:sz="4"/>
                    <w:bottom w:val="single" w:color="000000" w:sz="4"/>
                    <w:right w:val="single" w:color="000000" w:sz="4"/>
                  </w:tcBorders>
                </w:tcPr>
                <w:p/>
              </w:tc>
              <w:tc>
                <w:tcPr>
                  <w:tcW w:type="dxa" w:w="1312"/>
                  <w:vMerge/>
                  <w:tcBorders>
                    <w:top w:val="none" w:color="000000" w:sz="4"/>
                    <w:left w:val="none" w:color="000000" w:sz="4"/>
                    <w:bottom w:val="single" w:color="000000" w:sz="4"/>
                    <w:right w:val="single" w:color="000000" w:sz="4"/>
                  </w:tcBorders>
                </w:tcPr>
                <w:p/>
              </w:tc>
              <w:tc>
                <w:tcPr>
                  <w:tcW w:type="dxa" w:w="1645"/>
                  <w:tcBorders>
                    <w:top w:val="none" w:color="000000" w:sz="4"/>
                    <w:left w:val="none" w:color="000000" w:sz="4"/>
                    <w:bottom w:val="single" w:color="000000" w:sz="4"/>
                    <w:right w:val="single" w:color="000000" w:sz="4"/>
                  </w:tcBorders>
                </w:tcPr>
                <w:p>
                  <w:pPr>
                    <w:jc w:val="both"/>
                  </w:pPr>
                  <w:r>
                    <w:rPr>
                      <w:sz w:val="21"/>
                    </w:rPr>
                    <w:t>采样是否符合《城市黑臭水体整治工作指南》（5分）</w:t>
                  </w:r>
                </w:p>
              </w:tc>
            </w:tr>
            <w:tr>
              <w:tc>
                <w:tcPr>
                  <w:tcW w:type="dxa" w:w="532"/>
                  <w:vMerge/>
                  <w:tcBorders>
                    <w:top w:val="none" w:color="000000" w:sz="4"/>
                    <w:left w:val="single" w:color="000000" w:sz="4"/>
                    <w:bottom w:val="single" w:color="000000" w:sz="4"/>
                    <w:right w:val="single" w:color="000000" w:sz="4"/>
                  </w:tcBorders>
                </w:tcPr>
                <w:p/>
              </w:tc>
              <w:tc>
                <w:tcPr>
                  <w:tcW w:type="dxa" w:w="847"/>
                  <w:vMerge/>
                  <w:tcBorders>
                    <w:top w:val="none" w:color="000000" w:sz="4"/>
                    <w:left w:val="none" w:color="000000" w:sz="4"/>
                    <w:bottom w:val="single" w:color="000000" w:sz="4"/>
                    <w:right w:val="single" w:color="000000" w:sz="4"/>
                  </w:tcBorders>
                </w:tcPr>
                <w:p/>
              </w:tc>
              <w:tc>
                <w:tcPr>
                  <w:tcW w:type="dxa" w:w="1312"/>
                  <w:vMerge/>
                  <w:tcBorders>
                    <w:top w:val="none" w:color="000000" w:sz="4"/>
                    <w:left w:val="none" w:color="000000" w:sz="4"/>
                    <w:bottom w:val="single" w:color="000000" w:sz="4"/>
                    <w:right w:val="single" w:color="000000" w:sz="4"/>
                  </w:tcBorders>
                </w:tcPr>
                <w:p/>
              </w:tc>
              <w:tc>
                <w:tcPr>
                  <w:tcW w:type="dxa" w:w="1645"/>
                  <w:tcBorders>
                    <w:top w:val="none" w:color="000000" w:sz="4"/>
                    <w:left w:val="none" w:color="000000" w:sz="4"/>
                    <w:bottom w:val="single" w:color="000000" w:sz="4"/>
                    <w:right w:val="single" w:color="000000" w:sz="4"/>
                  </w:tcBorders>
                </w:tcPr>
                <w:p>
                  <w:pPr>
                    <w:jc w:val="both"/>
                  </w:pPr>
                  <w:r>
                    <w:rPr>
                      <w:sz w:val="21"/>
                    </w:rPr>
                    <w:t>现场操作规范（5分）</w:t>
                  </w:r>
                </w:p>
              </w:tc>
            </w:tr>
            <w:tr>
              <w:tc>
                <w:tcPr>
                  <w:tcW w:type="dxa" w:w="532"/>
                  <w:vMerge/>
                  <w:tcBorders>
                    <w:top w:val="none" w:color="000000" w:sz="4"/>
                    <w:left w:val="single" w:color="000000" w:sz="4"/>
                    <w:bottom w:val="single" w:color="000000" w:sz="4"/>
                    <w:right w:val="single" w:color="000000" w:sz="4"/>
                  </w:tcBorders>
                </w:tcPr>
                <w:p/>
              </w:tc>
              <w:tc>
                <w:tcPr>
                  <w:tcW w:type="dxa" w:w="847"/>
                  <w:vMerge/>
                  <w:tcBorders>
                    <w:top w:val="none" w:color="000000" w:sz="4"/>
                    <w:left w:val="none" w:color="000000" w:sz="4"/>
                    <w:bottom w:val="single" w:color="000000" w:sz="4"/>
                    <w:right w:val="single" w:color="000000" w:sz="4"/>
                  </w:tcBorders>
                </w:tcPr>
                <w:p/>
              </w:tc>
              <w:tc>
                <w:tcPr>
                  <w:tcW w:type="dxa" w:w="1312"/>
                  <w:vMerge/>
                  <w:tcBorders>
                    <w:top w:val="none" w:color="000000" w:sz="4"/>
                    <w:left w:val="none" w:color="000000" w:sz="4"/>
                    <w:bottom w:val="single" w:color="000000" w:sz="4"/>
                    <w:right w:val="single" w:color="000000" w:sz="4"/>
                  </w:tcBorders>
                </w:tcPr>
                <w:p/>
              </w:tc>
              <w:tc>
                <w:tcPr>
                  <w:tcW w:type="dxa" w:w="1645"/>
                  <w:tcBorders>
                    <w:top w:val="none" w:color="000000" w:sz="4"/>
                    <w:left w:val="none" w:color="000000" w:sz="4"/>
                    <w:bottom w:val="single" w:color="000000" w:sz="4"/>
                    <w:right w:val="single" w:color="000000" w:sz="4"/>
                  </w:tcBorders>
                </w:tcPr>
                <w:p>
                  <w:pPr>
                    <w:jc w:val="both"/>
                  </w:pPr>
                  <w:r>
                    <w:rPr>
                      <w:sz w:val="21"/>
                    </w:rPr>
                    <w:t>采样记录详细准确，有现场采样照片（5分）</w:t>
                  </w:r>
                </w:p>
              </w:tc>
            </w:tr>
            <w:tr>
              <w:tc>
                <w:tcPr>
                  <w:tcW w:type="dxa" w:w="532"/>
                  <w:vMerge w:val="restart"/>
                  <w:tcBorders>
                    <w:top w:val="none" w:color="000000" w:sz="4"/>
                    <w:left w:val="single" w:color="000000" w:sz="4"/>
                    <w:bottom w:val="single" w:color="000000" w:sz="4"/>
                    <w:right w:val="single" w:color="000000" w:sz="4"/>
                  </w:tcBorders>
                </w:tcPr>
                <w:p>
                  <w:pPr>
                    <w:jc w:val="center"/>
                  </w:pPr>
                  <w:r>
                    <w:rPr>
                      <w:sz w:val="21"/>
                    </w:rPr>
                    <w:t>4</w:t>
                  </w:r>
                </w:p>
              </w:tc>
              <w:tc>
                <w:tcPr>
                  <w:tcW w:type="dxa" w:w="847"/>
                  <w:vMerge w:val="restart"/>
                  <w:tcBorders>
                    <w:top w:val="none" w:color="000000" w:sz="4"/>
                    <w:left w:val="none" w:color="000000" w:sz="4"/>
                    <w:bottom w:val="single" w:color="000000" w:sz="4"/>
                    <w:right w:val="single" w:color="000000" w:sz="4"/>
                  </w:tcBorders>
                </w:tcPr>
                <w:p>
                  <w:pPr>
                    <w:jc w:val="both"/>
                  </w:pPr>
                  <w:r>
                    <w:rPr>
                      <w:sz w:val="21"/>
                    </w:rPr>
                    <w:t>河涌巡查报告提交情况（30分）</w:t>
                  </w:r>
                </w:p>
              </w:tc>
              <w:tc>
                <w:tcPr>
                  <w:tcW w:type="dxa" w:w="1312"/>
                  <w:vMerge w:val="restart"/>
                  <w:tcBorders>
                    <w:top w:val="none" w:color="000000" w:sz="4"/>
                    <w:left w:val="none" w:color="000000" w:sz="4"/>
                    <w:bottom w:val="single" w:color="000000" w:sz="4"/>
                    <w:right w:val="single" w:color="000000" w:sz="4"/>
                  </w:tcBorders>
                </w:tcPr>
                <w:p>
                  <w:pPr>
                    <w:jc w:val="both"/>
                  </w:pPr>
                  <w:r>
                    <w:rPr>
                      <w:sz w:val="21"/>
                    </w:rPr>
                    <w:t>按要求提交当月工作情况报告</w:t>
                  </w:r>
                </w:p>
              </w:tc>
              <w:tc>
                <w:tcPr>
                  <w:tcW w:type="dxa" w:w="1645"/>
                  <w:tcBorders>
                    <w:top w:val="none" w:color="000000" w:sz="4"/>
                    <w:left w:val="none" w:color="000000" w:sz="4"/>
                    <w:bottom w:val="single" w:color="000000" w:sz="4"/>
                    <w:right w:val="single" w:color="000000" w:sz="4"/>
                  </w:tcBorders>
                </w:tcPr>
                <w:p>
                  <w:pPr>
                    <w:jc w:val="both"/>
                  </w:pPr>
                  <w:r>
                    <w:rPr>
                      <w:sz w:val="21"/>
                    </w:rPr>
                    <w:t>按时提交（5分）</w:t>
                  </w:r>
                </w:p>
              </w:tc>
              <w:tc>
                <w:tcPr>
                  <w:tcW w:type="dxa" w:w="548"/>
                  <w:vMerge w:val="restart"/>
                  <w:tcBorders>
                    <w:top w:val="none" w:color="000000" w:sz="4"/>
                    <w:left w:val="none" w:color="000000" w:sz="4"/>
                    <w:bottom w:val="single" w:color="000000" w:sz="4"/>
                    <w:right w:val="single" w:color="000000" w:sz="4"/>
                  </w:tcBorders>
                </w:tcPr>
                <w:p>
                  <w:pPr>
                    <w:jc w:val="both"/>
                  </w:pPr>
                </w:p>
              </w:tc>
              <w:tc>
                <w:tcPr>
                  <w:tcW w:type="dxa" w:w="714"/>
                  <w:vMerge w:val="restart"/>
                  <w:tcBorders>
                    <w:top w:val="none" w:color="000000" w:sz="4"/>
                    <w:left w:val="none" w:color="000000" w:sz="4"/>
                    <w:bottom w:val="single" w:color="000000" w:sz="4"/>
                    <w:right w:val="single" w:color="000000" w:sz="4"/>
                  </w:tcBorders>
                </w:tcPr>
                <w:p>
                  <w:pPr>
                    <w:jc w:val="both"/>
                  </w:pPr>
                </w:p>
              </w:tc>
            </w:tr>
            <w:tr>
              <w:tc>
                <w:tcPr>
                  <w:tcW w:type="dxa" w:w="532"/>
                  <w:vMerge/>
                  <w:tcBorders>
                    <w:top w:val="none" w:color="000000" w:sz="4"/>
                    <w:left w:val="single" w:color="000000" w:sz="4"/>
                    <w:bottom w:val="single" w:color="000000" w:sz="4"/>
                    <w:right w:val="single" w:color="000000" w:sz="4"/>
                  </w:tcBorders>
                </w:tcPr>
                <w:p/>
              </w:tc>
              <w:tc>
                <w:tcPr>
                  <w:tcW w:type="dxa" w:w="847"/>
                  <w:vMerge/>
                  <w:tcBorders>
                    <w:top w:val="none" w:color="000000" w:sz="4"/>
                    <w:left w:val="none" w:color="000000" w:sz="4"/>
                    <w:bottom w:val="single" w:color="000000" w:sz="4"/>
                    <w:right w:val="single" w:color="000000" w:sz="4"/>
                  </w:tcBorders>
                </w:tcPr>
                <w:p/>
              </w:tc>
              <w:tc>
                <w:tcPr>
                  <w:tcW w:type="dxa" w:w="1312"/>
                  <w:vMerge/>
                  <w:tcBorders>
                    <w:top w:val="none" w:color="000000" w:sz="4"/>
                    <w:left w:val="none" w:color="000000" w:sz="4"/>
                    <w:bottom w:val="single" w:color="000000" w:sz="4"/>
                    <w:right w:val="single" w:color="000000" w:sz="4"/>
                  </w:tcBorders>
                </w:tcPr>
                <w:p/>
              </w:tc>
              <w:tc>
                <w:tcPr>
                  <w:tcW w:type="dxa" w:w="1645"/>
                  <w:tcBorders>
                    <w:top w:val="none" w:color="000000" w:sz="4"/>
                    <w:left w:val="none" w:color="000000" w:sz="4"/>
                    <w:bottom w:val="single" w:color="000000" w:sz="4"/>
                    <w:right w:val="single" w:color="000000" w:sz="4"/>
                  </w:tcBorders>
                </w:tcPr>
                <w:p>
                  <w:pPr>
                    <w:jc w:val="both"/>
                  </w:pPr>
                  <w:r>
                    <w:rPr>
                      <w:sz w:val="21"/>
                    </w:rPr>
                    <w:t>准确无误（5分）</w:t>
                  </w:r>
                </w:p>
              </w:tc>
            </w:tr>
            <w:tr>
              <w:tc>
                <w:tcPr>
                  <w:tcW w:type="dxa" w:w="532"/>
                  <w:vMerge/>
                  <w:tcBorders>
                    <w:top w:val="none" w:color="000000" w:sz="4"/>
                    <w:left w:val="single" w:color="000000" w:sz="4"/>
                    <w:bottom w:val="single" w:color="000000" w:sz="4"/>
                    <w:right w:val="single" w:color="000000" w:sz="4"/>
                  </w:tcBorders>
                </w:tcPr>
                <w:p/>
              </w:tc>
              <w:tc>
                <w:tcPr>
                  <w:tcW w:type="dxa" w:w="847"/>
                  <w:vMerge/>
                  <w:tcBorders>
                    <w:top w:val="none" w:color="000000" w:sz="4"/>
                    <w:left w:val="none" w:color="000000" w:sz="4"/>
                    <w:bottom w:val="single" w:color="000000" w:sz="4"/>
                    <w:right w:val="single" w:color="000000" w:sz="4"/>
                  </w:tcBorders>
                </w:tcPr>
                <w:p/>
              </w:tc>
              <w:tc>
                <w:tcPr>
                  <w:tcW w:type="dxa" w:w="1312"/>
                  <w:vMerge w:val="restart"/>
                  <w:tcBorders>
                    <w:top w:val="none" w:color="000000" w:sz="4"/>
                    <w:left w:val="none" w:color="000000" w:sz="4"/>
                    <w:bottom w:val="single" w:color="000000" w:sz="4"/>
                    <w:right w:val="single" w:color="000000" w:sz="4"/>
                  </w:tcBorders>
                </w:tcPr>
                <w:p>
                  <w:pPr>
                    <w:jc w:val="both"/>
                  </w:pPr>
                  <w:r>
                    <w:rPr>
                      <w:sz w:val="21"/>
                    </w:rPr>
                    <w:t>按要求提交现场巡查照片、原始记录档案等资料</w:t>
                  </w:r>
                </w:p>
              </w:tc>
              <w:tc>
                <w:tcPr>
                  <w:tcW w:type="dxa" w:w="1645"/>
                  <w:tcBorders>
                    <w:top w:val="none" w:color="000000" w:sz="4"/>
                    <w:left w:val="none" w:color="000000" w:sz="4"/>
                    <w:bottom w:val="single" w:color="000000" w:sz="4"/>
                    <w:right w:val="single" w:color="000000" w:sz="4"/>
                  </w:tcBorders>
                </w:tcPr>
                <w:p>
                  <w:pPr>
                    <w:jc w:val="both"/>
                  </w:pPr>
                  <w:r>
                    <w:rPr>
                      <w:sz w:val="21"/>
                    </w:rPr>
                    <w:t>按时提交（5分）</w:t>
                  </w:r>
                </w:p>
              </w:tc>
            </w:tr>
            <w:tr>
              <w:tc>
                <w:tcPr>
                  <w:tcW w:type="dxa" w:w="532"/>
                  <w:vMerge/>
                  <w:tcBorders>
                    <w:top w:val="none" w:color="000000" w:sz="4"/>
                    <w:left w:val="single" w:color="000000" w:sz="4"/>
                    <w:bottom w:val="single" w:color="000000" w:sz="4"/>
                    <w:right w:val="single" w:color="000000" w:sz="4"/>
                  </w:tcBorders>
                </w:tcPr>
                <w:p/>
              </w:tc>
              <w:tc>
                <w:tcPr>
                  <w:tcW w:type="dxa" w:w="847"/>
                  <w:vMerge/>
                  <w:tcBorders>
                    <w:top w:val="none" w:color="000000" w:sz="4"/>
                    <w:left w:val="none" w:color="000000" w:sz="4"/>
                    <w:bottom w:val="single" w:color="000000" w:sz="4"/>
                    <w:right w:val="single" w:color="000000" w:sz="4"/>
                  </w:tcBorders>
                </w:tcPr>
                <w:p/>
              </w:tc>
              <w:tc>
                <w:tcPr>
                  <w:tcW w:type="dxa" w:w="1312"/>
                  <w:vMerge/>
                  <w:tcBorders>
                    <w:top w:val="none" w:color="000000" w:sz="4"/>
                    <w:left w:val="none" w:color="000000" w:sz="4"/>
                    <w:bottom w:val="single" w:color="000000" w:sz="4"/>
                    <w:right w:val="single" w:color="000000" w:sz="4"/>
                  </w:tcBorders>
                </w:tcPr>
                <w:p/>
              </w:tc>
              <w:tc>
                <w:tcPr>
                  <w:tcW w:type="dxa" w:w="1645"/>
                  <w:tcBorders>
                    <w:top w:val="none" w:color="000000" w:sz="4"/>
                    <w:left w:val="none" w:color="000000" w:sz="4"/>
                    <w:bottom w:val="single" w:color="000000" w:sz="4"/>
                    <w:right w:val="single" w:color="000000" w:sz="4"/>
                  </w:tcBorders>
                </w:tcPr>
                <w:p>
                  <w:pPr>
                    <w:jc w:val="both"/>
                  </w:pPr>
                  <w:r>
                    <w:rPr>
                      <w:sz w:val="21"/>
                    </w:rPr>
                    <w:t>准确无误（5分）</w:t>
                  </w:r>
                </w:p>
              </w:tc>
            </w:tr>
            <w:tr>
              <w:tc>
                <w:tcPr>
                  <w:tcW w:type="dxa" w:w="532"/>
                  <w:vMerge/>
                  <w:tcBorders>
                    <w:top w:val="none" w:color="000000" w:sz="4"/>
                    <w:left w:val="single" w:color="000000" w:sz="4"/>
                    <w:bottom w:val="single" w:color="000000" w:sz="4"/>
                    <w:right w:val="single" w:color="000000" w:sz="4"/>
                  </w:tcBorders>
                </w:tcPr>
                <w:p/>
              </w:tc>
              <w:tc>
                <w:tcPr>
                  <w:tcW w:type="dxa" w:w="847"/>
                  <w:vMerge/>
                  <w:tcBorders>
                    <w:top w:val="none" w:color="000000" w:sz="4"/>
                    <w:left w:val="none" w:color="000000" w:sz="4"/>
                    <w:bottom w:val="single" w:color="000000" w:sz="4"/>
                    <w:right w:val="single" w:color="000000" w:sz="4"/>
                  </w:tcBorders>
                </w:tcPr>
                <w:p/>
              </w:tc>
              <w:tc>
                <w:tcPr>
                  <w:tcW w:type="dxa" w:w="1312"/>
                  <w:vMerge w:val="restart"/>
                  <w:tcBorders>
                    <w:top w:val="none" w:color="000000" w:sz="4"/>
                    <w:left w:val="none" w:color="000000" w:sz="4"/>
                    <w:bottom w:val="single" w:color="000000" w:sz="4"/>
                    <w:right w:val="single" w:color="000000" w:sz="4"/>
                  </w:tcBorders>
                </w:tcPr>
                <w:p>
                  <w:pPr>
                    <w:jc w:val="both"/>
                  </w:pPr>
                  <w:r>
                    <w:rPr>
                      <w:sz w:val="21"/>
                    </w:rPr>
                    <w:t>按要求提交CMA水质报告</w:t>
                  </w:r>
                </w:p>
              </w:tc>
              <w:tc>
                <w:tcPr>
                  <w:tcW w:type="dxa" w:w="1645"/>
                  <w:tcBorders>
                    <w:top w:val="none" w:color="000000" w:sz="4"/>
                    <w:left w:val="none" w:color="000000" w:sz="4"/>
                    <w:bottom w:val="single" w:color="000000" w:sz="4"/>
                    <w:right w:val="single" w:color="000000" w:sz="4"/>
                  </w:tcBorders>
                </w:tcPr>
                <w:p>
                  <w:pPr>
                    <w:jc w:val="both"/>
                  </w:pPr>
                  <w:r>
                    <w:rPr>
                      <w:sz w:val="21"/>
                    </w:rPr>
                    <w:t>按时提交（5分）</w:t>
                  </w:r>
                </w:p>
              </w:tc>
            </w:tr>
            <w:tr>
              <w:tc>
                <w:tcPr>
                  <w:tcW w:type="dxa" w:w="532"/>
                  <w:vMerge/>
                  <w:tcBorders>
                    <w:top w:val="none" w:color="000000" w:sz="4"/>
                    <w:left w:val="single" w:color="000000" w:sz="4"/>
                    <w:bottom w:val="single" w:color="000000" w:sz="4"/>
                    <w:right w:val="single" w:color="000000" w:sz="4"/>
                  </w:tcBorders>
                </w:tcPr>
                <w:p/>
              </w:tc>
              <w:tc>
                <w:tcPr>
                  <w:tcW w:type="dxa" w:w="847"/>
                  <w:vMerge/>
                  <w:tcBorders>
                    <w:top w:val="none" w:color="000000" w:sz="4"/>
                    <w:left w:val="none" w:color="000000" w:sz="4"/>
                    <w:bottom w:val="single" w:color="000000" w:sz="4"/>
                    <w:right w:val="single" w:color="000000" w:sz="4"/>
                  </w:tcBorders>
                </w:tcPr>
                <w:p/>
              </w:tc>
              <w:tc>
                <w:tcPr>
                  <w:tcW w:type="dxa" w:w="1312"/>
                  <w:vMerge/>
                  <w:tcBorders>
                    <w:top w:val="none" w:color="000000" w:sz="4"/>
                    <w:left w:val="none" w:color="000000" w:sz="4"/>
                    <w:bottom w:val="single" w:color="000000" w:sz="4"/>
                    <w:right w:val="single" w:color="000000" w:sz="4"/>
                  </w:tcBorders>
                </w:tcPr>
                <w:p/>
              </w:tc>
              <w:tc>
                <w:tcPr>
                  <w:tcW w:type="dxa" w:w="1645"/>
                  <w:tcBorders>
                    <w:top w:val="none" w:color="000000" w:sz="4"/>
                    <w:left w:val="none" w:color="000000" w:sz="4"/>
                    <w:bottom w:val="single" w:color="000000" w:sz="4"/>
                    <w:right w:val="single" w:color="000000" w:sz="4"/>
                  </w:tcBorders>
                </w:tcPr>
                <w:p>
                  <w:pPr>
                    <w:jc w:val="both"/>
                  </w:pPr>
                  <w:r>
                    <w:rPr>
                      <w:sz w:val="21"/>
                    </w:rPr>
                    <w:t>准确无误（5分）</w:t>
                  </w:r>
                </w:p>
              </w:tc>
            </w:tr>
            <w:tr>
              <w:tc>
                <w:tcPr>
                  <w:tcW w:type="dxa" w:w="532"/>
                  <w:vMerge w:val="restart"/>
                  <w:tcBorders>
                    <w:top w:val="none" w:color="000000" w:sz="4"/>
                    <w:left w:val="single" w:color="000000" w:sz="4"/>
                    <w:bottom w:val="single" w:color="000000" w:sz="4"/>
                    <w:right w:val="single" w:color="000000" w:sz="4"/>
                  </w:tcBorders>
                </w:tcPr>
                <w:p>
                  <w:pPr>
                    <w:jc w:val="center"/>
                  </w:pPr>
                  <w:r>
                    <w:rPr>
                      <w:sz w:val="21"/>
                    </w:rPr>
                    <w:t>5</w:t>
                  </w:r>
                </w:p>
              </w:tc>
              <w:tc>
                <w:tcPr>
                  <w:tcW w:type="dxa" w:w="847"/>
                  <w:vMerge w:val="restart"/>
                  <w:tcBorders>
                    <w:top w:val="none" w:color="000000" w:sz="4"/>
                    <w:left w:val="none" w:color="000000" w:sz="4"/>
                    <w:bottom w:val="single" w:color="000000" w:sz="4"/>
                    <w:right w:val="single" w:color="000000" w:sz="4"/>
                  </w:tcBorders>
                </w:tcPr>
                <w:p>
                  <w:pPr>
                    <w:jc w:val="both"/>
                  </w:pPr>
                  <w:r>
                    <w:rPr>
                      <w:sz w:val="21"/>
                    </w:rPr>
                    <w:t>应急检查情况（15分）</w:t>
                  </w:r>
                </w:p>
              </w:tc>
              <w:tc>
                <w:tcPr>
                  <w:tcW w:type="dxa" w:w="1312"/>
                  <w:tcBorders>
                    <w:top w:val="none" w:color="000000" w:sz="4"/>
                    <w:left w:val="none" w:color="000000" w:sz="4"/>
                    <w:bottom w:val="single" w:color="000000" w:sz="4"/>
                    <w:right w:val="single" w:color="000000" w:sz="4"/>
                  </w:tcBorders>
                </w:tcPr>
                <w:p>
                  <w:pPr>
                    <w:jc w:val="both"/>
                  </w:pPr>
                  <w:r>
                    <w:rPr>
                      <w:sz w:val="21"/>
                    </w:rPr>
                    <w:t>发生突发水质事故或接到上级部门紧急任务时，投标人在2小时内到达现场</w:t>
                  </w:r>
                </w:p>
              </w:tc>
              <w:tc>
                <w:tcPr>
                  <w:tcW w:type="dxa" w:w="1645"/>
                  <w:tcBorders>
                    <w:top w:val="none" w:color="000000" w:sz="4"/>
                    <w:left w:val="none" w:color="000000" w:sz="4"/>
                    <w:bottom w:val="single" w:color="000000" w:sz="4"/>
                    <w:right w:val="single" w:color="000000" w:sz="4"/>
                  </w:tcBorders>
                </w:tcPr>
                <w:p>
                  <w:pPr>
                    <w:jc w:val="both"/>
                  </w:pPr>
                  <w:r>
                    <w:rPr>
                      <w:sz w:val="21"/>
                    </w:rPr>
                    <w:t>中标人对突发应急工作响应不满足采购人要求的，一次扣10分。（10分）</w:t>
                  </w:r>
                </w:p>
              </w:tc>
              <w:tc>
                <w:tcPr>
                  <w:tcW w:type="dxa" w:w="548"/>
                  <w:vMerge w:val="restart"/>
                  <w:tcBorders>
                    <w:top w:val="none" w:color="000000" w:sz="4"/>
                    <w:left w:val="none" w:color="000000" w:sz="4"/>
                    <w:bottom w:val="single" w:color="000000" w:sz="4"/>
                    <w:right w:val="single" w:color="000000" w:sz="4"/>
                  </w:tcBorders>
                </w:tcPr>
                <w:p>
                  <w:pPr>
                    <w:jc w:val="both"/>
                  </w:pPr>
                </w:p>
              </w:tc>
              <w:tc>
                <w:tcPr>
                  <w:tcW w:type="dxa" w:w="714"/>
                  <w:vMerge w:val="restart"/>
                  <w:tcBorders>
                    <w:top w:val="none" w:color="000000" w:sz="4"/>
                    <w:left w:val="none" w:color="000000" w:sz="4"/>
                    <w:bottom w:val="single" w:color="000000" w:sz="4"/>
                    <w:right w:val="single" w:color="000000" w:sz="4"/>
                  </w:tcBorders>
                </w:tcPr>
                <w:p>
                  <w:pPr>
                    <w:jc w:val="both"/>
                  </w:pPr>
                </w:p>
              </w:tc>
            </w:tr>
            <w:tr>
              <w:tc>
                <w:tcPr>
                  <w:tcW w:type="dxa" w:w="532"/>
                  <w:vMerge/>
                  <w:tcBorders>
                    <w:top w:val="none" w:color="000000" w:sz="4"/>
                    <w:left w:val="single" w:color="000000" w:sz="4"/>
                    <w:bottom w:val="single" w:color="000000" w:sz="4"/>
                    <w:right w:val="single" w:color="000000" w:sz="4"/>
                  </w:tcBorders>
                </w:tcPr>
                <w:p/>
              </w:tc>
              <w:tc>
                <w:tcPr>
                  <w:tcW w:type="dxa" w:w="847"/>
                  <w:vMerge/>
                  <w:tcBorders>
                    <w:top w:val="none" w:color="000000" w:sz="4"/>
                    <w:left w:val="none" w:color="000000" w:sz="4"/>
                    <w:bottom w:val="single" w:color="000000" w:sz="4"/>
                    <w:right w:val="single" w:color="000000" w:sz="4"/>
                  </w:tcBorders>
                </w:tcPr>
                <w:p/>
              </w:tc>
              <w:tc>
                <w:tcPr>
                  <w:tcW w:type="dxa" w:w="1312"/>
                  <w:tcBorders>
                    <w:top w:val="none" w:color="000000" w:sz="4"/>
                    <w:left w:val="none" w:color="000000" w:sz="4"/>
                    <w:bottom w:val="single" w:color="000000" w:sz="4"/>
                    <w:right w:val="single" w:color="000000" w:sz="4"/>
                  </w:tcBorders>
                </w:tcPr>
                <w:p>
                  <w:pPr>
                    <w:jc w:val="both"/>
                  </w:pPr>
                  <w:r>
                    <w:rPr>
                      <w:sz w:val="21"/>
                    </w:rPr>
                    <w:t>周末及节假日均需有固定的应急队伍待命</w:t>
                  </w:r>
                </w:p>
              </w:tc>
              <w:tc>
                <w:tcPr>
                  <w:tcW w:type="dxa" w:w="1645"/>
                  <w:tcBorders>
                    <w:top w:val="none" w:color="000000" w:sz="4"/>
                    <w:left w:val="none" w:color="000000" w:sz="4"/>
                    <w:bottom w:val="single" w:color="000000" w:sz="4"/>
                    <w:right w:val="single" w:color="000000" w:sz="4"/>
                  </w:tcBorders>
                </w:tcPr>
                <w:p>
                  <w:pPr>
                    <w:jc w:val="both"/>
                  </w:pPr>
                  <w:r>
                    <w:rPr>
                      <w:sz w:val="21"/>
                    </w:rPr>
                    <w:t>中标人周末及节假日均需有固定的应急队伍待命不满足采购人要求的，一次扣5分（5分）</w:t>
                  </w:r>
                </w:p>
              </w:tc>
            </w:tr>
            <w:tr>
              <w:tc>
                <w:tcPr>
                  <w:tcW w:type="dxa" w:w="532"/>
                  <w:tcBorders>
                    <w:top w:val="none" w:color="000000" w:sz="4"/>
                    <w:left w:val="single" w:color="000000" w:sz="4"/>
                    <w:bottom w:val="single" w:color="000000" w:sz="4"/>
                    <w:right w:val="single" w:color="000000" w:sz="4"/>
                  </w:tcBorders>
                </w:tcPr>
                <w:p>
                  <w:pPr>
                    <w:jc w:val="center"/>
                  </w:pPr>
                  <w:r>
                    <w:rPr>
                      <w:sz w:val="21"/>
                    </w:rPr>
                    <w:t>6</w:t>
                  </w:r>
                </w:p>
              </w:tc>
              <w:tc>
                <w:tcPr>
                  <w:tcW w:type="dxa" w:w="847"/>
                  <w:tcBorders>
                    <w:top w:val="none" w:color="000000" w:sz="4"/>
                    <w:left w:val="none" w:color="000000" w:sz="4"/>
                    <w:bottom w:val="single" w:color="000000" w:sz="4"/>
                    <w:right w:val="single" w:color="000000" w:sz="4"/>
                  </w:tcBorders>
                </w:tcPr>
                <w:p>
                  <w:pPr>
                    <w:jc w:val="both"/>
                  </w:pPr>
                  <w:r>
                    <w:rPr>
                      <w:sz w:val="21"/>
                    </w:rPr>
                    <w:t>人员考核（10分）</w:t>
                  </w:r>
                </w:p>
              </w:tc>
              <w:tc>
                <w:tcPr>
                  <w:tcW w:type="dxa" w:w="1312"/>
                  <w:tcBorders>
                    <w:top w:val="none" w:color="000000" w:sz="4"/>
                    <w:left w:val="none" w:color="000000" w:sz="4"/>
                    <w:bottom w:val="single" w:color="000000" w:sz="4"/>
                    <w:right w:val="single" w:color="000000" w:sz="4"/>
                  </w:tcBorders>
                </w:tcPr>
                <w:p>
                  <w:pPr>
                    <w:jc w:val="both"/>
                  </w:pPr>
                  <w:r>
                    <w:rPr>
                      <w:sz w:val="21"/>
                    </w:rPr>
                    <w:t>按招标需求3.3.6对派驻人员进行管理</w:t>
                  </w:r>
                </w:p>
              </w:tc>
              <w:tc>
                <w:tcPr>
                  <w:tcW w:type="dxa" w:w="1645"/>
                  <w:tcBorders>
                    <w:top w:val="none" w:color="000000" w:sz="4"/>
                    <w:left w:val="none" w:color="000000" w:sz="4"/>
                    <w:bottom w:val="single" w:color="000000" w:sz="4"/>
                    <w:right w:val="single" w:color="000000" w:sz="4"/>
                  </w:tcBorders>
                </w:tcPr>
                <w:p>
                  <w:pPr>
                    <w:jc w:val="both"/>
                  </w:pPr>
                  <w:r>
                    <w:rPr>
                      <w:sz w:val="21"/>
                    </w:rPr>
                    <w:t>未按要求对派驻人员进行管理，一次扣10分</w:t>
                  </w:r>
                </w:p>
              </w:tc>
              <w:tc>
                <w:tcPr>
                  <w:tcW w:type="dxa" w:w="548"/>
                  <w:tcBorders>
                    <w:top w:val="none" w:color="000000" w:sz="4"/>
                    <w:left w:val="none" w:color="000000" w:sz="4"/>
                    <w:bottom w:val="single" w:color="000000" w:sz="4"/>
                    <w:right w:val="single" w:color="000000" w:sz="4"/>
                  </w:tcBorders>
                </w:tcPr>
                <w:p>
                  <w:pPr>
                    <w:jc w:val="both"/>
                  </w:pPr>
                </w:p>
              </w:tc>
              <w:tc>
                <w:tcPr>
                  <w:tcW w:type="dxa" w:w="714"/>
                  <w:tcBorders>
                    <w:top w:val="none" w:color="000000" w:sz="4"/>
                    <w:left w:val="none" w:color="000000" w:sz="4"/>
                    <w:bottom w:val="single" w:color="000000" w:sz="4"/>
                    <w:right w:val="single" w:color="000000" w:sz="4"/>
                  </w:tcBorders>
                </w:tcPr>
                <w:p>
                  <w:pPr>
                    <w:jc w:val="both"/>
                  </w:pPr>
                </w:p>
              </w:tc>
            </w:tr>
          </w:tbl>
          <w:p>
            <w:pPr>
              <w:ind w:firstLine="480"/>
              <w:jc w:val="left"/>
            </w:pP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1.采购代理机构：本项目是指广东志正招标有限公司，负责整个采购活动的组织，依法负责编制和发布招标文件，对招标文件拥有最终的解释权，不以任何身份出任评标委员会成员。</w:t>
      </w:r>
    </w:p>
    <w:p>
      <w:pPr>
        <w:ind w:firstLine="480"/>
      </w:pPr>
      <w:r>
        <w:rPr/>
        <w:t>2.采购人：本项目是指</w:t>
      </w:r>
      <w:r>
        <w:rPr/>
        <w:t>广州市城市排水监测站</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1</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br/>
            </w:r>
            <w:r>
              <w:rPr/>
              <w:t xml:space="preserve">     （3）纸质投标文件正本1份，纸质投标文件副本3份。纸质投标文件应与电子投标文件一致（递交的纸质文件需密封完好，注明“正本”和“副本”字样，正本和副本分别封装。如果正本与副本不符，应以正本为准。）。</w:t>
            </w:r>
            <w:r>
              <w:br/>
            </w:r>
            <w:r>
              <w:rPr>
                <w:b/>
              </w:rPr>
              <w:t xml:space="preserve">    纸质投标文件使用情形：</w:t>
            </w:r>
            <w:r>
              <w:rPr/>
              <w:t>当项目采购系统出现故障，无法使用电子投标文件评标时，代理机构可根据云平台发布的通知指引，根据实际情况使用纸质投标文件评标。</w:t>
            </w:r>
            <w:r>
              <w:br/>
            </w:r>
            <w:r>
              <w:rPr/>
              <w:t xml:space="preserve">    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采购机构代理服务收费标准：中标人须向采购代理机构按如下标准和规定缴纳招标代理服务费（不含税）： （1）以项目中标金额作为招标代理服务费的计算基数； （2）招标代理服务费采用差额定率累进法进行计算，按照以下标准计取： 100万元以下的部分，按照1.5%计取； 100-500万元的部分，按照0.8%计取； 500-1000万元的部分，按照0.45%计取； 1000-5000万元的部分，按照0.25%计取。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其他，新型冠状病毒感染肺炎疫情防控期间的便利化措施（本招标文件其他条款与本条不一致的，以本条为准），投标文件的递交与开标 1. 疫情防控期间，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3）注明采购项目编号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 疫情防控期间，我司暂停中标（成交）通知书、服务费（标书款）发票现场领取，中标（成交）通知书、我司将通过快递方式送达给中标（成交）人，服务费（标书款）发票以邮件方式发送电子发票。 采购合同送达 疫情防控期间，我司提倡中标（成交）人优先采用邮寄方式将签订的合同及时送达我司。 1）收件地址：广州市天河区龙怡路117号银汇大厦5楼 2）收件人：广东志正招标有限公司前台 3）注明采购项目编号</w:t>
            </w:r>
          </w:p>
        </w:tc>
      </w:tr>
      <w:tr>
        <w:tc>
          <w:tcPr>
            <w:tcW w:type="dxa" w:w="1051"/>
          </w:tcPr>
          <w:p>
            <w:r>
              <w:rPr/>
              <w:t>19</w:t>
            </w:r>
          </w:p>
        </w:tc>
        <w:tc>
          <w:tcPr>
            <w:tcW w:type="dxa" w:w="2252"/>
          </w:tcPr>
          <w:p>
            <w:r>
              <w:rPr/>
              <w:t>开标解密时长</w:t>
            </w:r>
          </w:p>
        </w:tc>
        <w:tc>
          <w:tcPr>
            <w:tcW w:type="dxa" w:w="5004"/>
          </w:tcPr>
          <w:p>
            <w:r>
              <w:rPr/>
              <w:t>.</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广东志正招标有限公司（https://www.zztender.com/）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内控部</w:t>
      </w:r>
    </w:p>
    <w:p>
      <w:pPr>
        <w:ind w:firstLine="480"/>
      </w:pPr>
      <w:r>
        <w:rPr/>
        <w:t>电话：</w:t>
      </w:r>
      <w:r>
        <w:rPr/>
        <w:t>020-87512543</w:t>
      </w:r>
    </w:p>
    <w:p>
      <w:pPr>
        <w:ind w:firstLine="480"/>
      </w:pPr>
      <w:r>
        <w:rPr/>
        <w:t>传真：</w:t>
      </w:r>
      <w:r>
        <w:rPr/>
        <w:t>020-87554028</w:t>
      </w:r>
    </w:p>
    <w:p>
      <w:pPr>
        <w:ind w:firstLine="480"/>
      </w:pPr>
      <w:r>
        <w:rPr/>
        <w:t>邮箱：</w:t>
      </w:r>
      <w:r>
        <w:rPr/>
        <w:t>nkb@zztender.com</w:t>
      </w:r>
    </w:p>
    <w:p>
      <w:pPr>
        <w:ind w:firstLine="480"/>
      </w:pPr>
      <w:r>
        <w:rPr/>
        <w:t>地址：</w:t>
      </w:r>
      <w:r>
        <w:rPr/>
        <w:t>广东省广州市天河区龙怡路117号银汇大厦5楼</w:t>
      </w:r>
    </w:p>
    <w:p>
      <w:pPr>
        <w:ind w:firstLine="480"/>
      </w:pPr>
      <w:r>
        <w:rPr/>
        <w:t>邮编：</w:t>
      </w:r>
      <w:r>
        <w:rPr/>
        <w:t>510640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政府采购监督管理机构名称：广州市财政局政府采购监管处</w:t>
      </w:r>
    </w:p>
    <w:p>
      <w:r>
        <w:rPr/>
        <w:t>地  址：广州市天河区华利路61号1506室</w:t>
      </w:r>
    </w:p>
    <w:p>
      <w:r>
        <w:rPr/>
        <w:t>电  话：020-38923544</w:t>
      </w:r>
    </w:p>
    <w:p>
      <w:r>
        <w:rPr/>
        <w:t>邮  编：510030</w:t>
      </w:r>
    </w:p>
    <w:p>
      <w:r>
        <w:rPr/>
        <w:t>传  真：020-38923544</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广州市重点河涌问题台账更新与整治效果跟踪评估)：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广东志正招标有限公司</w:t>
      </w:r>
      <w:r>
        <w:rPr/>
        <w:t>统一对外发布。</w:t>
      </w:r>
    </w:p>
    <w:p>
      <w:pPr>
        <w:ind w:firstLine="480"/>
      </w:pPr>
      <w:r>
        <w:rPr/>
        <w:t>（2）对</w:t>
      </w:r>
      <w:r>
        <w:rPr/>
        <w:t>广东志正招标有限公司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采购包1（广州市重点河涌问题台账更新与整治效果跟踪评估）：</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本项目服务全部为小型或微型企业承接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小型、微型企业，监狱企业，残疾人福利性单位</w:t>
            </w:r>
          </w:p>
        </w:tc>
        <w:tc>
          <w:tcPr>
            <w:tcW w:type="dxa" w:w="2160"/>
          </w:tcPr>
          <w:p>
            <w:r>
              <w:rPr/>
              <w:t>投标（响应）供应商为大中型企业与小微企业组成联合体或者大中型企业向一家或者多家小微企业分包的，对于联合体协议或者分包意向协议约定小微企业的合同份额占到合同总金额30%以上</w:t>
            </w:r>
          </w:p>
        </w:tc>
        <w:tc>
          <w:tcPr>
            <w:tcW w:type="dxa" w:w="1246"/>
          </w:tcPr>
          <w:p>
            <w:r>
              <w:rPr/>
              <w:t>4%</w:t>
            </w:r>
          </w:p>
        </w:tc>
        <w:tc>
          <w:tcPr>
            <w:tcW w:type="dxa" w:w="2160"/>
          </w:tcPr>
          <w:p>
            <w:pPr>
              <w:jc w:val="left"/>
            </w:pPr>
            <w:r>
              <w:rPr/>
              <w:t>大中型企业与小微企业组成联合体或者允许大中型企业向一家或者多家小微企业分包的采购项目，对于联合协议或者分包意向协议约定小微企业的合同份额占到合同总金额 30%以上的，报价给予价格扣除C1，即：评标价=投标报价×（1-C1）;监狱企业与残疾人福利性单位视同小型、微型企业，享受同等价格扣除，当企业属性重复时，不重复价格扣除。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采购包1（广州市重点河涌问题台账更新与整治效果跟踪评估）：</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有依法缴纳税收和社会保障资金的良好记录，提供签署及盖章合格的投标函。</w:t>
            </w:r>
          </w:p>
        </w:tc>
      </w:tr>
      <w:tr>
        <w:tc>
          <w:tcPr>
            <w:tcW w:type="dxa" w:w="890"/>
          </w:tcPr>
          <w:p>
            <w:r>
              <w:rPr/>
              <w:t>3</w:t>
            </w:r>
          </w:p>
        </w:tc>
        <w:tc>
          <w:tcPr>
            <w:tcW w:type="dxa" w:w="3178"/>
          </w:tcPr>
          <w:p>
            <w:r>
              <w:rPr/>
              <w:t>具有良好的商业信誉和健全的财务会计制度</w:t>
            </w:r>
          </w:p>
        </w:tc>
        <w:tc>
          <w:tcPr>
            <w:tcW w:type="dxa" w:w="4238"/>
          </w:tcPr>
          <w:p>
            <w:r>
              <w:rPr/>
              <w:t>具有良好的商业信誉和健全的财务会计制度，提供签署及盖章合格的投标函。</w:t>
            </w:r>
          </w:p>
        </w:tc>
      </w:tr>
      <w:tr>
        <w:tc>
          <w:tcPr>
            <w:tcW w:type="dxa" w:w="890"/>
          </w:tcPr>
          <w:p>
            <w:r>
              <w:rPr/>
              <w:t>4</w:t>
            </w:r>
          </w:p>
        </w:tc>
        <w:tc>
          <w:tcPr>
            <w:tcW w:type="dxa" w:w="3178"/>
          </w:tcPr>
          <w:p>
            <w:r>
              <w:rPr/>
              <w:t>履行合同所必需的设备和专业技术能力</w:t>
            </w:r>
          </w:p>
        </w:tc>
        <w:tc>
          <w:tcPr>
            <w:tcW w:type="dxa" w:w="4238"/>
          </w:tcPr>
          <w:p>
            <w:r>
              <w:rPr/>
              <w:t>具有履行合同所必需的设备和专业技术能力，提供签署及盖章合格的投标函。</w:t>
            </w:r>
          </w:p>
        </w:tc>
      </w:tr>
      <w:tr>
        <w:tc>
          <w:tcPr>
            <w:tcW w:type="dxa" w:w="890"/>
          </w:tcPr>
          <w:p>
            <w:r>
              <w:rPr/>
              <w:t>5</w:t>
            </w:r>
          </w:p>
        </w:tc>
        <w:tc>
          <w:tcPr>
            <w:tcW w:type="dxa" w:w="3178"/>
          </w:tcPr>
          <w:p>
            <w:r>
              <w:rPr/>
              <w:t>参加采购活动前3年内，在经营活动中没有重大违法记录</w:t>
            </w:r>
          </w:p>
        </w:tc>
        <w:tc>
          <w:tcPr>
            <w:tcW w:type="dxa" w:w="4238"/>
          </w:tcPr>
          <w:p>
            <w:r>
              <w:rPr/>
              <w:t>参加政府采购活动前三年内，在经营活动中没有重大违法记录，提供签署及盖章合格的投标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w:t>
            </w:r>
          </w:p>
        </w:tc>
      </w:tr>
      <w:tr>
        <w:tc>
          <w:tcPr>
            <w:tcW w:type="dxa" w:w="890"/>
          </w:tcPr>
          <w:p>
            <w:r>
              <w:rPr/>
              <w:t>6</w:t>
            </w:r>
          </w:p>
        </w:tc>
        <w:tc>
          <w:tcPr>
            <w:tcW w:type="dxa" w:w="3178"/>
          </w:tcPr>
          <w:p>
            <w:r>
              <w:rPr/>
              <w:t>信用记录</w:t>
            </w:r>
          </w:p>
        </w:tc>
        <w:tc>
          <w:tcPr>
            <w:tcW w:type="dxa" w:w="4238"/>
          </w:tcPr>
          <w:p>
            <w:r>
              <w:rPr/>
              <w:t>①未列入失信被执行人、重大税收违法失信主体、政府采购严重违法失信行为记录名单的供应商（以开标当日资格审查人员在“信用中国”网站（www.creditchina.gov.cn）、中国政府采购网（www.ccgp.gov.cn）的查询结果为准；处罚期限届满的除外。如“信用中国”网站查询结果显示“没有找到您搜索的企业”或“没有找到您搜索数据”，视为没有上述三类不良信用记录）。②若投标人具有分公司的，其所属分公司有上述不良信用记录的，视同该投标人存在不良信用记录。③若投标人为分公司的，其所属总公司（总所）存在上述不良信用记录的，视同该分公司存在不良信用记录。</w:t>
            </w:r>
          </w:p>
        </w:tc>
      </w:tr>
      <w:tr>
        <w:tc>
          <w:tcPr>
            <w:tcW w:type="dxa" w:w="890"/>
          </w:tcPr>
          <w:p>
            <w:r>
              <w:rPr/>
              <w:t>7</w:t>
            </w:r>
          </w:p>
        </w:tc>
        <w:tc>
          <w:tcPr>
            <w:tcW w:type="dxa" w:w="3178"/>
          </w:tcPr>
          <w:p>
            <w:r>
              <w:rPr/>
              <w:t>供应商必须符合法律、行政法规规定的其他条件</w:t>
            </w:r>
          </w:p>
        </w:tc>
        <w:tc>
          <w:tcPr>
            <w:tcW w:type="dxa" w:w="4238"/>
          </w:tcPr>
          <w:p>
            <w:r>
              <w:rPr/>
              <w:t>不得参与同一采购项目竞争的供应商（提供签署及盖章合格的投标函）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tc>
      </w:tr>
      <w:tr>
        <w:tc>
          <w:tcPr>
            <w:tcW w:type="dxa" w:w="890"/>
          </w:tcPr>
          <w:p>
            <w:r>
              <w:rPr/>
              <w:t>8</w:t>
            </w:r>
          </w:p>
        </w:tc>
        <w:tc>
          <w:tcPr>
            <w:tcW w:type="dxa" w:w="3178"/>
          </w:tcPr>
          <w:p>
            <w:r>
              <w:rPr/>
              <w:t>本项目接受联合体投标。</w:t>
            </w:r>
          </w:p>
        </w:tc>
        <w:tc>
          <w:tcPr>
            <w:tcW w:type="dxa" w:w="4238"/>
          </w:tcPr>
          <w:p>
            <w:r>
              <w:rPr/>
              <w:t>本项目接受联合体投标。</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采购包1（广州市重点河涌问题台账更新与整治效果跟踪评估）：</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符合投标有效期</w:t>
            </w:r>
          </w:p>
        </w:tc>
      </w:tr>
      <w:tr>
        <w:tc>
          <w:tcPr>
            <w:tcW w:type="dxa" w:w="890"/>
          </w:tcPr>
          <w:p>
            <w:r>
              <w:rPr/>
              <w:t>2</w:t>
            </w:r>
          </w:p>
        </w:tc>
        <w:tc>
          <w:tcPr>
            <w:tcW w:type="dxa" w:w="3178"/>
          </w:tcPr>
          <w:p>
            <w:r>
              <w:rPr/>
              <w:t>投标文件按照招标文件规定要求签署、盖章</w:t>
            </w:r>
          </w:p>
        </w:tc>
        <w:tc>
          <w:tcPr>
            <w:tcW w:type="dxa" w:w="4238"/>
          </w:tcPr>
          <w:p>
            <w:r>
              <w:rPr/>
              <w:t>投标文件按照招标文件规定要求签署、盖章，包含：①投标函；②法定代表人证明书或法定代表人授权书；③开标一览表；④分项报价表</w:t>
            </w:r>
          </w:p>
        </w:tc>
      </w:tr>
      <w:tr>
        <w:tc>
          <w:tcPr>
            <w:tcW w:type="dxa" w:w="890"/>
          </w:tcPr>
          <w:p>
            <w:r>
              <w:rPr/>
              <w:t>3</w:t>
            </w:r>
          </w:p>
        </w:tc>
        <w:tc>
          <w:tcPr>
            <w:tcW w:type="dxa" w:w="3178"/>
          </w:tcPr>
          <w:p>
            <w:r>
              <w:rPr/>
              <w:t>投标报价</w:t>
            </w:r>
          </w:p>
        </w:tc>
        <w:tc>
          <w:tcPr>
            <w:tcW w:type="dxa" w:w="4238"/>
          </w:tcPr>
          <w:p>
            <w:r>
              <w:rPr/>
              <w:t>投标报价没有超出预算金额或最高限价。</w:t>
            </w:r>
          </w:p>
        </w:tc>
      </w:tr>
      <w:tr>
        <w:tc>
          <w:tcPr>
            <w:tcW w:type="dxa" w:w="890"/>
          </w:tcPr>
          <w:p>
            <w:r>
              <w:rPr/>
              <w:t>4</w:t>
            </w:r>
          </w:p>
        </w:tc>
        <w:tc>
          <w:tcPr>
            <w:tcW w:type="dxa" w:w="3178"/>
          </w:tcPr>
          <w:p>
            <w:r>
              <w:rPr/>
              <w:t>标注“★”的条款的满足情况</w:t>
            </w:r>
          </w:p>
        </w:tc>
        <w:tc>
          <w:tcPr>
            <w:tcW w:type="dxa" w:w="4238"/>
          </w:tcPr>
          <w:p>
            <w:r>
              <w:rPr/>
              <w:t>完全满足招标文件中标注“★”的条款</w:t>
            </w:r>
          </w:p>
        </w:tc>
      </w:tr>
      <w:tr>
        <w:tc>
          <w:tcPr>
            <w:tcW w:type="dxa" w:w="890"/>
          </w:tcPr>
          <w:p>
            <w:r>
              <w:rPr/>
              <w:t>5</w:t>
            </w:r>
          </w:p>
        </w:tc>
        <w:tc>
          <w:tcPr>
            <w:tcW w:type="dxa" w:w="3178"/>
          </w:tcPr>
          <w:p>
            <w:r>
              <w:rPr/>
              <w:t>未出现有关法律、法规、规章或招标文件规定的属于投标无效的情形</w:t>
            </w:r>
          </w:p>
        </w:tc>
        <w:tc>
          <w:tcPr>
            <w:tcW w:type="dxa" w:w="4238"/>
          </w:tcPr>
          <w:p>
            <w:r>
              <w:rPr/>
              <w:t>未出现有关法律、法规、规章或招标文件规定的属于投标无效的情形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采购包1(广州市重点河涌问题台账更新与整治效果跟踪评估):</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商务部分45.0分</w:t>
            </w:r>
          </w:p>
          <w:p>
            <w:r>
              <w:rPr/>
              <w:t>技术部分45.0分</w:t>
            </w:r>
          </w:p>
          <w:p>
            <w:r>
              <w:rPr/>
              <w:t>报价得分10.0分</w:t>
            </w:r>
          </w:p>
        </w:tc>
      </w:tr>
      <w:tr>
        <w:tc>
          <w:tcPr>
            <w:tcW w:type="dxa" w:w="922"/>
            <w:gridSpan w:val="2"/>
            <w:vMerge w:val="restart"/>
          </w:tcPr>
          <w:p>
            <w:pPr>
              <w:jc w:val="center"/>
            </w:pPr>
            <w:r>
              <w:rPr/>
              <w:t>技术部分</w:t>
            </w:r>
          </w:p>
        </w:tc>
        <w:tc>
          <w:tcPr>
            <w:tcW w:type="dxa" w:w="2307"/>
          </w:tcPr>
          <w:p>
            <w:pPr>
              <w:jc w:val="left"/>
            </w:pPr>
            <w:r>
              <w:rPr/>
              <w:t>项目理解及重难点分析 (7.0分)</w:t>
            </w:r>
          </w:p>
        </w:tc>
        <w:tc>
          <w:tcPr>
            <w:tcW w:type="dxa" w:w="5076"/>
          </w:tcPr>
          <w:p>
            <w:pPr>
              <w:jc w:val="left"/>
            </w:pPr>
            <w:r>
              <w:rPr/>
              <w:t>根据投标人对本项目的理解及重难点分析进行评审： 投标人针对本项目的理解到位，重难点应对措施合理、可行，描述到位，理解深刻、见解独到得7分； 投标人针对本项目的理解较到位，重难点应对措施较合理、较可行，理解较深刻得5分； 投标人针对本项目的理解不到位，重难点应对措施仅具备一定的合理性、可行性，对相关情况有一定的了解得3分； 不提供不得分。</w:t>
            </w:r>
          </w:p>
        </w:tc>
      </w:tr>
      <w:tr>
        <w:tc>
          <w:tcPr>
            <w:tcW w:type="dxa" w:w="922"/>
            <w:gridSpan w:val="2"/>
            <w:vMerge/>
          </w:tcPr>
          <w:p/>
        </w:tc>
        <w:tc>
          <w:tcPr>
            <w:tcW w:type="dxa" w:w="2307"/>
          </w:tcPr>
          <w:p>
            <w:pPr>
              <w:jc w:val="left"/>
            </w:pPr>
            <w:r>
              <w:rPr/>
              <w:t>项目实施方案 (8.0分)</w:t>
            </w:r>
          </w:p>
        </w:tc>
        <w:tc>
          <w:tcPr>
            <w:tcW w:type="dxa" w:w="5076"/>
          </w:tcPr>
          <w:p>
            <w:pPr>
              <w:jc w:val="left"/>
            </w:pPr>
            <w:r>
              <w:rPr/>
              <w:t>根据投标人的项目实施方案（包括但不限于：质量控制计划、安全管理等内容、采用的技术思路和方法等）进行评审： 投标人的项目实施方案完整、详细，对本项目实施的范围明确，采用的技术思路和方法清晰、合理、可行，得8分； 投标人的项目实施方案较完整、较详细，对本项目实施的范围较明确，采用的技术思路和方法较清晰、较合理、较可行，得6分； 投标人的项目实施方案不完整、不详细，对本项目实施的范围不明确，采用的技术思路和方法仅具备一定的合理性、可行性，得4分； 不提供不得分。</w:t>
            </w:r>
          </w:p>
        </w:tc>
      </w:tr>
      <w:tr>
        <w:tc>
          <w:tcPr>
            <w:tcW w:type="dxa" w:w="922"/>
            <w:gridSpan w:val="2"/>
            <w:vMerge/>
          </w:tcPr>
          <w:p/>
        </w:tc>
        <w:tc>
          <w:tcPr>
            <w:tcW w:type="dxa" w:w="2307"/>
          </w:tcPr>
          <w:p>
            <w:pPr>
              <w:jc w:val="left"/>
            </w:pPr>
            <w:r>
              <w:rPr/>
              <w:t>水质突发污染应急方案 (8.0分)</w:t>
            </w:r>
          </w:p>
        </w:tc>
        <w:tc>
          <w:tcPr>
            <w:tcW w:type="dxa" w:w="5076"/>
          </w:tcPr>
          <w:p>
            <w:pPr>
              <w:jc w:val="left"/>
            </w:pPr>
            <w:r>
              <w:rPr/>
              <w:t>根据投标人的水质突发污染应急方案（包括但不限于：监测方案、分析方案）等进行评审： 投标人的水质突发污染应急方案合理、可操作性强，得8分； 投标人的水质突发污染应急方案较合理、可操作性较强，得5分； 投标人的水质突发污染应急方案仅具备一定的合理性、可操作性，得2分； 不提供不得分。</w:t>
            </w:r>
          </w:p>
        </w:tc>
      </w:tr>
      <w:tr>
        <w:tc>
          <w:tcPr>
            <w:tcW w:type="dxa" w:w="922"/>
            <w:gridSpan w:val="2"/>
            <w:vMerge/>
          </w:tcPr>
          <w:p/>
        </w:tc>
        <w:tc>
          <w:tcPr>
            <w:tcW w:type="dxa" w:w="2307"/>
          </w:tcPr>
          <w:p>
            <w:pPr>
              <w:jc w:val="left"/>
            </w:pPr>
            <w:r>
              <w:rPr/>
              <w:t>工期进度计划 (5.0分)</w:t>
            </w:r>
          </w:p>
        </w:tc>
        <w:tc>
          <w:tcPr>
            <w:tcW w:type="dxa" w:w="5076"/>
          </w:tcPr>
          <w:p>
            <w:pPr>
              <w:jc w:val="left"/>
            </w:pPr>
            <w:r>
              <w:rPr/>
              <w:t>根据投标人的工期进度计划（包括但不限于：巡查计划、跟踪评估计划、提交成果时间等）进行评审： 投标人的工期进度计划科学、合理，可操作性强，得5分； 投标人的工期进度计划较科学、较合理，可操作性较强，得3分； 投标人的工期进度计划仅具备一定的科学性、合理性，可操作性低，得1分； 不提供不得分。</w:t>
            </w:r>
          </w:p>
        </w:tc>
      </w:tr>
      <w:tr>
        <w:tc>
          <w:tcPr>
            <w:tcW w:type="dxa" w:w="922"/>
            <w:gridSpan w:val="2"/>
            <w:vMerge/>
          </w:tcPr>
          <w:p/>
        </w:tc>
        <w:tc>
          <w:tcPr>
            <w:tcW w:type="dxa" w:w="2307"/>
          </w:tcPr>
          <w:p>
            <w:pPr>
              <w:jc w:val="left"/>
            </w:pPr>
            <w:r>
              <w:rPr/>
              <w:t>服务保障实力 (17.0分)</w:t>
            </w:r>
          </w:p>
        </w:tc>
        <w:tc>
          <w:tcPr>
            <w:tcW w:type="dxa" w:w="5076"/>
          </w:tcPr>
          <w:p>
            <w:pPr>
              <w:jc w:val="left"/>
            </w:pPr>
            <w:r>
              <w:rPr/>
              <w:t>(1)投标人具有检测氨氮、透明度、溶解氧、氧化还原电位、COD、总磷等水质项目的计量认证证书的实验室，得5分，否则不得分。 (2）投标人每提供一个政府部门、行业或协会等颁发的奖项，得1分，本项最高得12分。 注：提供上述证明材料的复印件。</w:t>
            </w:r>
          </w:p>
        </w:tc>
      </w:tr>
      <w:tr>
        <w:tc>
          <w:tcPr>
            <w:tcW w:type="dxa" w:w="922"/>
            <w:gridSpan w:val="2"/>
            <w:vMerge w:val="restart"/>
          </w:tcPr>
          <w:p>
            <w:pPr>
              <w:jc w:val="center"/>
            </w:pPr>
            <w:r>
              <w:rPr/>
              <w:t>商务部分</w:t>
            </w:r>
          </w:p>
        </w:tc>
        <w:tc>
          <w:tcPr>
            <w:tcW w:type="dxa" w:w="2307"/>
          </w:tcPr>
          <w:p>
            <w:pPr>
              <w:jc w:val="left"/>
            </w:pPr>
            <w:r>
              <w:rPr/>
              <w:t>同类项目经验 (11.0分)</w:t>
            </w:r>
          </w:p>
        </w:tc>
        <w:tc>
          <w:tcPr>
            <w:tcW w:type="dxa" w:w="5076"/>
          </w:tcPr>
          <w:p>
            <w:pPr>
              <w:jc w:val="left"/>
            </w:pPr>
            <w:r>
              <w:rPr/>
              <w:t>2018年1月1日以来（以合同签订时间为准），投标人具有同类项目经验的（以合同关键页为准），每个得1分；本项最高得11分。 注：提供上述有效的合同关键页复印件，并加盖公章。</w:t>
            </w:r>
          </w:p>
        </w:tc>
      </w:tr>
      <w:tr>
        <w:tc>
          <w:tcPr>
            <w:tcW w:type="dxa" w:w="922"/>
            <w:gridSpan w:val="2"/>
            <w:vMerge/>
          </w:tcPr>
          <w:p/>
        </w:tc>
        <w:tc>
          <w:tcPr>
            <w:tcW w:type="dxa" w:w="2307"/>
          </w:tcPr>
          <w:p>
            <w:pPr>
              <w:jc w:val="left"/>
            </w:pPr>
            <w:r>
              <w:rPr/>
              <w:t>项目负责人履历 (13.0分)</w:t>
            </w:r>
          </w:p>
        </w:tc>
        <w:tc>
          <w:tcPr>
            <w:tcW w:type="dxa" w:w="5076"/>
          </w:tcPr>
          <w:p>
            <w:pPr>
              <w:jc w:val="left"/>
            </w:pPr>
            <w:r>
              <w:rPr/>
              <w:t>①项目负责人具有高级（或以上）职称，得5分； ②2018年1月1日以来项目负责人具有同类项目经历的（提供证明文件)，每个得4分，最高得8分； 注：提供上述人员投标截止前6个月内任意1个月社保证明文件复印件；职称复印件；上述经历有效的合同关键页复印件或其他相关证明文件。</w:t>
            </w:r>
          </w:p>
        </w:tc>
      </w:tr>
      <w:tr>
        <w:tc>
          <w:tcPr>
            <w:tcW w:type="dxa" w:w="922"/>
            <w:gridSpan w:val="2"/>
            <w:vMerge/>
          </w:tcPr>
          <w:p/>
        </w:tc>
        <w:tc>
          <w:tcPr>
            <w:tcW w:type="dxa" w:w="2307"/>
          </w:tcPr>
          <w:p>
            <w:pPr>
              <w:jc w:val="left"/>
            </w:pPr>
            <w:r>
              <w:rPr/>
              <w:t>投标人服务保障 (6.0分)</w:t>
            </w:r>
          </w:p>
        </w:tc>
        <w:tc>
          <w:tcPr>
            <w:tcW w:type="dxa" w:w="5076"/>
          </w:tcPr>
          <w:p>
            <w:pPr>
              <w:jc w:val="left"/>
            </w:pPr>
            <w:r>
              <w:rPr/>
              <w:t>①拟为本项目投入自有或租赁采样车辆有3辆或以上，得3分。 注：1）提供车辆购买发票或租赁合同（合同租赁服务时间必须覆盖本项目实施时间，或书面承诺合同履行时延续租赁合同以覆盖本项目实施时间 2）车辆图片及行驶证复印件作为评分依据。 3）提供车辆如为非广州属地的，需要在广州限号行驶条件下满足人员每日正常外出，提供书面承诺。 ②投标人应具备水质突发污染时间的监测能力及水质分析审核能力，因此须确保本项目水质样品于抽样2小时内送回投入本项目使用的实验室（实验室地址以实验室认证证书所列地址为准）检验，提供书面承诺，得3分；其他不得分。</w:t>
            </w:r>
          </w:p>
        </w:tc>
      </w:tr>
      <w:tr>
        <w:tc>
          <w:tcPr>
            <w:tcW w:type="dxa" w:w="922"/>
            <w:gridSpan w:val="2"/>
            <w:vMerge/>
          </w:tcPr>
          <w:p/>
        </w:tc>
        <w:tc>
          <w:tcPr>
            <w:tcW w:type="dxa" w:w="2307"/>
          </w:tcPr>
          <w:p>
            <w:pPr>
              <w:jc w:val="left"/>
            </w:pPr>
            <w:r>
              <w:rPr/>
              <w:t>人员保障实力 (15.0分)</w:t>
            </w:r>
          </w:p>
        </w:tc>
        <w:tc>
          <w:tcPr>
            <w:tcW w:type="dxa" w:w="5076"/>
          </w:tcPr>
          <w:p>
            <w:pPr>
              <w:jc w:val="left"/>
            </w:pPr>
            <w:r>
              <w:rPr/>
              <w:t>①拟投入本项目的人员持有高级（或以上）职称为8人，得5分，每增加1 人得1分。本项满分9分。 ②拟投入本项目的人员中级（或以上）职称≥8人，得6分；8人＞中级（或以上）职称≥6人，得3分；6人＞中级（或以上）职称≥4人，得1分； 4人＞中级（或以上）职称，不得分； 注：投标文件中需提供上述技术人员的职称证书及投标截止前6个月内任意1个月的社保证明复印件。同一人具有高级职称与中级职称的不可重复计算。</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color w:val="000000"/>
          <w:sz w:val="36"/>
        </w:rPr>
        <w:t>广州市政府采购项目</w:t>
      </w:r>
    </w:p>
    <w:p>
      <w:pPr>
        <w:jc w:val="center"/>
      </w:pPr>
    </w:p>
    <w:p>
      <w:pPr>
        <w:jc w:val="center"/>
      </w:pPr>
      <w:r>
        <w:rPr>
          <w:color w:val="000000"/>
          <w:sz w:val="36"/>
        </w:rPr>
        <w:t>合同书</w:t>
      </w:r>
    </w:p>
    <w:p>
      <w:pPr>
        <w:jc w:val="both"/>
      </w:pPr>
    </w:p>
    <w:p>
      <w:pPr>
        <w:jc w:val="both"/>
      </w:pPr>
    </w:p>
    <w:p>
      <w:pPr>
        <w:jc w:val="both"/>
      </w:pPr>
    </w:p>
    <w:p>
      <w:pPr>
        <w:jc w:val="both"/>
      </w:pPr>
    </w:p>
    <w:p>
      <w:pPr>
        <w:jc w:val="both"/>
      </w:pPr>
    </w:p>
    <w:p>
      <w:pPr>
        <w:jc w:val="both"/>
      </w:pPr>
    </w:p>
    <w:p>
      <w:pPr>
        <w:jc w:val="both"/>
      </w:pPr>
    </w:p>
    <w:p>
      <w:pPr>
        <w:jc w:val="both"/>
      </w:pPr>
    </w:p>
    <w:p>
      <w:pPr>
        <w:ind w:firstLine="422"/>
        <w:jc w:val="both"/>
      </w:pPr>
    </w:p>
    <w:p>
      <w:pPr>
        <w:ind w:firstLine="422"/>
      </w:pPr>
      <w:r>
        <w:rPr>
          <w:b/>
          <w:color w:val="000000"/>
          <w:sz w:val="24"/>
        </w:rPr>
        <w:t>项目名称：</w:t>
      </w:r>
      <w:r>
        <w:rPr>
          <w:b/>
          <w:color w:val="000000"/>
          <w:sz w:val="24"/>
          <w:u w:val="single"/>
        </w:rPr>
        <w:t>广州市重点河涌问题台账更新与整治效果跟踪评估</w:t>
      </w:r>
    </w:p>
    <w:p>
      <w:pPr>
        <w:ind w:firstLine="422"/>
      </w:pPr>
      <w:r>
        <w:rPr>
          <w:b/>
          <w:color w:val="000000"/>
          <w:sz w:val="24"/>
        </w:rPr>
        <w:t>合同编号：</w:t>
      </w:r>
      <w:r>
        <w:rPr>
          <w:b/>
          <w:color w:val="000000"/>
          <w:sz w:val="24"/>
          <w:u w:val="single"/>
        </w:rPr>
        <w:t xml:space="preserve">                                      </w:t>
      </w:r>
    </w:p>
    <w:p>
      <w:pPr>
        <w:ind w:firstLine="422"/>
      </w:pPr>
      <w:r>
        <w:rPr>
          <w:b/>
          <w:color w:val="000000"/>
          <w:sz w:val="24"/>
        </w:rPr>
        <w:t>签约地点：</w:t>
      </w:r>
      <w:r>
        <w:rPr>
          <w:b/>
          <w:color w:val="000000"/>
          <w:sz w:val="24"/>
          <w:u w:val="single"/>
        </w:rPr>
        <w:t xml:space="preserve">              广州市                 </w:t>
      </w:r>
    </w:p>
    <w:p>
      <w:pPr>
        <w:ind w:firstLine="422"/>
      </w:pPr>
      <w:r>
        <w:rPr>
          <w:b/>
          <w:color w:val="000000"/>
          <w:sz w:val="24"/>
        </w:rPr>
        <w:t>签订日期：</w:t>
      </w:r>
      <w:r>
        <w:rPr>
          <w:b/>
          <w:color w:val="000000"/>
          <w:sz w:val="24"/>
          <w:u w:val="single"/>
        </w:rPr>
        <w:t xml:space="preserve">           年    月    日            </w:t>
      </w:r>
    </w:p>
    <w:p/>
    <w:p>
      <w:pPr>
        <w:jc w:val="left"/>
      </w:pPr>
    </w:p>
    <w:p>
      <w:pPr>
        <w:jc w:val="both"/>
      </w:pPr>
    </w:p>
    <w:p>
      <w:pPr>
        <w:ind w:firstLine="210"/>
        <w:jc w:val="both"/>
      </w:pP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b/>
          <w:color w:val="000000"/>
          <w:sz w:val="21"/>
        </w:rPr>
        <w:t>甲方：</w:t>
      </w:r>
      <w:r>
        <w:rPr>
          <w:b/>
          <w:color w:val="000000"/>
          <w:sz w:val="21"/>
          <w:u w:val="single"/>
        </w:rPr>
        <w:t xml:space="preserve">    广州市城市排水监测站    </w:t>
      </w:r>
    </w:p>
    <w:p>
      <w:pPr>
        <w:jc w:val="both"/>
      </w:pPr>
      <w:r>
        <w:rPr>
          <w:b/>
          <w:color w:val="000000"/>
          <w:sz w:val="21"/>
        </w:rPr>
        <w:t>乙方:</w:t>
      </w:r>
      <w:r>
        <w:rPr>
          <w:b/>
          <w:color w:val="000000"/>
          <w:sz w:val="21"/>
          <w:u w:val="single"/>
        </w:rPr>
        <w:t xml:space="preserve">                             </w:t>
      </w:r>
    </w:p>
    <w:p>
      <w:pPr>
        <w:ind w:firstLine="456"/>
        <w:jc w:val="both"/>
      </w:pPr>
      <w:r>
        <w:rPr>
          <w:color w:val="000000"/>
          <w:sz w:val="21"/>
        </w:rPr>
        <w:t>广州市城市排水监测站（以下简称甲方）</w:t>
      </w:r>
      <w:r>
        <w:rPr>
          <w:b/>
          <w:color w:val="000000"/>
          <w:sz w:val="21"/>
        </w:rPr>
        <w:t>与</w:t>
      </w:r>
      <w:r>
        <w:rPr>
          <w:b/>
          <w:color w:val="000000"/>
          <w:sz w:val="21"/>
          <w:u w:val="single"/>
        </w:rPr>
        <w:t xml:space="preserve">                   </w:t>
      </w:r>
      <w:r>
        <w:rPr>
          <w:color w:val="000000"/>
          <w:sz w:val="21"/>
        </w:rPr>
        <w:t>（以下简称乙方）就乙方为</w:t>
      </w:r>
      <w:r>
        <w:rPr>
          <w:color w:val="000000"/>
          <w:sz w:val="21"/>
          <w:u w:val="single"/>
        </w:rPr>
        <w:t>广州市重点河涌问题台账更新与整治效果跟踪评估</w:t>
      </w:r>
      <w:r>
        <w:rPr>
          <w:color w:val="000000"/>
          <w:sz w:val="21"/>
        </w:rPr>
        <w:t>向甲方提供的服务，经甲乙双方协商一致，签订本合同，共同遵守如下条款：</w:t>
      </w:r>
    </w:p>
    <w:p>
      <w:pPr>
        <w:jc w:val="both"/>
      </w:pPr>
      <w:r>
        <w:rPr>
          <w:b/>
          <w:color w:val="000000"/>
          <w:sz w:val="21"/>
        </w:rPr>
        <w:t>一、合同标的</w:t>
      </w:r>
    </w:p>
    <w:p>
      <w:pPr>
        <w:jc w:val="both"/>
      </w:pPr>
      <w:r>
        <w:rPr>
          <w:color w:val="000000"/>
          <w:sz w:val="21"/>
        </w:rPr>
        <w:t>1</w:t>
      </w:r>
      <w:r>
        <w:rPr>
          <w:color w:val="000000"/>
          <w:sz w:val="21"/>
        </w:rPr>
        <w:t>．</w:t>
      </w:r>
      <w:r>
        <w:rPr>
          <w:color w:val="000000"/>
          <w:sz w:val="21"/>
        </w:rPr>
        <w:t>本合同标的为</w:t>
      </w:r>
      <w:r>
        <w:rPr>
          <w:color w:val="000000"/>
          <w:sz w:val="21"/>
          <w:u w:val="single"/>
        </w:rPr>
        <w:t>广州市重点河涌问题台账更新与整治效果跟踪评估</w:t>
      </w:r>
      <w:r>
        <w:rPr>
          <w:color w:val="000000"/>
          <w:sz w:val="21"/>
        </w:rPr>
        <w:t>。</w:t>
      </w:r>
    </w:p>
    <w:p>
      <w:pPr>
        <w:jc w:val="both"/>
      </w:pPr>
      <w:r>
        <w:rPr>
          <w:b/>
          <w:color w:val="000000"/>
          <w:sz w:val="21"/>
        </w:rPr>
        <w:t>二、 价格</w:t>
      </w:r>
    </w:p>
    <w:p>
      <w:pPr>
        <w:jc w:val="both"/>
      </w:pPr>
      <w:r>
        <w:rPr>
          <w:color w:val="000000"/>
          <w:sz w:val="21"/>
        </w:rPr>
        <w:t>1</w:t>
      </w:r>
      <w:r>
        <w:rPr>
          <w:color w:val="000000"/>
          <w:sz w:val="21"/>
        </w:rPr>
        <w:t>．合同总价：</w:t>
      </w:r>
      <w:r>
        <w:rPr>
          <w:color w:val="000000"/>
          <w:sz w:val="21"/>
          <w:u w:val="single"/>
        </w:rPr>
        <w:t xml:space="preserve">           元（            ）</w:t>
      </w:r>
      <w:r>
        <w:rPr>
          <w:color w:val="000000"/>
          <w:sz w:val="21"/>
        </w:rPr>
        <w:t>。</w:t>
      </w:r>
    </w:p>
    <w:p>
      <w:pPr>
        <w:jc w:val="both"/>
      </w:pPr>
      <w:r>
        <w:rPr>
          <w:color w:val="000000"/>
          <w:sz w:val="21"/>
        </w:rPr>
        <w:t>2</w:t>
      </w:r>
      <w:r>
        <w:rPr>
          <w:color w:val="000000"/>
          <w:sz w:val="21"/>
        </w:rPr>
        <w:t>．乙方开具中华人民共和国普通发票或增值税发票。</w:t>
      </w:r>
    </w:p>
    <w:p>
      <w:pPr>
        <w:jc w:val="both"/>
      </w:pPr>
      <w:r>
        <w:rPr>
          <w:b/>
          <w:color w:val="000000"/>
          <w:sz w:val="21"/>
        </w:rPr>
        <w:t>三、 项目实施时间、地点</w:t>
      </w:r>
    </w:p>
    <w:p>
      <w:pPr>
        <w:jc w:val="both"/>
      </w:pPr>
      <w:r>
        <w:rPr>
          <w:color w:val="000000"/>
          <w:sz w:val="21"/>
        </w:rPr>
        <w:t>1</w:t>
      </w:r>
      <w:r>
        <w:rPr>
          <w:color w:val="000000"/>
          <w:sz w:val="21"/>
        </w:rPr>
        <w:t>．项目实施时间：自合同签订起12个月。</w:t>
      </w:r>
    </w:p>
    <w:p>
      <w:pPr>
        <w:jc w:val="both"/>
      </w:pPr>
      <w:r>
        <w:rPr>
          <w:color w:val="000000"/>
          <w:sz w:val="21"/>
        </w:rPr>
        <w:t>2</w:t>
      </w:r>
      <w:r>
        <w:rPr>
          <w:color w:val="000000"/>
          <w:sz w:val="21"/>
        </w:rPr>
        <w:t>．实施地点：</w:t>
      </w:r>
      <w:r>
        <w:rPr>
          <w:color w:val="000000"/>
          <w:sz w:val="21"/>
          <w:u w:val="single"/>
        </w:rPr>
        <w:t>本项目巡查、跟踪评估工作涉及的及甲方指定地点。</w:t>
      </w:r>
    </w:p>
    <w:p>
      <w:pPr>
        <w:jc w:val="left"/>
      </w:pPr>
      <w:r>
        <w:rPr>
          <w:b/>
          <w:color w:val="000000"/>
          <w:sz w:val="21"/>
        </w:rPr>
        <w:t>四、双方的工作职责和义务</w:t>
      </w:r>
    </w:p>
    <w:p>
      <w:pPr>
        <w:ind w:firstLine="420"/>
        <w:jc w:val="left"/>
      </w:pPr>
      <w:r>
        <w:rPr>
          <w:color w:val="000000"/>
          <w:sz w:val="21"/>
        </w:rPr>
        <w:t>（一）甲方</w:t>
      </w:r>
    </w:p>
    <w:p>
      <w:pPr>
        <w:ind w:firstLine="420"/>
        <w:jc w:val="both"/>
      </w:pPr>
      <w:r>
        <w:rPr>
          <w:color w:val="000000"/>
          <w:sz w:val="21"/>
        </w:rPr>
        <w:t>1.</w:t>
      </w:r>
      <w:r>
        <w:rPr>
          <w:color w:val="000000"/>
          <w:sz w:val="21"/>
        </w:rPr>
        <w:t>甲方指派</w:t>
      </w:r>
      <w:r>
        <w:rPr>
          <w:color w:val="000000"/>
          <w:sz w:val="21"/>
          <w:u w:val="single"/>
        </w:rPr>
        <w:t xml:space="preserve">        </w:t>
      </w:r>
      <w:r>
        <w:rPr>
          <w:color w:val="000000"/>
          <w:sz w:val="21"/>
        </w:rPr>
        <w:t>为项目联系人；</w:t>
      </w:r>
    </w:p>
    <w:p>
      <w:pPr>
        <w:ind w:firstLine="420"/>
        <w:jc w:val="both"/>
      </w:pPr>
      <w:r>
        <w:rPr>
          <w:color w:val="000000"/>
          <w:sz w:val="21"/>
        </w:rPr>
        <w:t>2.</w:t>
      </w:r>
      <w:r>
        <w:rPr>
          <w:color w:val="000000"/>
          <w:sz w:val="21"/>
        </w:rPr>
        <w:t>为乙方提供项目实施必要的提供技术咨询及支持；</w:t>
      </w:r>
    </w:p>
    <w:p>
      <w:pPr>
        <w:ind w:firstLine="420"/>
        <w:jc w:val="both"/>
      </w:pPr>
      <w:r>
        <w:rPr>
          <w:color w:val="000000"/>
          <w:sz w:val="21"/>
        </w:rPr>
        <w:t>3.</w:t>
      </w:r>
      <w:r>
        <w:rPr>
          <w:color w:val="000000"/>
          <w:sz w:val="21"/>
        </w:rPr>
        <w:t>按本合同书的约定支付项目费用；</w:t>
      </w:r>
    </w:p>
    <w:p>
      <w:pPr>
        <w:ind w:firstLine="420"/>
        <w:jc w:val="both"/>
      </w:pPr>
      <w:r>
        <w:rPr>
          <w:color w:val="000000"/>
          <w:sz w:val="21"/>
        </w:rPr>
        <w:t>4.</w:t>
      </w:r>
      <w:r>
        <w:rPr>
          <w:color w:val="000000"/>
          <w:sz w:val="21"/>
        </w:rPr>
        <w:t>监督乙方工作的开展情况，有权对乙方工作提出建议及整改意见，乙方应按甲方意见限期整改。</w:t>
      </w:r>
    </w:p>
    <w:p>
      <w:pPr>
        <w:ind w:firstLine="420"/>
        <w:jc w:val="left"/>
      </w:pPr>
      <w:r>
        <w:rPr>
          <w:color w:val="000000"/>
          <w:sz w:val="21"/>
        </w:rPr>
        <w:t>（二）乙方</w:t>
      </w:r>
    </w:p>
    <w:p>
      <w:pPr>
        <w:ind w:firstLine="420"/>
        <w:jc w:val="both"/>
      </w:pPr>
      <w:r>
        <w:rPr>
          <w:color w:val="000000"/>
          <w:sz w:val="21"/>
        </w:rPr>
        <w:t>1.</w:t>
      </w:r>
      <w:r>
        <w:rPr>
          <w:color w:val="000000"/>
          <w:sz w:val="21"/>
        </w:rPr>
        <w:t>工作内容</w:t>
      </w:r>
    </w:p>
    <w:p>
      <w:pPr>
        <w:ind w:firstLine="420"/>
        <w:jc w:val="both"/>
      </w:pPr>
      <w:r>
        <w:rPr>
          <w:color w:val="000000"/>
          <w:sz w:val="21"/>
        </w:rPr>
        <w:t>（1）重点河涌问题台账更新与整治效果跟踪评估</w:t>
      </w:r>
    </w:p>
    <w:p>
      <w:pPr>
        <w:ind w:firstLine="420"/>
        <w:jc w:val="both"/>
      </w:pPr>
      <w:r>
        <w:rPr>
          <w:color w:val="000000"/>
          <w:sz w:val="21"/>
        </w:rPr>
        <w:t>①河涌筛选</w:t>
      </w:r>
    </w:p>
    <w:p>
      <w:pPr>
        <w:ind w:firstLine="420"/>
        <w:jc w:val="both"/>
      </w:pPr>
      <w:r>
        <w:rPr>
          <w:color w:val="000000"/>
          <w:sz w:val="21"/>
        </w:rPr>
        <w:t>根据《城市黑臭水体整治工作指南》（以下简称《指南》）中城市黑臭水体分级指标和污染程度分级标准相关要求，结合每月水质监测结果及各级政府或部门通报以及群众投诉等情况，每个季度筛选水质较差的或水质波动较大的河涌作为该季度现场巡查的目标河涌，合同期内共抽取不少于160条（次）河涌，具体数量以实际需求为准。</w:t>
      </w:r>
    </w:p>
    <w:p>
      <w:pPr>
        <w:ind w:firstLine="420"/>
        <w:jc w:val="both"/>
      </w:pPr>
      <w:r>
        <w:rPr>
          <w:color w:val="000000"/>
          <w:sz w:val="21"/>
        </w:rPr>
        <w:t>②现场巡查</w:t>
      </w:r>
    </w:p>
    <w:p>
      <w:pPr>
        <w:ind w:firstLine="420"/>
        <w:jc w:val="both"/>
      </w:pPr>
      <w:r>
        <w:rPr>
          <w:color w:val="000000"/>
          <w:sz w:val="21"/>
        </w:rPr>
        <w:t>参照《城市黑臭水体治理核查工作手册》相关要求，每季度对抽取的目标河涌开展现场巡查，主要核查河涌控源截污、垃圾清理、内源治理、生态修复方面的整治效果与河涌水质达标情况。其中：</w:t>
      </w:r>
    </w:p>
    <w:p>
      <w:pPr>
        <w:ind w:firstLine="420"/>
        <w:jc w:val="both"/>
      </w:pPr>
      <w:r>
        <w:rPr>
          <w:color w:val="000000"/>
          <w:sz w:val="21"/>
        </w:rPr>
        <w:t>控源截污方面要求沿河（湖）污水收集处理体系基本建成并有效运行；</w:t>
      </w:r>
    </w:p>
    <w:p>
      <w:pPr>
        <w:ind w:firstLine="420"/>
        <w:jc w:val="both"/>
      </w:pPr>
      <w:r>
        <w:rPr>
          <w:color w:val="000000"/>
          <w:sz w:val="21"/>
        </w:rPr>
        <w:t>垃圾清理方面要求沿河（湖）垃圾收集、转运及处理处置措施有效落实；</w:t>
      </w:r>
    </w:p>
    <w:p>
      <w:pPr>
        <w:ind w:firstLine="420"/>
        <w:jc w:val="both"/>
      </w:pPr>
      <w:r>
        <w:rPr>
          <w:color w:val="000000"/>
          <w:sz w:val="21"/>
        </w:rPr>
        <w:t>内源治理方面要求河涌底泥内源污染得到有效控制，清淤后底泥需得到安全处理处置。</w:t>
      </w:r>
    </w:p>
    <w:p>
      <w:pPr>
        <w:ind w:firstLine="420"/>
        <w:jc w:val="both"/>
      </w:pPr>
      <w:r>
        <w:rPr>
          <w:color w:val="000000"/>
          <w:sz w:val="21"/>
        </w:rPr>
        <w:t>③水质监测</w:t>
      </w:r>
    </w:p>
    <w:p>
      <w:pPr>
        <w:ind w:firstLine="420"/>
        <w:jc w:val="both"/>
      </w:pPr>
      <w:r>
        <w:rPr>
          <w:color w:val="000000"/>
          <w:sz w:val="21"/>
        </w:rPr>
        <w:t>现场核查同步开展水质监测，监测步骤及方法严格参照《城市黑臭水体整治工作指南》。原则上，晴天直接开展水质监测，小雨雨停后、中雨雨停48小时后、大雨及以上雨停72小时后开展水质监测。（降雨量等级划分参照GB/T 28592-2012）</w:t>
      </w:r>
    </w:p>
    <w:p>
      <w:pPr>
        <w:ind w:firstLine="420"/>
        <w:jc w:val="both"/>
      </w:pPr>
      <w:r>
        <w:rPr>
          <w:color w:val="000000"/>
          <w:sz w:val="21"/>
        </w:rPr>
        <w:t>水质监测结果需符合《指南》关于基本消除水体黑臭的指标要求，即每条河涌氨氮、溶解氧、透明度、氧化还原电位四项指标的所有采样点的监测结果的算术平均值均需达到不黑不臭标准。</w:t>
      </w:r>
    </w:p>
    <w:p>
      <w:pPr>
        <w:ind w:firstLine="210"/>
        <w:jc w:val="both"/>
      </w:pPr>
    </w:p>
    <w:p>
      <w:pPr>
        <w:ind w:firstLine="420"/>
        <w:jc w:val="both"/>
      </w:pPr>
      <w:r>
        <w:rPr>
          <w:color w:val="000000"/>
          <w:sz w:val="21"/>
        </w:rPr>
        <w:t>④编制报告</w:t>
      </w:r>
    </w:p>
    <w:p>
      <w:pPr>
        <w:ind w:firstLine="420"/>
        <w:jc w:val="both"/>
      </w:pPr>
      <w:r>
        <w:rPr>
          <w:color w:val="000000"/>
          <w:sz w:val="21"/>
        </w:rPr>
        <w:t>每季度巡查工作完成后，结合现场巡查问题清单与水质检测结果，对河涌整治效果进行综合分析与评价，编制《广州市重点整治河涌跟踪评估抽查巡查报告》。</w:t>
      </w:r>
    </w:p>
    <w:p>
      <w:pPr>
        <w:ind w:firstLine="420"/>
        <w:jc w:val="both"/>
      </w:pPr>
      <w:r>
        <w:rPr>
          <w:color w:val="000000"/>
          <w:sz w:val="21"/>
        </w:rPr>
        <w:t>（2）重点河涌雨季水质影响分析</w:t>
      </w:r>
    </w:p>
    <w:p>
      <w:pPr>
        <w:ind w:firstLine="420"/>
        <w:jc w:val="both"/>
      </w:pPr>
      <w:r>
        <w:rPr>
          <w:color w:val="000000"/>
          <w:sz w:val="21"/>
        </w:rPr>
        <w:t>为了解降水过程河涌的水质变化特征，于广州市汛期期间，选取不少于30条重点河涌，对照例行监测和降雨过程的水质监测结果，开展河涌和控源截污和垃圾清理等现场情况巡查。对比降水对河涌的水质影响程度，探究其原因和特点，为后续的水质提升和监控管理提供支持。</w:t>
      </w:r>
    </w:p>
    <w:p>
      <w:pPr>
        <w:ind w:firstLine="420"/>
        <w:jc w:val="both"/>
      </w:pPr>
      <w:r>
        <w:rPr>
          <w:color w:val="000000"/>
          <w:sz w:val="21"/>
        </w:rPr>
        <w:t>①河涌选择</w:t>
      </w:r>
    </w:p>
    <w:p>
      <w:pPr>
        <w:ind w:firstLine="420"/>
        <w:jc w:val="both"/>
      </w:pPr>
      <w:r>
        <w:rPr>
          <w:color w:val="000000"/>
          <w:sz w:val="21"/>
        </w:rPr>
        <w:t>选择广州市内代表性30条河涌，包括河网区河涌/非河网区河涌、感潮河涌/非感潮河涌。</w:t>
      </w:r>
    </w:p>
    <w:p>
      <w:pPr>
        <w:ind w:firstLine="420"/>
        <w:jc w:val="both"/>
      </w:pPr>
      <w:r>
        <w:rPr>
          <w:color w:val="000000"/>
          <w:sz w:val="21"/>
        </w:rPr>
        <w:t>②监测指标</w:t>
      </w:r>
    </w:p>
    <w:p>
      <w:pPr>
        <w:ind w:firstLine="420"/>
        <w:jc w:val="both"/>
      </w:pPr>
      <w:r>
        <w:rPr>
          <w:color w:val="000000"/>
          <w:sz w:val="21"/>
        </w:rPr>
        <w:t>监测30条河涌晴天、雨中和雨后的水质情况，监测指标为氨氮、COD、总磷。</w:t>
      </w:r>
    </w:p>
    <w:p>
      <w:pPr>
        <w:ind w:firstLine="420"/>
        <w:jc w:val="both"/>
      </w:pPr>
      <w:r>
        <w:rPr>
          <w:color w:val="000000"/>
          <w:sz w:val="21"/>
        </w:rPr>
        <w:t>③现场巡查</w:t>
      </w:r>
    </w:p>
    <w:p>
      <w:pPr>
        <w:ind w:firstLine="420"/>
        <w:jc w:val="both"/>
      </w:pPr>
      <w:r>
        <w:rPr>
          <w:color w:val="000000"/>
          <w:sz w:val="21"/>
        </w:rPr>
        <w:t>参照《城市黑臭水体治理核查工作手册》相关要求，主要核查河涌控源截污、垃圾清理、内源治理、生态修复方面的整治效果。</w:t>
      </w:r>
    </w:p>
    <w:p>
      <w:pPr>
        <w:ind w:firstLine="420"/>
        <w:jc w:val="both"/>
      </w:pPr>
      <w:r>
        <w:rPr>
          <w:color w:val="000000"/>
          <w:sz w:val="21"/>
        </w:rPr>
        <w:t>④编制报告</w:t>
      </w:r>
    </w:p>
    <w:p>
      <w:pPr>
        <w:ind w:firstLine="420"/>
        <w:jc w:val="both"/>
      </w:pPr>
      <w:r>
        <w:rPr>
          <w:color w:val="000000"/>
          <w:sz w:val="21"/>
        </w:rPr>
        <w:t>对照例行监测和降雨过程的水质监测结果、现场情况巡查结果及在线监测数据，分析降水对河涌的水质影响程度，探究其原因和特点，完成《重点河涌雨季水质影响分析报告》。</w:t>
      </w:r>
    </w:p>
    <w:p>
      <w:pPr>
        <w:ind w:firstLine="420"/>
        <w:jc w:val="both"/>
      </w:pPr>
      <w:r>
        <w:rPr>
          <w:color w:val="000000"/>
          <w:sz w:val="21"/>
        </w:rPr>
        <w:t>按照甲方要求编制相关的专项分析报告等。</w:t>
      </w:r>
    </w:p>
    <w:p>
      <w:pPr>
        <w:ind w:firstLine="420"/>
        <w:jc w:val="both"/>
      </w:pPr>
      <w:r>
        <w:rPr>
          <w:color w:val="000000"/>
          <w:sz w:val="21"/>
        </w:rPr>
        <w:t>2.</w:t>
      </w:r>
      <w:r>
        <w:rPr>
          <w:color w:val="000000"/>
          <w:sz w:val="21"/>
        </w:rPr>
        <w:t>人员要求</w:t>
      </w:r>
    </w:p>
    <w:p>
      <w:pPr>
        <w:ind w:firstLine="420"/>
        <w:jc w:val="both"/>
      </w:pPr>
      <w:r>
        <w:rPr>
          <w:color w:val="000000"/>
          <w:sz w:val="21"/>
        </w:rPr>
        <w:t>（1） 现场巡查工作组每组配备人员不得少于3名，包含2名中级工程师现场判定问题，1名助理工程师进行记录和拍照。现场采样工作组每组配备人员不得少于2名，且持有采样和现场检测人员技术上岗证。现场工作人员要熟悉采样方法、水样容器的洗涤、样品的保存技术。</w:t>
      </w:r>
    </w:p>
    <w:p>
      <w:pPr>
        <w:ind w:firstLine="420"/>
        <w:jc w:val="both"/>
      </w:pPr>
      <w:r>
        <w:rPr>
          <w:color w:val="000000"/>
          <w:sz w:val="21"/>
        </w:rPr>
        <w:t>（2）报告编制至少安排4位助理工程师、4位中级工程师、2位高级工程师，分别进行基础数据汇总与整理、数据分析与图表制作、报告编制、报告审核与修改。</w:t>
      </w:r>
    </w:p>
    <w:p>
      <w:pPr>
        <w:ind w:firstLine="420"/>
        <w:jc w:val="both"/>
      </w:pPr>
      <w:r>
        <w:rPr>
          <w:color w:val="000000"/>
          <w:sz w:val="21"/>
        </w:rPr>
        <w:t>（3）资料整理员不少于3名，负责后期数据的处理分析，编写《广州市重点整治河涌跟踪评估抽查巡查报告》及现场巡查问题清单。</w:t>
      </w:r>
    </w:p>
    <w:p>
      <w:pPr>
        <w:ind w:firstLine="420"/>
        <w:jc w:val="both"/>
      </w:pPr>
      <w:r>
        <w:rPr>
          <w:color w:val="000000"/>
          <w:sz w:val="21"/>
        </w:rPr>
        <w:t>（4）在合同执行期内，乙方选定一名工作人员作为指定联络人，联络人需定期和甲方进行资料汇报、数据交接、报告提交等工作。若更替联络人需提前通知甲方，且事先安排后备人员负责交接工作。</w:t>
      </w:r>
    </w:p>
    <w:p>
      <w:pPr>
        <w:ind w:firstLine="420"/>
        <w:jc w:val="both"/>
      </w:pPr>
      <w:r>
        <w:rPr>
          <w:color w:val="000000"/>
          <w:sz w:val="21"/>
        </w:rPr>
        <w:t>（5）在合同执行期内，乙方需选派2名本科学历环境相关专业工作人员进驻甲方单位，根据甲方要求完成相应工作，并为该工作人员配备办公设备（服务期结束后退还）。该人员的选聘、更替须征得甲方的同意，具备上岗资格，服从甲方工作安排及考勤管理。派驻人员为乙方合法员工，乙方应当签订相应的劳动合同等完善合法用工手续，并按时支付该人员的劳动报酬（包括但不限于应发工资、岗位培训费用、职工福利（体检费）、奖金及单位缴纳的五险一金部分等，其中应发工资应含基本工资、津补贴及个人缴纳的五险一金部分。乙方应根据派驻人员的学历、职称、工龄、绩效等上下浮动确定应发工资数额。派驻人员的年应发工资数额应不低于广州市统计局最新发布的广州市城镇非私营单位在岗职工的年平均工资数额并及时调整。</w:t>
      </w:r>
    </w:p>
    <w:p>
      <w:pPr>
        <w:ind w:firstLine="420"/>
        <w:jc w:val="both"/>
      </w:pPr>
      <w:r>
        <w:rPr>
          <w:color w:val="000000"/>
          <w:sz w:val="21"/>
        </w:rPr>
        <w:t>（6）乙方管理派驻人员的责任及考核要求：</w:t>
      </w:r>
    </w:p>
    <w:p>
      <w:pPr>
        <w:ind w:firstLine="420"/>
        <w:jc w:val="both"/>
      </w:pPr>
      <w:r>
        <w:rPr>
          <w:color w:val="000000"/>
          <w:sz w:val="21"/>
        </w:rPr>
        <w:t>①乙方须向甲方提供派驻人员的用人合同进行备案；②用人合同应至少包含基本年薪和学历、职称、工龄、绩效等内容；③乙方须向派驻人员提供岗位培训；④若派驻人员发生更替，乙方须确保原派驻人员离岗前顺利完成工作交接，人员更替不能影响甲方正常工作；⑤乙方须严格执行派驻人员的用人合同条款；⑥派驻人员应服从甲方工作安排及考勤管理；⑦以上条款均列入项目验收考核内容，若有违反，则按合同考核条款进行扣分。</w:t>
      </w:r>
    </w:p>
    <w:p>
      <w:pPr>
        <w:ind w:firstLine="420"/>
        <w:jc w:val="both"/>
      </w:pPr>
      <w:r>
        <w:rPr>
          <w:color w:val="000000"/>
          <w:sz w:val="21"/>
        </w:rPr>
        <w:t>3.</w:t>
      </w:r>
      <w:r>
        <w:rPr>
          <w:color w:val="000000"/>
          <w:sz w:val="21"/>
        </w:rPr>
        <w:t>车辆要求</w:t>
      </w:r>
    </w:p>
    <w:p>
      <w:pPr>
        <w:ind w:firstLine="420"/>
        <w:jc w:val="both"/>
      </w:pPr>
      <w:r>
        <w:rPr>
          <w:color w:val="000000"/>
          <w:sz w:val="21"/>
        </w:rPr>
        <w:t>乙方需承诺投入用于本项目的采样检查车辆足够支撑完成本项目工作任务，且必须保证车辆的正常使用，车辆的保养维修应安排在非采样时间，不得影响采样检查计划。因特殊原因，不能按计划出车的，必须提供备用车辆替代。采样车辆在使用过程中产生的一切费用，如租赁费、购置、上牌、附加费、缴费、保险费、保养费等均由乙方负责，并需遵守我国有关法律法规，如发生事故，由乙方负责。该车辆需专车专用，不能用于其他项目。</w:t>
      </w:r>
    </w:p>
    <w:p>
      <w:pPr>
        <w:ind w:firstLine="420"/>
        <w:jc w:val="both"/>
      </w:pPr>
      <w:r>
        <w:rPr>
          <w:color w:val="000000"/>
          <w:sz w:val="21"/>
        </w:rPr>
        <w:t>4.</w:t>
      </w:r>
      <w:r>
        <w:rPr>
          <w:color w:val="000000"/>
          <w:sz w:val="21"/>
        </w:rPr>
        <w:t>质量控制要求</w:t>
      </w:r>
    </w:p>
    <w:p>
      <w:pPr>
        <w:ind w:firstLine="420"/>
        <w:jc w:val="both"/>
      </w:pPr>
      <w:r>
        <w:rPr>
          <w:color w:val="000000"/>
          <w:sz w:val="21"/>
        </w:rPr>
        <w:t>（1）质量控制：乙方需按照计量认证的有关规定，在采样检测过程中进行质量控制，以保证检测结果的合理性、科学性和公正性。</w:t>
      </w:r>
    </w:p>
    <w:p>
      <w:pPr>
        <w:ind w:firstLine="420"/>
        <w:jc w:val="both"/>
      </w:pPr>
      <w:r>
        <w:rPr>
          <w:color w:val="000000"/>
          <w:sz w:val="21"/>
        </w:rPr>
        <w:t>（2）样品保存和管理：按照《水质样品的保存和管理技术规定》（HJ493-2009）相关要求执行（所采集的样品留样保存至数据报送后）。</w:t>
      </w:r>
    </w:p>
    <w:p>
      <w:pPr>
        <w:ind w:firstLine="420"/>
        <w:jc w:val="both"/>
      </w:pPr>
      <w:r>
        <w:rPr>
          <w:color w:val="000000"/>
          <w:sz w:val="21"/>
        </w:rPr>
        <w:t>（3）甲方若发现水样检测结果异常，有权要求乙方重新采样，乙方必须全力配合，期间所发生的费用包含在投标总价中。</w:t>
      </w:r>
    </w:p>
    <w:p>
      <w:pPr>
        <w:ind w:firstLine="420"/>
        <w:jc w:val="both"/>
      </w:pPr>
      <w:r>
        <w:rPr>
          <w:color w:val="000000"/>
          <w:sz w:val="21"/>
        </w:rPr>
        <w:t>5.</w:t>
      </w:r>
      <w:r>
        <w:rPr>
          <w:color w:val="000000"/>
          <w:sz w:val="21"/>
        </w:rPr>
        <w:t>应急要求</w:t>
      </w:r>
    </w:p>
    <w:p>
      <w:pPr>
        <w:ind w:firstLine="420"/>
        <w:jc w:val="both"/>
      </w:pPr>
      <w:r>
        <w:rPr>
          <w:color w:val="000000"/>
          <w:sz w:val="21"/>
        </w:rPr>
        <w:t>发生突发水质事故或接到上级部门紧急任务时，乙方必须在2小时内到达现场，全力协助甲方做好应急检查工作，提供人员、车辆等后勤保障。周末及节假日均需有固定的应急队伍待命。应急检查工作所发生的一切费用均包含在合同总价中。</w:t>
      </w:r>
    </w:p>
    <w:p>
      <w:pPr>
        <w:ind w:firstLine="420"/>
        <w:jc w:val="both"/>
      </w:pPr>
      <w:r>
        <w:rPr>
          <w:color w:val="000000"/>
          <w:sz w:val="21"/>
        </w:rPr>
        <w:t>6.</w:t>
      </w:r>
      <w:r>
        <w:rPr>
          <w:color w:val="000000"/>
          <w:sz w:val="21"/>
        </w:rPr>
        <w:t>廉政要求</w:t>
      </w:r>
    </w:p>
    <w:p>
      <w:pPr>
        <w:ind w:firstLine="420"/>
        <w:jc w:val="both"/>
      </w:pPr>
      <w:r>
        <w:rPr>
          <w:color w:val="000000"/>
          <w:sz w:val="21"/>
        </w:rPr>
        <w:t>为进一步完善监督制约机制，确保工作质量和预防职务犯罪行为以及各种不正当行为的发生，保护国家、集体和当事人的合法权益，经甲方和乙方双方签订廉政保证书，作为甲方和乙方双方共同遵守的行为准则。</w:t>
      </w:r>
    </w:p>
    <w:p>
      <w:pPr>
        <w:ind w:firstLine="420"/>
        <w:jc w:val="both"/>
      </w:pPr>
      <w:r>
        <w:rPr>
          <w:color w:val="000000"/>
          <w:sz w:val="21"/>
        </w:rPr>
        <w:t>7.</w:t>
      </w:r>
      <w:r>
        <w:rPr>
          <w:color w:val="000000"/>
          <w:sz w:val="21"/>
        </w:rPr>
        <w:t>安全生产要求</w:t>
      </w:r>
    </w:p>
    <w:p>
      <w:pPr>
        <w:ind w:firstLine="420"/>
        <w:jc w:val="both"/>
      </w:pPr>
      <w:r>
        <w:rPr>
          <w:color w:val="000000"/>
          <w:sz w:val="21"/>
        </w:rPr>
        <w:t>乙方应建立安全生产制度，保障外业人员的工作安全，切实消除安全隐患。当发生安全事故时，所有责任由乙方承担。合同期内，乙方因各种原因，在工作过程中造成第三方的人身和财产损失，由乙方独自承担相应的法律和经济责任，与甲方无关；造成甲方经济损失的，由乙方承担，甲方保留追究其法律责任的权利。</w:t>
      </w:r>
    </w:p>
    <w:p>
      <w:pPr>
        <w:ind w:firstLine="420"/>
        <w:jc w:val="both"/>
      </w:pPr>
      <w:r>
        <w:rPr>
          <w:color w:val="000000"/>
          <w:sz w:val="21"/>
        </w:rPr>
        <w:t>8.</w:t>
      </w:r>
      <w:r>
        <w:rPr>
          <w:color w:val="000000"/>
          <w:sz w:val="21"/>
        </w:rPr>
        <w:t>履行保密义务</w:t>
      </w:r>
    </w:p>
    <w:p>
      <w:pPr>
        <w:ind w:firstLine="420"/>
        <w:jc w:val="both"/>
      </w:pPr>
      <w:r>
        <w:rPr>
          <w:color w:val="000000"/>
          <w:sz w:val="21"/>
        </w:rPr>
        <w:t>乙方应承担并承诺本项目工作资料的保密责任。乙方未经甲方同意，不得利用本项目的所有资料对外开展技术交流、业务联系、数据交换等。乙方必须承诺关于该项目的地理信息、服务内容、实现方法、数据和资料、传输方法、软件系统、监控平台等相关信息的保密义务。</w:t>
      </w:r>
    </w:p>
    <w:p>
      <w:pPr>
        <w:jc w:val="left"/>
      </w:pPr>
      <w:r>
        <w:rPr>
          <w:b/>
          <w:color w:val="000000"/>
          <w:sz w:val="21"/>
        </w:rPr>
        <w:t>五、履约管理要求</w:t>
      </w:r>
    </w:p>
    <w:p>
      <w:pPr>
        <w:ind w:firstLine="420"/>
        <w:jc w:val="left"/>
      </w:pPr>
      <w:r>
        <w:rPr>
          <w:color w:val="000000"/>
          <w:sz w:val="21"/>
        </w:rPr>
        <w:t>（一）考核评分标准</w:t>
      </w:r>
    </w:p>
    <w:p>
      <w:pPr>
        <w:ind w:firstLine="420"/>
        <w:jc w:val="both"/>
      </w:pPr>
      <w:r>
        <w:rPr>
          <w:color w:val="000000"/>
          <w:sz w:val="21"/>
        </w:rPr>
        <w:t>1.</w:t>
      </w:r>
      <w:r>
        <w:rPr>
          <w:color w:val="000000"/>
          <w:sz w:val="21"/>
        </w:rPr>
        <w:t>乙方工作的考核按照《广州市重点河涌问题台账更新与整治效果跟踪评估考核表》的要求进行，考核表由甲方按规定及合同相关内容进行填写。对不符合要求的项目，根据规定进行扣分，直至扣完所有分数为止。</w:t>
      </w:r>
    </w:p>
    <w:p>
      <w:pPr>
        <w:ind w:firstLine="420"/>
        <w:jc w:val="both"/>
      </w:pPr>
      <w:r>
        <w:rPr>
          <w:color w:val="000000"/>
          <w:sz w:val="21"/>
        </w:rPr>
        <w:t>2.</w:t>
      </w:r>
      <w:r>
        <w:rPr>
          <w:color w:val="000000"/>
          <w:sz w:val="21"/>
        </w:rPr>
        <w:t>考核周期为每季度一次，90-100分为优秀，76-89分为良好，75分及以下为不合格。每季度考核结果为“优秀”的，全额支付当季度服务费；每季度考核结果为“良好”的，扣除当季度10%服务费；每季度考核结果为“不合格”的，扣除当季度全额服务费。</w:t>
      </w:r>
    </w:p>
    <w:p>
      <w:pPr>
        <w:ind w:firstLine="420"/>
        <w:jc w:val="both"/>
      </w:pPr>
      <w:r>
        <w:rPr>
          <w:color w:val="000000"/>
          <w:sz w:val="21"/>
        </w:rPr>
        <w:t>3.</w:t>
      </w:r>
      <w:r>
        <w:rPr>
          <w:color w:val="000000"/>
          <w:sz w:val="21"/>
        </w:rPr>
        <w:t>有如下情况之一的，甲方有权终止运营合同，乙方须无条件服从：</w:t>
      </w:r>
    </w:p>
    <w:p>
      <w:pPr>
        <w:ind w:firstLine="420"/>
        <w:jc w:val="both"/>
      </w:pPr>
      <w:r>
        <w:rPr>
          <w:color w:val="000000"/>
          <w:sz w:val="21"/>
        </w:rPr>
        <w:t>（1）在项目合同期内，如发现乙方有伪造数据、弄虚作假等行为，经证实后甲方有权立即解除项目合同，并保留追究乙方相关法律的责任。</w:t>
      </w:r>
    </w:p>
    <w:p>
      <w:pPr>
        <w:ind w:firstLine="420"/>
        <w:jc w:val="both"/>
      </w:pPr>
      <w:r>
        <w:rPr>
          <w:color w:val="000000"/>
          <w:sz w:val="21"/>
        </w:rPr>
        <w:t>（2）如考核不合格次数达到或超过3次以上的，甲方有权解除项目合同。</w:t>
      </w:r>
    </w:p>
    <w:p>
      <w:pPr>
        <w:ind w:firstLine="420"/>
        <w:jc w:val="both"/>
      </w:pPr>
      <w:r>
        <w:rPr>
          <w:color w:val="000000"/>
          <w:sz w:val="21"/>
        </w:rPr>
        <w:t>（3）乙方应承诺对合同所涉及监测点的地理信息、监测数据、设备信息等所有相关信息的保密义务，如乙方未经甲方同意擅自将上述信息泄露给第三方，甲方有权将乙方评定当月不合格且解除项目合同。</w:t>
      </w:r>
    </w:p>
    <w:p>
      <w:pPr>
        <w:ind w:firstLine="420"/>
        <w:jc w:val="both"/>
      </w:pPr>
      <w:r>
        <w:rPr>
          <w:color w:val="000000"/>
          <w:sz w:val="21"/>
        </w:rPr>
        <w:t>（4）乙方在项目实施期间发生CMA资质被暂停、取消，或被相关部门责令停产整改等情况时，甲方有权扣除当月服务款项的100%且解除项目合同。</w:t>
      </w:r>
    </w:p>
    <w:p>
      <w:pPr>
        <w:ind w:firstLine="420"/>
        <w:jc w:val="both"/>
      </w:pPr>
      <w:r>
        <w:rPr>
          <w:color w:val="000000"/>
          <w:sz w:val="21"/>
        </w:rPr>
        <w:t>（5）乙方应对提交的报告成果负责。成果达不到要求的，甲方有权督促乙方补充完善，甲方不另外支付费用；如出现重大失误，乙方须承担由此造成的全部经济责任和法律责任，甲方可不支付该项目的合同费用。</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638"/>
        <w:gridCol w:w="1054"/>
        <w:gridCol w:w="1983"/>
        <w:gridCol w:w="2926"/>
        <w:gridCol w:w="652"/>
        <w:gridCol w:w="1054"/>
      </w:tblGrid>
      <w:tr>
        <w:tc>
          <w:tcPr>
            <w:tcW w:type="dxa" w:w="638"/>
            <w:tcBorders>
              <w:top w:val="single" w:color="000000" w:sz="4"/>
              <w:left w:val="single" w:color="000000" w:sz="4"/>
              <w:bottom w:val="single" w:color="000000" w:sz="4"/>
              <w:right w:val="single" w:color="000000" w:sz="4"/>
            </w:tcBorders>
          </w:tcPr>
          <w:p>
            <w:pPr>
              <w:jc w:val="center"/>
            </w:pPr>
            <w:r>
              <w:rPr>
                <w:b/>
                <w:color w:val="000000"/>
                <w:sz w:val="21"/>
              </w:rPr>
              <w:t>序号</w:t>
            </w:r>
          </w:p>
        </w:tc>
        <w:tc>
          <w:tcPr>
            <w:tcW w:type="dxa" w:w="1054"/>
            <w:tcBorders>
              <w:top w:val="single" w:color="000000" w:sz="4"/>
              <w:left w:val="none" w:color="000000" w:sz="4"/>
              <w:bottom w:val="single" w:color="000000" w:sz="4"/>
              <w:right w:val="single" w:color="000000" w:sz="4"/>
            </w:tcBorders>
          </w:tcPr>
          <w:p>
            <w:pPr>
              <w:jc w:val="center"/>
            </w:pPr>
            <w:r>
              <w:rPr>
                <w:b/>
                <w:color w:val="000000"/>
                <w:sz w:val="21"/>
              </w:rPr>
              <w:t>考核内容</w:t>
            </w:r>
          </w:p>
        </w:tc>
        <w:tc>
          <w:tcPr>
            <w:tcW w:type="dxa" w:w="1983"/>
            <w:tcBorders>
              <w:top w:val="single" w:color="000000" w:sz="4"/>
              <w:left w:val="none" w:color="000000" w:sz="4"/>
              <w:bottom w:val="single" w:color="000000" w:sz="4"/>
              <w:right w:val="single" w:color="000000" w:sz="4"/>
            </w:tcBorders>
          </w:tcPr>
          <w:p>
            <w:pPr>
              <w:jc w:val="center"/>
            </w:pPr>
            <w:r>
              <w:rPr>
                <w:b/>
                <w:color w:val="000000"/>
                <w:sz w:val="21"/>
              </w:rPr>
              <w:t>考核要求</w:t>
            </w:r>
          </w:p>
        </w:tc>
        <w:tc>
          <w:tcPr>
            <w:tcW w:type="dxa" w:w="2926"/>
            <w:tcBorders>
              <w:top w:val="single" w:color="000000" w:sz="4"/>
              <w:left w:val="none" w:color="000000" w:sz="4"/>
              <w:bottom w:val="single" w:color="000000" w:sz="4"/>
              <w:right w:val="single" w:color="000000" w:sz="4"/>
            </w:tcBorders>
          </w:tcPr>
          <w:p>
            <w:pPr>
              <w:jc w:val="center"/>
            </w:pPr>
            <w:r>
              <w:rPr>
                <w:b/>
                <w:color w:val="000000"/>
                <w:sz w:val="21"/>
              </w:rPr>
              <w:t>评分说明</w:t>
            </w:r>
          </w:p>
        </w:tc>
        <w:tc>
          <w:tcPr>
            <w:tcW w:type="dxa" w:w="652"/>
            <w:tcBorders>
              <w:top w:val="single" w:color="000000" w:sz="4"/>
              <w:left w:val="none" w:color="000000" w:sz="4"/>
              <w:bottom w:val="single" w:color="000000" w:sz="4"/>
              <w:right w:val="single" w:color="000000" w:sz="4"/>
            </w:tcBorders>
          </w:tcPr>
          <w:p>
            <w:pPr>
              <w:jc w:val="center"/>
            </w:pPr>
            <w:r>
              <w:rPr>
                <w:b/>
                <w:color w:val="000000"/>
                <w:sz w:val="21"/>
              </w:rPr>
              <w:t>评分</w:t>
            </w:r>
          </w:p>
        </w:tc>
        <w:tc>
          <w:tcPr>
            <w:tcW w:type="dxa" w:w="1054"/>
            <w:tcBorders>
              <w:top w:val="single" w:color="000000" w:sz="4"/>
              <w:left w:val="none" w:color="000000" w:sz="4"/>
              <w:bottom w:val="single" w:color="000000" w:sz="4"/>
              <w:right w:val="single" w:color="000000" w:sz="4"/>
            </w:tcBorders>
          </w:tcPr>
          <w:p>
            <w:pPr>
              <w:jc w:val="center"/>
            </w:pPr>
            <w:r>
              <w:rPr>
                <w:b/>
                <w:color w:val="000000"/>
                <w:sz w:val="21"/>
              </w:rPr>
              <w:t>备注</w:t>
            </w:r>
          </w:p>
        </w:tc>
      </w:tr>
      <w:tr>
        <w:tc>
          <w:tcPr>
            <w:tcW w:type="dxa" w:w="638"/>
            <w:vMerge w:val="restart"/>
            <w:tcBorders>
              <w:top w:val="none" w:color="000000" w:sz="4"/>
              <w:left w:val="single" w:color="000000" w:sz="4"/>
              <w:bottom w:val="single" w:color="000000" w:sz="4"/>
              <w:right w:val="single" w:color="000000" w:sz="4"/>
            </w:tcBorders>
          </w:tcPr>
          <w:p>
            <w:pPr>
              <w:jc w:val="center"/>
            </w:pPr>
            <w:r>
              <w:rPr>
                <w:color w:val="000000"/>
                <w:sz w:val="21"/>
              </w:rPr>
              <w:t>1</w:t>
            </w:r>
          </w:p>
        </w:tc>
        <w:tc>
          <w:tcPr>
            <w:tcW w:type="dxa" w:w="1054"/>
            <w:vMerge w:val="restart"/>
            <w:tcBorders>
              <w:top w:val="none" w:color="000000" w:sz="4"/>
              <w:left w:val="none" w:color="000000" w:sz="4"/>
              <w:bottom w:val="single" w:color="000000" w:sz="4"/>
              <w:right w:val="single" w:color="000000" w:sz="4"/>
            </w:tcBorders>
          </w:tcPr>
          <w:p>
            <w:pPr>
              <w:jc w:val="both"/>
            </w:pPr>
            <w:r>
              <w:rPr>
                <w:color w:val="000000"/>
                <w:sz w:val="21"/>
              </w:rPr>
              <w:t>日常工作情况（10分）</w:t>
            </w:r>
          </w:p>
        </w:tc>
        <w:tc>
          <w:tcPr>
            <w:tcW w:type="dxa" w:w="1983"/>
            <w:tcBorders>
              <w:top w:val="none" w:color="000000" w:sz="4"/>
              <w:left w:val="none" w:color="000000" w:sz="4"/>
              <w:bottom w:val="single" w:color="000000" w:sz="4"/>
              <w:right w:val="single" w:color="000000" w:sz="4"/>
            </w:tcBorders>
          </w:tcPr>
          <w:p>
            <w:pPr>
              <w:jc w:val="both"/>
            </w:pPr>
            <w:r>
              <w:rPr>
                <w:color w:val="000000"/>
                <w:sz w:val="21"/>
              </w:rPr>
              <w:t>是否按合同要求递交工作计划</w:t>
            </w:r>
          </w:p>
        </w:tc>
        <w:tc>
          <w:tcPr>
            <w:tcW w:type="dxa" w:w="2926"/>
            <w:tcBorders>
              <w:top w:val="none" w:color="000000" w:sz="4"/>
              <w:left w:val="none" w:color="000000" w:sz="4"/>
              <w:bottom w:val="single" w:color="000000" w:sz="4"/>
              <w:right w:val="single" w:color="000000" w:sz="4"/>
            </w:tcBorders>
          </w:tcPr>
          <w:p>
            <w:pPr>
              <w:jc w:val="both"/>
            </w:pPr>
            <w:r>
              <w:rPr>
                <w:color w:val="000000"/>
                <w:sz w:val="21"/>
              </w:rPr>
              <w:t>按时提交工作计划（5分）</w:t>
            </w:r>
          </w:p>
        </w:tc>
        <w:tc>
          <w:tcPr>
            <w:tcW w:type="dxa" w:w="652"/>
            <w:tcBorders>
              <w:top w:val="none" w:color="000000" w:sz="4"/>
              <w:left w:val="none" w:color="000000" w:sz="4"/>
              <w:bottom w:val="single" w:color="000000" w:sz="4"/>
              <w:right w:val="single" w:color="000000" w:sz="4"/>
            </w:tcBorders>
          </w:tcPr>
          <w:p>
            <w:pPr>
              <w:jc w:val="both"/>
            </w:pPr>
          </w:p>
        </w:tc>
        <w:tc>
          <w:tcPr>
            <w:tcW w:type="dxa" w:w="1054"/>
            <w:vMerge w:val="restart"/>
            <w:tcBorders>
              <w:top w:val="none" w:color="000000" w:sz="4"/>
              <w:left w:val="none" w:color="000000" w:sz="4"/>
              <w:bottom w:val="single" w:color="000000" w:sz="4"/>
              <w:right w:val="single" w:color="000000" w:sz="4"/>
            </w:tcBorders>
          </w:tcPr>
          <w:p>
            <w:pPr>
              <w:jc w:val="both"/>
            </w:pPr>
          </w:p>
        </w:tc>
      </w:tr>
      <w:tr>
        <w:tc>
          <w:tcPr>
            <w:tcW w:type="dxa" w:w="638"/>
            <w:vMerge/>
            <w:tcBorders>
              <w:top w:val="none" w:color="000000" w:sz="4"/>
              <w:left w:val="single" w:color="000000" w:sz="4"/>
              <w:bottom w:val="single" w:color="000000" w:sz="4"/>
              <w:right w:val="single" w:color="000000" w:sz="4"/>
            </w:tcBorders>
          </w:tcPr>
          <w:p/>
        </w:tc>
        <w:tc>
          <w:tcPr>
            <w:tcW w:type="dxa" w:w="1054"/>
            <w:vMerge/>
            <w:tcBorders>
              <w:top w:val="none" w:color="000000" w:sz="4"/>
              <w:left w:val="none" w:color="000000" w:sz="4"/>
              <w:bottom w:val="single" w:color="000000" w:sz="4"/>
              <w:right w:val="single" w:color="000000" w:sz="4"/>
            </w:tcBorders>
          </w:tcPr>
          <w:p/>
        </w:tc>
        <w:tc>
          <w:tcPr>
            <w:tcW w:type="dxa" w:w="1983"/>
            <w:tcBorders>
              <w:top w:val="none" w:color="000000" w:sz="4"/>
              <w:left w:val="none" w:color="000000" w:sz="4"/>
              <w:bottom w:val="single" w:color="000000" w:sz="4"/>
              <w:right w:val="single" w:color="000000" w:sz="4"/>
            </w:tcBorders>
          </w:tcPr>
          <w:p>
            <w:pPr>
              <w:jc w:val="both"/>
            </w:pPr>
            <w:r>
              <w:rPr>
                <w:color w:val="000000"/>
                <w:sz w:val="21"/>
              </w:rPr>
              <w:t>工作计划是否符合评估要求</w:t>
            </w:r>
          </w:p>
        </w:tc>
        <w:tc>
          <w:tcPr>
            <w:tcW w:type="dxa" w:w="2926"/>
            <w:tcBorders>
              <w:top w:val="none" w:color="000000" w:sz="4"/>
              <w:left w:val="none" w:color="000000" w:sz="4"/>
              <w:bottom w:val="single" w:color="000000" w:sz="4"/>
              <w:right w:val="single" w:color="000000" w:sz="4"/>
            </w:tcBorders>
          </w:tcPr>
          <w:p>
            <w:pPr>
              <w:jc w:val="both"/>
            </w:pPr>
            <w:r>
              <w:rPr>
                <w:color w:val="000000"/>
                <w:sz w:val="21"/>
              </w:rPr>
              <w:t>工作计划合理，符合评估要求（5分）</w:t>
            </w:r>
          </w:p>
        </w:tc>
        <w:tc>
          <w:tcPr>
            <w:tcW w:type="dxa" w:w="652"/>
            <w:tcBorders>
              <w:top w:val="none" w:color="000000" w:sz="4"/>
              <w:left w:val="none" w:color="000000" w:sz="4"/>
              <w:bottom w:val="single" w:color="000000" w:sz="4"/>
              <w:right w:val="single" w:color="000000" w:sz="4"/>
            </w:tcBorders>
          </w:tcPr>
          <w:p>
            <w:pPr>
              <w:jc w:val="both"/>
            </w:pPr>
          </w:p>
        </w:tc>
      </w:tr>
      <w:tr>
        <w:tc>
          <w:tcPr>
            <w:tcW w:type="dxa" w:w="638"/>
            <w:tcBorders>
              <w:top w:val="none" w:color="000000" w:sz="4"/>
              <w:left w:val="single" w:color="000000" w:sz="4"/>
              <w:bottom w:val="single" w:color="000000" w:sz="4"/>
              <w:right w:val="single" w:color="000000" w:sz="4"/>
            </w:tcBorders>
          </w:tcPr>
          <w:p>
            <w:pPr>
              <w:jc w:val="center"/>
            </w:pPr>
            <w:r>
              <w:rPr>
                <w:color w:val="000000"/>
                <w:sz w:val="21"/>
              </w:rPr>
              <w:t>2</w:t>
            </w:r>
          </w:p>
        </w:tc>
        <w:tc>
          <w:tcPr>
            <w:tcW w:type="dxa" w:w="1054"/>
            <w:tcBorders>
              <w:top w:val="none" w:color="000000" w:sz="4"/>
              <w:left w:val="none" w:color="000000" w:sz="4"/>
              <w:bottom w:val="single" w:color="000000" w:sz="4"/>
              <w:right w:val="single" w:color="000000" w:sz="4"/>
            </w:tcBorders>
          </w:tcPr>
          <w:p>
            <w:pPr>
              <w:jc w:val="both"/>
            </w:pPr>
            <w:r>
              <w:rPr>
                <w:color w:val="000000"/>
                <w:sz w:val="21"/>
              </w:rPr>
              <w:t>现场巡查问题清单提交情况（10分）</w:t>
            </w:r>
          </w:p>
        </w:tc>
        <w:tc>
          <w:tcPr>
            <w:tcW w:type="dxa" w:w="1983"/>
            <w:tcBorders>
              <w:top w:val="none" w:color="000000" w:sz="4"/>
              <w:left w:val="none" w:color="000000" w:sz="4"/>
              <w:bottom w:val="single" w:color="000000" w:sz="4"/>
              <w:right w:val="single" w:color="000000" w:sz="4"/>
            </w:tcBorders>
          </w:tcPr>
          <w:p>
            <w:pPr>
              <w:jc w:val="both"/>
            </w:pPr>
            <w:r>
              <w:rPr>
                <w:color w:val="000000"/>
                <w:sz w:val="21"/>
              </w:rPr>
              <w:t>于合同规定时间内提交现场巡查问题清单</w:t>
            </w:r>
          </w:p>
        </w:tc>
        <w:tc>
          <w:tcPr>
            <w:tcW w:type="dxa" w:w="2926"/>
            <w:tcBorders>
              <w:top w:val="none" w:color="000000" w:sz="4"/>
              <w:left w:val="none" w:color="000000" w:sz="4"/>
              <w:bottom w:val="single" w:color="000000" w:sz="4"/>
              <w:right w:val="single" w:color="000000" w:sz="4"/>
            </w:tcBorders>
          </w:tcPr>
          <w:p>
            <w:pPr>
              <w:jc w:val="both"/>
            </w:pPr>
            <w:r>
              <w:rPr>
                <w:color w:val="000000"/>
                <w:sz w:val="21"/>
              </w:rPr>
              <w:t>未按要求及时提交现场巡查问题清单，每迟一天扣5分，扣完为止。</w:t>
            </w:r>
          </w:p>
        </w:tc>
        <w:tc>
          <w:tcPr>
            <w:tcW w:type="dxa" w:w="652"/>
            <w:tcBorders>
              <w:top w:val="none" w:color="000000" w:sz="4"/>
              <w:left w:val="none" w:color="000000" w:sz="4"/>
              <w:bottom w:val="single" w:color="000000" w:sz="4"/>
              <w:right w:val="single" w:color="000000" w:sz="4"/>
            </w:tcBorders>
          </w:tcPr>
          <w:p>
            <w:pPr>
              <w:jc w:val="both"/>
            </w:pPr>
          </w:p>
        </w:tc>
        <w:tc>
          <w:tcPr>
            <w:tcW w:type="dxa" w:w="1054"/>
            <w:tcBorders>
              <w:top w:val="none" w:color="000000" w:sz="4"/>
              <w:left w:val="none" w:color="000000" w:sz="4"/>
              <w:bottom w:val="single" w:color="000000" w:sz="4"/>
              <w:right w:val="single" w:color="000000" w:sz="4"/>
            </w:tcBorders>
          </w:tcPr>
          <w:p>
            <w:pPr>
              <w:jc w:val="both"/>
            </w:pPr>
          </w:p>
        </w:tc>
      </w:tr>
      <w:tr>
        <w:tc>
          <w:tcPr>
            <w:tcW w:type="dxa" w:w="638"/>
            <w:vMerge w:val="restart"/>
            <w:tcBorders>
              <w:top w:val="none" w:color="000000" w:sz="4"/>
              <w:left w:val="single" w:color="000000" w:sz="4"/>
              <w:bottom w:val="single" w:color="000000" w:sz="4"/>
              <w:right w:val="single" w:color="000000" w:sz="4"/>
            </w:tcBorders>
          </w:tcPr>
          <w:p>
            <w:pPr>
              <w:jc w:val="center"/>
            </w:pPr>
            <w:r>
              <w:rPr>
                <w:color w:val="000000"/>
                <w:sz w:val="21"/>
              </w:rPr>
              <w:t>3</w:t>
            </w:r>
          </w:p>
        </w:tc>
        <w:tc>
          <w:tcPr>
            <w:tcW w:type="dxa" w:w="1054"/>
            <w:vMerge w:val="restart"/>
            <w:tcBorders>
              <w:top w:val="none" w:color="000000" w:sz="4"/>
              <w:left w:val="none" w:color="000000" w:sz="4"/>
              <w:bottom w:val="single" w:color="000000" w:sz="4"/>
              <w:right w:val="single" w:color="000000" w:sz="4"/>
            </w:tcBorders>
          </w:tcPr>
          <w:p>
            <w:pPr>
              <w:jc w:val="both"/>
            </w:pPr>
            <w:r>
              <w:rPr>
                <w:color w:val="000000"/>
                <w:sz w:val="21"/>
              </w:rPr>
              <w:t>现场抽查完成情况（25分）</w:t>
            </w:r>
          </w:p>
        </w:tc>
        <w:tc>
          <w:tcPr>
            <w:tcW w:type="dxa" w:w="1983"/>
            <w:vMerge w:val="restart"/>
            <w:tcBorders>
              <w:top w:val="none" w:color="000000" w:sz="4"/>
              <w:left w:val="none" w:color="000000" w:sz="4"/>
              <w:bottom w:val="single" w:color="000000" w:sz="4"/>
              <w:right w:val="single" w:color="000000" w:sz="4"/>
            </w:tcBorders>
          </w:tcPr>
          <w:p>
            <w:pPr>
              <w:jc w:val="both"/>
            </w:pPr>
            <w:r>
              <w:rPr>
                <w:color w:val="000000"/>
                <w:sz w:val="21"/>
              </w:rPr>
              <w:t>是否按采样计划进行采样，采样操作是否符合标准要求</w:t>
            </w:r>
          </w:p>
        </w:tc>
        <w:tc>
          <w:tcPr>
            <w:tcW w:type="dxa" w:w="2926"/>
            <w:tcBorders>
              <w:top w:val="none" w:color="000000" w:sz="4"/>
              <w:left w:val="none" w:color="000000" w:sz="4"/>
              <w:bottom w:val="single" w:color="000000" w:sz="4"/>
              <w:right w:val="single" w:color="000000" w:sz="4"/>
            </w:tcBorders>
          </w:tcPr>
          <w:p>
            <w:pPr>
              <w:jc w:val="both"/>
            </w:pPr>
            <w:r>
              <w:rPr>
                <w:color w:val="000000"/>
                <w:sz w:val="21"/>
              </w:rPr>
              <w:t>按照采样计划进行采样（5分）</w:t>
            </w:r>
          </w:p>
        </w:tc>
        <w:tc>
          <w:tcPr>
            <w:tcW w:type="dxa" w:w="652"/>
            <w:vMerge w:val="restart"/>
            <w:tcBorders>
              <w:top w:val="none" w:color="000000" w:sz="4"/>
              <w:left w:val="none" w:color="000000" w:sz="4"/>
              <w:bottom w:val="single" w:color="000000" w:sz="4"/>
              <w:right w:val="single" w:color="000000" w:sz="4"/>
            </w:tcBorders>
          </w:tcPr>
          <w:p>
            <w:pPr>
              <w:jc w:val="both"/>
            </w:pPr>
          </w:p>
        </w:tc>
        <w:tc>
          <w:tcPr>
            <w:tcW w:type="dxa" w:w="1054"/>
            <w:vMerge w:val="restart"/>
            <w:tcBorders>
              <w:top w:val="none" w:color="000000" w:sz="4"/>
              <w:left w:val="none" w:color="000000" w:sz="4"/>
              <w:bottom w:val="single" w:color="000000" w:sz="4"/>
              <w:right w:val="single" w:color="000000" w:sz="4"/>
            </w:tcBorders>
          </w:tcPr>
          <w:p>
            <w:pPr>
              <w:jc w:val="both"/>
            </w:pPr>
          </w:p>
        </w:tc>
      </w:tr>
      <w:tr>
        <w:tc>
          <w:tcPr>
            <w:tcW w:type="dxa" w:w="638"/>
            <w:vMerge/>
            <w:tcBorders>
              <w:top w:val="none" w:color="000000" w:sz="4"/>
              <w:left w:val="single" w:color="000000" w:sz="4"/>
              <w:bottom w:val="single" w:color="000000" w:sz="4"/>
              <w:right w:val="single" w:color="000000" w:sz="4"/>
            </w:tcBorders>
          </w:tcPr>
          <w:p/>
        </w:tc>
        <w:tc>
          <w:tcPr>
            <w:tcW w:type="dxa" w:w="1054"/>
            <w:vMerge/>
            <w:tcBorders>
              <w:top w:val="none" w:color="000000" w:sz="4"/>
              <w:left w:val="none" w:color="000000" w:sz="4"/>
              <w:bottom w:val="single" w:color="000000" w:sz="4"/>
              <w:right w:val="single" w:color="000000" w:sz="4"/>
            </w:tcBorders>
          </w:tcPr>
          <w:p/>
        </w:tc>
        <w:tc>
          <w:tcPr>
            <w:tcW w:type="dxa" w:w="1983"/>
            <w:vMerge/>
            <w:tcBorders>
              <w:top w:val="none" w:color="000000" w:sz="4"/>
              <w:left w:val="none" w:color="000000" w:sz="4"/>
              <w:bottom w:val="single" w:color="000000" w:sz="4"/>
              <w:right w:val="single" w:color="000000" w:sz="4"/>
            </w:tcBorders>
          </w:tcPr>
          <w:p/>
        </w:tc>
        <w:tc>
          <w:tcPr>
            <w:tcW w:type="dxa" w:w="2926"/>
            <w:tcBorders>
              <w:top w:val="none" w:color="000000" w:sz="4"/>
              <w:left w:val="none" w:color="000000" w:sz="4"/>
              <w:bottom w:val="single" w:color="000000" w:sz="4"/>
              <w:right w:val="single" w:color="000000" w:sz="4"/>
            </w:tcBorders>
          </w:tcPr>
          <w:p>
            <w:pPr>
              <w:jc w:val="both"/>
            </w:pPr>
            <w:r>
              <w:rPr>
                <w:color w:val="000000"/>
                <w:sz w:val="21"/>
              </w:rPr>
              <w:t>采样车辆、人员、工具、采样容器、现场仪器准备充分、准确（5分）</w:t>
            </w:r>
          </w:p>
        </w:tc>
      </w:tr>
      <w:tr>
        <w:tc>
          <w:tcPr>
            <w:tcW w:type="dxa" w:w="638"/>
            <w:vMerge/>
            <w:tcBorders>
              <w:top w:val="none" w:color="000000" w:sz="4"/>
              <w:left w:val="single" w:color="000000" w:sz="4"/>
              <w:bottom w:val="single" w:color="000000" w:sz="4"/>
              <w:right w:val="single" w:color="000000" w:sz="4"/>
            </w:tcBorders>
          </w:tcPr>
          <w:p/>
        </w:tc>
        <w:tc>
          <w:tcPr>
            <w:tcW w:type="dxa" w:w="1054"/>
            <w:vMerge/>
            <w:tcBorders>
              <w:top w:val="none" w:color="000000" w:sz="4"/>
              <w:left w:val="none" w:color="000000" w:sz="4"/>
              <w:bottom w:val="single" w:color="000000" w:sz="4"/>
              <w:right w:val="single" w:color="000000" w:sz="4"/>
            </w:tcBorders>
          </w:tcPr>
          <w:p/>
        </w:tc>
        <w:tc>
          <w:tcPr>
            <w:tcW w:type="dxa" w:w="1983"/>
            <w:vMerge/>
            <w:tcBorders>
              <w:top w:val="none" w:color="000000" w:sz="4"/>
              <w:left w:val="none" w:color="000000" w:sz="4"/>
              <w:bottom w:val="single" w:color="000000" w:sz="4"/>
              <w:right w:val="single" w:color="000000" w:sz="4"/>
            </w:tcBorders>
          </w:tcPr>
          <w:p/>
        </w:tc>
        <w:tc>
          <w:tcPr>
            <w:tcW w:type="dxa" w:w="2926"/>
            <w:tcBorders>
              <w:top w:val="none" w:color="000000" w:sz="4"/>
              <w:left w:val="none" w:color="000000" w:sz="4"/>
              <w:bottom w:val="single" w:color="000000" w:sz="4"/>
              <w:right w:val="single" w:color="000000" w:sz="4"/>
            </w:tcBorders>
          </w:tcPr>
          <w:p>
            <w:pPr>
              <w:jc w:val="both"/>
            </w:pPr>
            <w:r>
              <w:rPr>
                <w:color w:val="000000"/>
                <w:sz w:val="21"/>
              </w:rPr>
              <w:t>采样是否符合《城市黑臭水体整治工作指南》（5分）</w:t>
            </w:r>
          </w:p>
        </w:tc>
      </w:tr>
      <w:tr>
        <w:tc>
          <w:tcPr>
            <w:tcW w:type="dxa" w:w="638"/>
            <w:vMerge/>
            <w:tcBorders>
              <w:top w:val="none" w:color="000000" w:sz="4"/>
              <w:left w:val="single" w:color="000000" w:sz="4"/>
              <w:bottom w:val="single" w:color="000000" w:sz="4"/>
              <w:right w:val="single" w:color="000000" w:sz="4"/>
            </w:tcBorders>
          </w:tcPr>
          <w:p/>
        </w:tc>
        <w:tc>
          <w:tcPr>
            <w:tcW w:type="dxa" w:w="1054"/>
            <w:vMerge/>
            <w:tcBorders>
              <w:top w:val="none" w:color="000000" w:sz="4"/>
              <w:left w:val="none" w:color="000000" w:sz="4"/>
              <w:bottom w:val="single" w:color="000000" w:sz="4"/>
              <w:right w:val="single" w:color="000000" w:sz="4"/>
            </w:tcBorders>
          </w:tcPr>
          <w:p/>
        </w:tc>
        <w:tc>
          <w:tcPr>
            <w:tcW w:type="dxa" w:w="1983"/>
            <w:vMerge/>
            <w:tcBorders>
              <w:top w:val="none" w:color="000000" w:sz="4"/>
              <w:left w:val="none" w:color="000000" w:sz="4"/>
              <w:bottom w:val="single" w:color="000000" w:sz="4"/>
              <w:right w:val="single" w:color="000000" w:sz="4"/>
            </w:tcBorders>
          </w:tcPr>
          <w:p/>
        </w:tc>
        <w:tc>
          <w:tcPr>
            <w:tcW w:type="dxa" w:w="2926"/>
            <w:tcBorders>
              <w:top w:val="none" w:color="000000" w:sz="4"/>
              <w:left w:val="none" w:color="000000" w:sz="4"/>
              <w:bottom w:val="single" w:color="000000" w:sz="4"/>
              <w:right w:val="single" w:color="000000" w:sz="4"/>
            </w:tcBorders>
          </w:tcPr>
          <w:p>
            <w:pPr>
              <w:jc w:val="both"/>
            </w:pPr>
            <w:r>
              <w:rPr>
                <w:color w:val="000000"/>
                <w:sz w:val="21"/>
              </w:rPr>
              <w:t>现场操作规范（5分）</w:t>
            </w:r>
          </w:p>
        </w:tc>
      </w:tr>
      <w:tr>
        <w:tc>
          <w:tcPr>
            <w:tcW w:type="dxa" w:w="638"/>
            <w:vMerge/>
            <w:tcBorders>
              <w:top w:val="none" w:color="000000" w:sz="4"/>
              <w:left w:val="single" w:color="000000" w:sz="4"/>
              <w:bottom w:val="single" w:color="000000" w:sz="4"/>
              <w:right w:val="single" w:color="000000" w:sz="4"/>
            </w:tcBorders>
          </w:tcPr>
          <w:p/>
        </w:tc>
        <w:tc>
          <w:tcPr>
            <w:tcW w:type="dxa" w:w="1054"/>
            <w:vMerge/>
            <w:tcBorders>
              <w:top w:val="none" w:color="000000" w:sz="4"/>
              <w:left w:val="none" w:color="000000" w:sz="4"/>
              <w:bottom w:val="single" w:color="000000" w:sz="4"/>
              <w:right w:val="single" w:color="000000" w:sz="4"/>
            </w:tcBorders>
          </w:tcPr>
          <w:p/>
        </w:tc>
        <w:tc>
          <w:tcPr>
            <w:tcW w:type="dxa" w:w="1983"/>
            <w:vMerge/>
            <w:tcBorders>
              <w:top w:val="none" w:color="000000" w:sz="4"/>
              <w:left w:val="none" w:color="000000" w:sz="4"/>
              <w:bottom w:val="single" w:color="000000" w:sz="4"/>
              <w:right w:val="single" w:color="000000" w:sz="4"/>
            </w:tcBorders>
          </w:tcPr>
          <w:p/>
        </w:tc>
        <w:tc>
          <w:tcPr>
            <w:tcW w:type="dxa" w:w="2926"/>
            <w:tcBorders>
              <w:top w:val="none" w:color="000000" w:sz="4"/>
              <w:left w:val="none" w:color="000000" w:sz="4"/>
              <w:bottom w:val="single" w:color="000000" w:sz="4"/>
              <w:right w:val="single" w:color="000000" w:sz="4"/>
            </w:tcBorders>
          </w:tcPr>
          <w:p>
            <w:pPr>
              <w:jc w:val="both"/>
            </w:pPr>
            <w:r>
              <w:rPr>
                <w:color w:val="000000"/>
                <w:sz w:val="21"/>
              </w:rPr>
              <w:t>采样记录详细准确，有现场采样照片（5分）</w:t>
            </w:r>
          </w:p>
        </w:tc>
      </w:tr>
      <w:tr>
        <w:tc>
          <w:tcPr>
            <w:tcW w:type="dxa" w:w="638"/>
            <w:vMerge w:val="restart"/>
            <w:tcBorders>
              <w:top w:val="none" w:color="000000" w:sz="4"/>
              <w:left w:val="single" w:color="000000" w:sz="4"/>
              <w:bottom w:val="single" w:color="000000" w:sz="4"/>
              <w:right w:val="single" w:color="000000" w:sz="4"/>
            </w:tcBorders>
          </w:tcPr>
          <w:p>
            <w:pPr>
              <w:jc w:val="center"/>
            </w:pPr>
            <w:r>
              <w:rPr>
                <w:color w:val="000000"/>
                <w:sz w:val="21"/>
              </w:rPr>
              <w:t>4</w:t>
            </w:r>
          </w:p>
        </w:tc>
        <w:tc>
          <w:tcPr>
            <w:tcW w:type="dxa" w:w="1054"/>
            <w:vMerge w:val="restart"/>
            <w:tcBorders>
              <w:top w:val="none" w:color="000000" w:sz="4"/>
              <w:left w:val="none" w:color="000000" w:sz="4"/>
              <w:bottom w:val="single" w:color="000000" w:sz="4"/>
              <w:right w:val="single" w:color="000000" w:sz="4"/>
            </w:tcBorders>
          </w:tcPr>
          <w:p>
            <w:pPr>
              <w:jc w:val="both"/>
            </w:pPr>
            <w:r>
              <w:rPr>
                <w:color w:val="000000"/>
                <w:sz w:val="21"/>
              </w:rPr>
              <w:t>河涌巡查报告提交情况（30分）</w:t>
            </w:r>
          </w:p>
        </w:tc>
        <w:tc>
          <w:tcPr>
            <w:tcW w:type="dxa" w:w="1983"/>
            <w:vMerge w:val="restart"/>
            <w:tcBorders>
              <w:top w:val="none" w:color="000000" w:sz="4"/>
              <w:left w:val="none" w:color="000000" w:sz="4"/>
              <w:bottom w:val="single" w:color="000000" w:sz="4"/>
              <w:right w:val="single" w:color="000000" w:sz="4"/>
            </w:tcBorders>
          </w:tcPr>
          <w:p>
            <w:pPr>
              <w:jc w:val="both"/>
            </w:pPr>
            <w:r>
              <w:rPr>
                <w:color w:val="000000"/>
                <w:sz w:val="21"/>
              </w:rPr>
              <w:t>按要求提交当月工作情况报告</w:t>
            </w:r>
          </w:p>
        </w:tc>
        <w:tc>
          <w:tcPr>
            <w:tcW w:type="dxa" w:w="2926"/>
            <w:tcBorders>
              <w:top w:val="none" w:color="000000" w:sz="4"/>
              <w:left w:val="none" w:color="000000" w:sz="4"/>
              <w:bottom w:val="single" w:color="000000" w:sz="4"/>
              <w:right w:val="single" w:color="000000" w:sz="4"/>
            </w:tcBorders>
          </w:tcPr>
          <w:p>
            <w:pPr>
              <w:jc w:val="both"/>
            </w:pPr>
            <w:r>
              <w:rPr>
                <w:color w:val="000000"/>
                <w:sz w:val="21"/>
              </w:rPr>
              <w:t>按时提交（5分）</w:t>
            </w:r>
          </w:p>
        </w:tc>
        <w:tc>
          <w:tcPr>
            <w:tcW w:type="dxa" w:w="652"/>
            <w:vMerge w:val="restart"/>
            <w:tcBorders>
              <w:top w:val="none" w:color="000000" w:sz="4"/>
              <w:left w:val="none" w:color="000000" w:sz="4"/>
              <w:bottom w:val="single" w:color="000000" w:sz="4"/>
              <w:right w:val="single" w:color="000000" w:sz="4"/>
            </w:tcBorders>
          </w:tcPr>
          <w:p>
            <w:pPr>
              <w:jc w:val="both"/>
            </w:pPr>
          </w:p>
        </w:tc>
        <w:tc>
          <w:tcPr>
            <w:tcW w:type="dxa" w:w="1054"/>
            <w:vMerge w:val="restart"/>
            <w:tcBorders>
              <w:top w:val="none" w:color="000000" w:sz="4"/>
              <w:left w:val="none" w:color="000000" w:sz="4"/>
              <w:bottom w:val="single" w:color="000000" w:sz="4"/>
              <w:right w:val="single" w:color="000000" w:sz="4"/>
            </w:tcBorders>
          </w:tcPr>
          <w:p>
            <w:pPr>
              <w:jc w:val="both"/>
            </w:pPr>
          </w:p>
        </w:tc>
      </w:tr>
      <w:tr>
        <w:tc>
          <w:tcPr>
            <w:tcW w:type="dxa" w:w="638"/>
            <w:vMerge/>
            <w:tcBorders>
              <w:top w:val="none" w:color="000000" w:sz="4"/>
              <w:left w:val="single" w:color="000000" w:sz="4"/>
              <w:bottom w:val="single" w:color="000000" w:sz="4"/>
              <w:right w:val="single" w:color="000000" w:sz="4"/>
            </w:tcBorders>
          </w:tcPr>
          <w:p/>
        </w:tc>
        <w:tc>
          <w:tcPr>
            <w:tcW w:type="dxa" w:w="1054"/>
            <w:vMerge/>
            <w:tcBorders>
              <w:top w:val="none" w:color="000000" w:sz="4"/>
              <w:left w:val="none" w:color="000000" w:sz="4"/>
              <w:bottom w:val="single" w:color="000000" w:sz="4"/>
              <w:right w:val="single" w:color="000000" w:sz="4"/>
            </w:tcBorders>
          </w:tcPr>
          <w:p/>
        </w:tc>
        <w:tc>
          <w:tcPr>
            <w:tcW w:type="dxa" w:w="1983"/>
            <w:vMerge/>
            <w:tcBorders>
              <w:top w:val="none" w:color="000000" w:sz="4"/>
              <w:left w:val="none" w:color="000000" w:sz="4"/>
              <w:bottom w:val="single" w:color="000000" w:sz="4"/>
              <w:right w:val="single" w:color="000000" w:sz="4"/>
            </w:tcBorders>
          </w:tcPr>
          <w:p/>
        </w:tc>
        <w:tc>
          <w:tcPr>
            <w:tcW w:type="dxa" w:w="2926"/>
            <w:tcBorders>
              <w:top w:val="none" w:color="000000" w:sz="4"/>
              <w:left w:val="none" w:color="000000" w:sz="4"/>
              <w:bottom w:val="single" w:color="000000" w:sz="4"/>
              <w:right w:val="single" w:color="000000" w:sz="4"/>
            </w:tcBorders>
          </w:tcPr>
          <w:p>
            <w:pPr>
              <w:jc w:val="both"/>
            </w:pPr>
            <w:r>
              <w:rPr>
                <w:color w:val="000000"/>
                <w:sz w:val="21"/>
              </w:rPr>
              <w:t>准确无误（5分）</w:t>
            </w:r>
          </w:p>
        </w:tc>
      </w:tr>
      <w:tr>
        <w:tc>
          <w:tcPr>
            <w:tcW w:type="dxa" w:w="638"/>
            <w:vMerge/>
            <w:tcBorders>
              <w:top w:val="none" w:color="000000" w:sz="4"/>
              <w:left w:val="single" w:color="000000" w:sz="4"/>
              <w:bottom w:val="single" w:color="000000" w:sz="4"/>
              <w:right w:val="single" w:color="000000" w:sz="4"/>
            </w:tcBorders>
          </w:tcPr>
          <w:p/>
        </w:tc>
        <w:tc>
          <w:tcPr>
            <w:tcW w:type="dxa" w:w="1054"/>
            <w:vMerge/>
            <w:tcBorders>
              <w:top w:val="none" w:color="000000" w:sz="4"/>
              <w:left w:val="none" w:color="000000" w:sz="4"/>
              <w:bottom w:val="single" w:color="000000" w:sz="4"/>
              <w:right w:val="single" w:color="000000" w:sz="4"/>
            </w:tcBorders>
          </w:tcPr>
          <w:p/>
        </w:tc>
        <w:tc>
          <w:tcPr>
            <w:tcW w:type="dxa" w:w="1983"/>
            <w:vMerge w:val="restart"/>
            <w:tcBorders>
              <w:top w:val="none" w:color="000000" w:sz="4"/>
              <w:left w:val="none" w:color="000000" w:sz="4"/>
              <w:bottom w:val="single" w:color="000000" w:sz="4"/>
              <w:right w:val="single" w:color="000000" w:sz="4"/>
            </w:tcBorders>
          </w:tcPr>
          <w:p>
            <w:pPr>
              <w:jc w:val="both"/>
            </w:pPr>
            <w:r>
              <w:rPr>
                <w:color w:val="000000"/>
                <w:sz w:val="21"/>
              </w:rPr>
              <w:t>按要求提交现场巡查照片、原始记录档案等资料</w:t>
            </w:r>
          </w:p>
        </w:tc>
        <w:tc>
          <w:tcPr>
            <w:tcW w:type="dxa" w:w="2926"/>
            <w:tcBorders>
              <w:top w:val="none" w:color="000000" w:sz="4"/>
              <w:left w:val="none" w:color="000000" w:sz="4"/>
              <w:bottom w:val="single" w:color="000000" w:sz="4"/>
              <w:right w:val="single" w:color="000000" w:sz="4"/>
            </w:tcBorders>
          </w:tcPr>
          <w:p>
            <w:pPr>
              <w:jc w:val="both"/>
            </w:pPr>
            <w:r>
              <w:rPr>
                <w:color w:val="000000"/>
                <w:sz w:val="21"/>
              </w:rPr>
              <w:t>按时提交（5分）</w:t>
            </w:r>
          </w:p>
        </w:tc>
      </w:tr>
      <w:tr>
        <w:tc>
          <w:tcPr>
            <w:tcW w:type="dxa" w:w="638"/>
            <w:vMerge/>
            <w:tcBorders>
              <w:top w:val="none" w:color="000000" w:sz="4"/>
              <w:left w:val="single" w:color="000000" w:sz="4"/>
              <w:bottom w:val="single" w:color="000000" w:sz="4"/>
              <w:right w:val="single" w:color="000000" w:sz="4"/>
            </w:tcBorders>
          </w:tcPr>
          <w:p/>
        </w:tc>
        <w:tc>
          <w:tcPr>
            <w:tcW w:type="dxa" w:w="1054"/>
            <w:vMerge/>
            <w:tcBorders>
              <w:top w:val="none" w:color="000000" w:sz="4"/>
              <w:left w:val="none" w:color="000000" w:sz="4"/>
              <w:bottom w:val="single" w:color="000000" w:sz="4"/>
              <w:right w:val="single" w:color="000000" w:sz="4"/>
            </w:tcBorders>
          </w:tcPr>
          <w:p/>
        </w:tc>
        <w:tc>
          <w:tcPr>
            <w:tcW w:type="dxa" w:w="1983"/>
            <w:vMerge/>
            <w:tcBorders>
              <w:top w:val="none" w:color="000000" w:sz="4"/>
              <w:left w:val="none" w:color="000000" w:sz="4"/>
              <w:bottom w:val="single" w:color="000000" w:sz="4"/>
              <w:right w:val="single" w:color="000000" w:sz="4"/>
            </w:tcBorders>
          </w:tcPr>
          <w:p/>
        </w:tc>
        <w:tc>
          <w:tcPr>
            <w:tcW w:type="dxa" w:w="2926"/>
            <w:tcBorders>
              <w:top w:val="none" w:color="000000" w:sz="4"/>
              <w:left w:val="none" w:color="000000" w:sz="4"/>
              <w:bottom w:val="single" w:color="000000" w:sz="4"/>
              <w:right w:val="single" w:color="000000" w:sz="4"/>
            </w:tcBorders>
          </w:tcPr>
          <w:p>
            <w:pPr>
              <w:jc w:val="both"/>
            </w:pPr>
            <w:r>
              <w:rPr>
                <w:color w:val="000000"/>
                <w:sz w:val="21"/>
              </w:rPr>
              <w:t>准确无误（5分）</w:t>
            </w:r>
          </w:p>
        </w:tc>
      </w:tr>
      <w:tr>
        <w:tc>
          <w:tcPr>
            <w:tcW w:type="dxa" w:w="638"/>
            <w:vMerge/>
            <w:tcBorders>
              <w:top w:val="none" w:color="000000" w:sz="4"/>
              <w:left w:val="single" w:color="000000" w:sz="4"/>
              <w:bottom w:val="single" w:color="000000" w:sz="4"/>
              <w:right w:val="single" w:color="000000" w:sz="4"/>
            </w:tcBorders>
          </w:tcPr>
          <w:p/>
        </w:tc>
        <w:tc>
          <w:tcPr>
            <w:tcW w:type="dxa" w:w="1054"/>
            <w:vMerge/>
            <w:tcBorders>
              <w:top w:val="none" w:color="000000" w:sz="4"/>
              <w:left w:val="none" w:color="000000" w:sz="4"/>
              <w:bottom w:val="single" w:color="000000" w:sz="4"/>
              <w:right w:val="single" w:color="000000" w:sz="4"/>
            </w:tcBorders>
          </w:tcPr>
          <w:p/>
        </w:tc>
        <w:tc>
          <w:tcPr>
            <w:tcW w:type="dxa" w:w="1983"/>
            <w:vMerge w:val="restart"/>
            <w:tcBorders>
              <w:top w:val="none" w:color="000000" w:sz="4"/>
              <w:left w:val="none" w:color="000000" w:sz="4"/>
              <w:bottom w:val="single" w:color="000000" w:sz="4"/>
              <w:right w:val="single" w:color="000000" w:sz="4"/>
            </w:tcBorders>
          </w:tcPr>
          <w:p>
            <w:pPr>
              <w:jc w:val="both"/>
            </w:pPr>
            <w:r>
              <w:rPr>
                <w:color w:val="000000"/>
                <w:sz w:val="21"/>
              </w:rPr>
              <w:t>按要求提交CMA水质报告</w:t>
            </w:r>
          </w:p>
        </w:tc>
        <w:tc>
          <w:tcPr>
            <w:tcW w:type="dxa" w:w="2926"/>
            <w:tcBorders>
              <w:top w:val="none" w:color="000000" w:sz="4"/>
              <w:left w:val="none" w:color="000000" w:sz="4"/>
              <w:bottom w:val="single" w:color="000000" w:sz="4"/>
              <w:right w:val="single" w:color="000000" w:sz="4"/>
            </w:tcBorders>
          </w:tcPr>
          <w:p>
            <w:pPr>
              <w:jc w:val="both"/>
            </w:pPr>
            <w:r>
              <w:rPr>
                <w:color w:val="000000"/>
                <w:sz w:val="21"/>
              </w:rPr>
              <w:t>按时提交（5分）</w:t>
            </w:r>
          </w:p>
        </w:tc>
      </w:tr>
      <w:tr>
        <w:tc>
          <w:tcPr>
            <w:tcW w:type="dxa" w:w="638"/>
            <w:vMerge/>
            <w:tcBorders>
              <w:top w:val="none" w:color="000000" w:sz="4"/>
              <w:left w:val="single" w:color="000000" w:sz="4"/>
              <w:bottom w:val="single" w:color="000000" w:sz="4"/>
              <w:right w:val="single" w:color="000000" w:sz="4"/>
            </w:tcBorders>
          </w:tcPr>
          <w:p/>
        </w:tc>
        <w:tc>
          <w:tcPr>
            <w:tcW w:type="dxa" w:w="1054"/>
            <w:vMerge/>
            <w:tcBorders>
              <w:top w:val="none" w:color="000000" w:sz="4"/>
              <w:left w:val="none" w:color="000000" w:sz="4"/>
              <w:bottom w:val="single" w:color="000000" w:sz="4"/>
              <w:right w:val="single" w:color="000000" w:sz="4"/>
            </w:tcBorders>
          </w:tcPr>
          <w:p/>
        </w:tc>
        <w:tc>
          <w:tcPr>
            <w:tcW w:type="dxa" w:w="1983"/>
            <w:vMerge/>
            <w:tcBorders>
              <w:top w:val="none" w:color="000000" w:sz="4"/>
              <w:left w:val="none" w:color="000000" w:sz="4"/>
              <w:bottom w:val="single" w:color="000000" w:sz="4"/>
              <w:right w:val="single" w:color="000000" w:sz="4"/>
            </w:tcBorders>
          </w:tcPr>
          <w:p/>
        </w:tc>
        <w:tc>
          <w:tcPr>
            <w:tcW w:type="dxa" w:w="2926"/>
            <w:tcBorders>
              <w:top w:val="none" w:color="000000" w:sz="4"/>
              <w:left w:val="none" w:color="000000" w:sz="4"/>
              <w:bottom w:val="single" w:color="000000" w:sz="4"/>
              <w:right w:val="single" w:color="000000" w:sz="4"/>
            </w:tcBorders>
          </w:tcPr>
          <w:p>
            <w:pPr>
              <w:jc w:val="both"/>
            </w:pPr>
            <w:r>
              <w:rPr>
                <w:color w:val="000000"/>
                <w:sz w:val="21"/>
              </w:rPr>
              <w:t>准确无误（5分）</w:t>
            </w:r>
          </w:p>
        </w:tc>
      </w:tr>
      <w:tr>
        <w:tc>
          <w:tcPr>
            <w:tcW w:type="dxa" w:w="638"/>
            <w:vMerge w:val="restart"/>
            <w:tcBorders>
              <w:top w:val="none" w:color="000000" w:sz="4"/>
              <w:left w:val="single" w:color="000000" w:sz="4"/>
              <w:bottom w:val="single" w:color="000000" w:sz="4"/>
              <w:right w:val="single" w:color="000000" w:sz="4"/>
            </w:tcBorders>
          </w:tcPr>
          <w:p>
            <w:pPr>
              <w:jc w:val="center"/>
            </w:pPr>
            <w:r>
              <w:rPr>
                <w:color w:val="000000"/>
                <w:sz w:val="21"/>
              </w:rPr>
              <w:t>5</w:t>
            </w:r>
          </w:p>
        </w:tc>
        <w:tc>
          <w:tcPr>
            <w:tcW w:type="dxa" w:w="1054"/>
            <w:vMerge w:val="restart"/>
            <w:tcBorders>
              <w:top w:val="none" w:color="000000" w:sz="4"/>
              <w:left w:val="none" w:color="000000" w:sz="4"/>
              <w:bottom w:val="single" w:color="000000" w:sz="4"/>
              <w:right w:val="single" w:color="000000" w:sz="4"/>
            </w:tcBorders>
          </w:tcPr>
          <w:p>
            <w:pPr>
              <w:jc w:val="both"/>
            </w:pPr>
            <w:r>
              <w:rPr>
                <w:color w:val="000000"/>
                <w:sz w:val="21"/>
              </w:rPr>
              <w:t>应急检查情况（15分）</w:t>
            </w:r>
          </w:p>
        </w:tc>
        <w:tc>
          <w:tcPr>
            <w:tcW w:type="dxa" w:w="1983"/>
            <w:tcBorders>
              <w:top w:val="none" w:color="000000" w:sz="4"/>
              <w:left w:val="none" w:color="000000" w:sz="4"/>
              <w:bottom w:val="single" w:color="000000" w:sz="4"/>
              <w:right w:val="single" w:color="000000" w:sz="4"/>
            </w:tcBorders>
          </w:tcPr>
          <w:p>
            <w:pPr>
              <w:jc w:val="both"/>
            </w:pPr>
            <w:r>
              <w:rPr>
                <w:color w:val="000000"/>
                <w:sz w:val="21"/>
              </w:rPr>
              <w:t>发生突发水质事故或接到上级部门紧急任务时，投标人在2小时内到达现场</w:t>
            </w:r>
          </w:p>
        </w:tc>
        <w:tc>
          <w:tcPr>
            <w:tcW w:type="dxa" w:w="2926"/>
            <w:tcBorders>
              <w:top w:val="none" w:color="000000" w:sz="4"/>
              <w:left w:val="none" w:color="000000" w:sz="4"/>
              <w:bottom w:val="single" w:color="000000" w:sz="4"/>
              <w:right w:val="single" w:color="000000" w:sz="4"/>
            </w:tcBorders>
          </w:tcPr>
          <w:p>
            <w:pPr>
              <w:jc w:val="both"/>
            </w:pPr>
            <w:r>
              <w:rPr>
                <w:color w:val="000000"/>
                <w:sz w:val="21"/>
              </w:rPr>
              <w:t>乙方对突发应急工作响应不满足甲方要求的，一次扣10分。（10分）</w:t>
            </w:r>
          </w:p>
        </w:tc>
        <w:tc>
          <w:tcPr>
            <w:tcW w:type="dxa" w:w="652"/>
            <w:vMerge w:val="restart"/>
            <w:tcBorders>
              <w:top w:val="none" w:color="000000" w:sz="4"/>
              <w:left w:val="none" w:color="000000" w:sz="4"/>
              <w:bottom w:val="single" w:color="000000" w:sz="4"/>
              <w:right w:val="single" w:color="000000" w:sz="4"/>
            </w:tcBorders>
          </w:tcPr>
          <w:p>
            <w:pPr>
              <w:jc w:val="both"/>
            </w:pPr>
          </w:p>
        </w:tc>
        <w:tc>
          <w:tcPr>
            <w:tcW w:type="dxa" w:w="1054"/>
            <w:vMerge w:val="restart"/>
            <w:tcBorders>
              <w:top w:val="none" w:color="000000" w:sz="4"/>
              <w:left w:val="none" w:color="000000" w:sz="4"/>
              <w:bottom w:val="single" w:color="000000" w:sz="4"/>
              <w:right w:val="single" w:color="000000" w:sz="4"/>
            </w:tcBorders>
          </w:tcPr>
          <w:p>
            <w:pPr>
              <w:jc w:val="both"/>
            </w:pPr>
          </w:p>
        </w:tc>
      </w:tr>
      <w:tr>
        <w:tc>
          <w:tcPr>
            <w:tcW w:type="dxa" w:w="638"/>
            <w:vMerge/>
            <w:tcBorders>
              <w:top w:val="none" w:color="000000" w:sz="4"/>
              <w:left w:val="single" w:color="000000" w:sz="4"/>
              <w:bottom w:val="single" w:color="000000" w:sz="4"/>
              <w:right w:val="single" w:color="000000" w:sz="4"/>
            </w:tcBorders>
          </w:tcPr>
          <w:p/>
        </w:tc>
        <w:tc>
          <w:tcPr>
            <w:tcW w:type="dxa" w:w="1054"/>
            <w:vMerge/>
            <w:tcBorders>
              <w:top w:val="none" w:color="000000" w:sz="4"/>
              <w:left w:val="none" w:color="000000" w:sz="4"/>
              <w:bottom w:val="single" w:color="000000" w:sz="4"/>
              <w:right w:val="single" w:color="000000" w:sz="4"/>
            </w:tcBorders>
          </w:tcPr>
          <w:p/>
        </w:tc>
        <w:tc>
          <w:tcPr>
            <w:tcW w:type="dxa" w:w="1983"/>
            <w:tcBorders>
              <w:top w:val="none" w:color="000000" w:sz="4"/>
              <w:left w:val="none" w:color="000000" w:sz="4"/>
              <w:bottom w:val="single" w:color="000000" w:sz="4"/>
              <w:right w:val="single" w:color="000000" w:sz="4"/>
            </w:tcBorders>
          </w:tcPr>
          <w:p>
            <w:pPr>
              <w:jc w:val="both"/>
            </w:pPr>
            <w:r>
              <w:rPr>
                <w:color w:val="000000"/>
                <w:sz w:val="21"/>
              </w:rPr>
              <w:t>周末及节假日均需有固定的应急队伍待命</w:t>
            </w:r>
          </w:p>
        </w:tc>
        <w:tc>
          <w:tcPr>
            <w:tcW w:type="dxa" w:w="2926"/>
            <w:tcBorders>
              <w:top w:val="none" w:color="000000" w:sz="4"/>
              <w:left w:val="none" w:color="000000" w:sz="4"/>
              <w:bottom w:val="single" w:color="000000" w:sz="4"/>
              <w:right w:val="single" w:color="000000" w:sz="4"/>
            </w:tcBorders>
          </w:tcPr>
          <w:p>
            <w:pPr>
              <w:jc w:val="both"/>
            </w:pPr>
            <w:r>
              <w:rPr>
                <w:color w:val="000000"/>
                <w:sz w:val="21"/>
              </w:rPr>
              <w:t>乙方周末及节假日均需有固定的应急队伍待命不满足甲方要求的，一次扣5分（5分）</w:t>
            </w:r>
          </w:p>
        </w:tc>
      </w:tr>
      <w:tr>
        <w:tc>
          <w:tcPr>
            <w:tcW w:type="dxa" w:w="638"/>
            <w:tcBorders>
              <w:top w:val="none" w:color="000000" w:sz="4"/>
              <w:left w:val="single" w:color="000000" w:sz="4"/>
              <w:bottom w:val="single" w:color="000000" w:sz="4"/>
              <w:right w:val="single" w:color="000000" w:sz="4"/>
            </w:tcBorders>
          </w:tcPr>
          <w:p>
            <w:pPr>
              <w:jc w:val="both"/>
            </w:pPr>
            <w:r>
              <w:rPr>
                <w:color w:val="000000"/>
                <w:sz w:val="21"/>
              </w:rPr>
              <w:t>6</w:t>
            </w:r>
          </w:p>
        </w:tc>
        <w:tc>
          <w:tcPr>
            <w:tcW w:type="dxa" w:w="1054"/>
            <w:tcBorders>
              <w:top w:val="none" w:color="000000" w:sz="4"/>
              <w:left w:val="none" w:color="000000" w:sz="4"/>
              <w:bottom w:val="single" w:color="000000" w:sz="4"/>
              <w:right w:val="single" w:color="000000" w:sz="4"/>
            </w:tcBorders>
          </w:tcPr>
          <w:p>
            <w:pPr>
              <w:jc w:val="both"/>
            </w:pPr>
            <w:r>
              <w:rPr>
                <w:color w:val="000000"/>
                <w:sz w:val="21"/>
              </w:rPr>
              <w:t>人员考核（10分）</w:t>
            </w:r>
          </w:p>
        </w:tc>
        <w:tc>
          <w:tcPr>
            <w:tcW w:type="dxa" w:w="1983"/>
            <w:tcBorders>
              <w:top w:val="none" w:color="000000" w:sz="4"/>
              <w:left w:val="none" w:color="000000" w:sz="4"/>
              <w:bottom w:val="single" w:color="000000" w:sz="4"/>
              <w:right w:val="single" w:color="000000" w:sz="4"/>
            </w:tcBorders>
          </w:tcPr>
          <w:p>
            <w:pPr>
              <w:jc w:val="both"/>
            </w:pPr>
            <w:r>
              <w:rPr>
                <w:color w:val="000000"/>
                <w:sz w:val="21"/>
              </w:rPr>
              <w:t>按招标需求3.3.6对派驻人员进行管理</w:t>
            </w:r>
          </w:p>
        </w:tc>
        <w:tc>
          <w:tcPr>
            <w:tcW w:type="dxa" w:w="2926"/>
            <w:tcBorders>
              <w:top w:val="none" w:color="000000" w:sz="4"/>
              <w:left w:val="none" w:color="000000" w:sz="4"/>
              <w:bottom w:val="single" w:color="000000" w:sz="4"/>
              <w:right w:val="single" w:color="000000" w:sz="4"/>
            </w:tcBorders>
          </w:tcPr>
          <w:p>
            <w:pPr>
              <w:jc w:val="both"/>
            </w:pPr>
            <w:r>
              <w:rPr>
                <w:color w:val="000000"/>
                <w:sz w:val="21"/>
              </w:rPr>
              <w:t>未按要求对派驻人员进行管理，一次扣10分</w:t>
            </w:r>
          </w:p>
        </w:tc>
        <w:tc>
          <w:tcPr>
            <w:tcW w:type="dxa" w:w="652"/>
            <w:tcBorders>
              <w:top w:val="none" w:color="000000" w:sz="4"/>
              <w:left w:val="none" w:color="000000" w:sz="4"/>
              <w:bottom w:val="single" w:color="000000" w:sz="4"/>
              <w:right w:val="single" w:color="000000" w:sz="4"/>
            </w:tcBorders>
          </w:tcPr>
          <w:p>
            <w:pPr>
              <w:jc w:val="both"/>
            </w:pPr>
          </w:p>
        </w:tc>
        <w:tc>
          <w:tcPr>
            <w:tcW w:type="dxa" w:w="1054"/>
            <w:tcBorders>
              <w:top w:val="none" w:color="000000" w:sz="4"/>
              <w:left w:val="none" w:color="000000" w:sz="4"/>
              <w:bottom w:val="single" w:color="000000" w:sz="4"/>
              <w:right w:val="single" w:color="000000" w:sz="4"/>
            </w:tcBorders>
          </w:tcPr>
          <w:p>
            <w:pPr>
              <w:jc w:val="both"/>
            </w:pPr>
          </w:p>
        </w:tc>
      </w:tr>
    </w:tbl>
    <w:p>
      <w:pPr>
        <w:ind w:firstLine="420"/>
        <w:jc w:val="left"/>
      </w:pPr>
      <w:r>
        <w:rPr>
          <w:color w:val="000000"/>
          <w:sz w:val="21"/>
        </w:rPr>
        <w:t>（二）付款方式</w:t>
      </w:r>
    </w:p>
    <w:p>
      <w:pPr>
        <w:ind w:firstLine="420"/>
        <w:jc w:val="both"/>
      </w:pPr>
      <w:r>
        <w:rPr>
          <w:color w:val="000000"/>
          <w:sz w:val="21"/>
        </w:rPr>
        <w:t>1.</w:t>
      </w:r>
      <w:r>
        <w:rPr>
          <w:color w:val="000000"/>
          <w:sz w:val="21"/>
        </w:rPr>
        <w:t>本项目采用分期付款方式，具体支付时间及金额如下。</w:t>
      </w:r>
    </w:p>
    <w:p>
      <w:pPr>
        <w:ind w:firstLine="420"/>
        <w:jc w:val="both"/>
      </w:pPr>
      <w:r>
        <w:rPr>
          <w:color w:val="000000"/>
          <w:sz w:val="21"/>
        </w:rPr>
        <w:t>①乙方于签订合同后提交整体工作方案，通过验收后甲方支付合同总价30%的款项。</w:t>
      </w:r>
    </w:p>
    <w:p>
      <w:pPr>
        <w:ind w:firstLine="420"/>
        <w:jc w:val="both"/>
      </w:pPr>
      <w:r>
        <w:rPr>
          <w:color w:val="000000"/>
          <w:sz w:val="21"/>
        </w:rPr>
        <w:t>②甲方于2024年4月对项目进行整体验收，通过验收后甲方支付合同尾款。每次实际支付服务费=应支全额服务费-阶段考核扣减服务费总和。</w:t>
      </w:r>
    </w:p>
    <w:p>
      <w:pPr>
        <w:ind w:firstLine="420"/>
        <w:jc w:val="both"/>
      </w:pPr>
      <w:r>
        <w:rPr>
          <w:color w:val="000000"/>
          <w:sz w:val="21"/>
        </w:rPr>
        <w:t>2.</w:t>
      </w:r>
      <w:r>
        <w:rPr>
          <w:color w:val="000000"/>
          <w:sz w:val="21"/>
        </w:rPr>
        <w:t>具体付款时间为甲方向政府采购支付部门提出的支付申请的时间（不含政府财政支付部门审查的时间）。甲方有权根据财政资金批复情况，调整付款时间和金额。</w:t>
      </w:r>
    </w:p>
    <w:p>
      <w:pPr>
        <w:ind w:firstLine="420"/>
        <w:jc w:val="both"/>
      </w:pPr>
      <w:r>
        <w:rPr>
          <w:color w:val="000000"/>
          <w:sz w:val="21"/>
        </w:rPr>
        <w:t>3.</w:t>
      </w:r>
      <w:r>
        <w:rPr>
          <w:color w:val="000000"/>
          <w:sz w:val="21"/>
        </w:rPr>
        <w:t>每次实际支付服务费=应支全额服务费-阶段考核扣减服务费总和。当阶段考核扣减服务费总和大于应支全额服务费时，当次未扣减部分将在下次验收时继续扣减。</w:t>
      </w:r>
    </w:p>
    <w:p>
      <w:pPr>
        <w:ind w:firstLine="420"/>
        <w:jc w:val="left"/>
      </w:pPr>
      <w:r>
        <w:rPr>
          <w:color w:val="000000"/>
          <w:sz w:val="21"/>
        </w:rPr>
        <w:t>4.</w:t>
      </w:r>
      <w:r>
        <w:rPr>
          <w:color w:val="000000"/>
          <w:sz w:val="21"/>
        </w:rPr>
        <w:t>按照市财政下达的部门预算计划执行，若无部门预算计划，则服务中断或终止。若中标金额低于财政下达的部门预算计划时，以中标金额作为合同价；若中标金额高于财政下达的部门预算计划时，则以财政下达的部门预算计划作为合同价。</w:t>
      </w:r>
    </w:p>
    <w:p>
      <w:pPr>
        <w:ind w:firstLine="420"/>
        <w:jc w:val="left"/>
      </w:pPr>
      <w:r>
        <w:rPr>
          <w:color w:val="000000"/>
          <w:sz w:val="21"/>
        </w:rPr>
        <w:t>5.</w:t>
      </w:r>
      <w:r>
        <w:rPr>
          <w:color w:val="000000"/>
          <w:sz w:val="21"/>
        </w:rPr>
        <w:t>项目实施过程中，如有变更，由双方协商解决并签订书面补充协议，如协商不成的，则按合同第九条解决。</w:t>
      </w:r>
    </w:p>
    <w:p>
      <w:pPr>
        <w:ind w:firstLine="420"/>
        <w:jc w:val="left"/>
      </w:pPr>
      <w:r>
        <w:rPr>
          <w:color w:val="000000"/>
          <w:sz w:val="21"/>
        </w:rPr>
        <w:t>6.</w:t>
      </w:r>
      <w:r>
        <w:rPr>
          <w:color w:val="000000"/>
          <w:sz w:val="21"/>
        </w:rPr>
        <w:t>本项目如需进行财政评审确认合同结算价款的，则以市财政评审结算价为准。如本项目当年纳入审计，本项目的最终结算价以财政审计结算价为准。乙方申请付款时应先提供符合要求的正式发票给甲方作请款之用，乙方未及时提供发票导致付款迟延,由乙方自行承担不利后果。</w:t>
      </w:r>
    </w:p>
    <w:p>
      <w:pPr>
        <w:ind w:firstLine="420"/>
        <w:jc w:val="both"/>
      </w:pPr>
      <w:r>
        <w:rPr>
          <w:color w:val="000000"/>
          <w:sz w:val="21"/>
        </w:rPr>
        <w:t>7.</w:t>
      </w:r>
      <w:r>
        <w:rPr>
          <w:color w:val="000000"/>
          <w:sz w:val="21"/>
        </w:rPr>
        <w:t>乙方开户银行名称、地址和账号：</w:t>
      </w:r>
    </w:p>
    <w:p>
      <w:pPr>
        <w:ind w:firstLine="420"/>
        <w:jc w:val="left"/>
      </w:pPr>
      <w:r>
        <w:rPr>
          <w:color w:val="000000"/>
          <w:sz w:val="21"/>
        </w:rPr>
        <w:t>开户银行：</w:t>
      </w:r>
      <w:r>
        <w:rPr>
          <w:color w:val="000000"/>
          <w:sz w:val="21"/>
          <w:u w:val="single"/>
        </w:rPr>
        <w:t xml:space="preserve">                   </w:t>
      </w:r>
    </w:p>
    <w:p>
      <w:pPr>
        <w:ind w:firstLine="420"/>
        <w:jc w:val="left"/>
      </w:pPr>
      <w:r>
        <w:rPr>
          <w:color w:val="000000"/>
          <w:sz w:val="21"/>
        </w:rPr>
        <w:t>收款单位：</w:t>
      </w:r>
      <w:r>
        <w:rPr>
          <w:color w:val="000000"/>
          <w:sz w:val="21"/>
          <w:u w:val="single"/>
        </w:rPr>
        <w:t xml:space="preserve">                   </w:t>
      </w:r>
    </w:p>
    <w:p>
      <w:pPr>
        <w:ind w:firstLine="420"/>
        <w:jc w:val="left"/>
      </w:pPr>
      <w:r>
        <w:rPr>
          <w:color w:val="000000"/>
          <w:sz w:val="21"/>
        </w:rPr>
        <w:t>银行账号：</w:t>
      </w:r>
      <w:r>
        <w:rPr>
          <w:color w:val="000000"/>
          <w:sz w:val="21"/>
          <w:u w:val="single"/>
        </w:rPr>
        <w:t xml:space="preserve">                   </w:t>
      </w:r>
    </w:p>
    <w:p>
      <w:pPr>
        <w:ind w:firstLine="420"/>
        <w:jc w:val="left"/>
      </w:pPr>
      <w:r>
        <w:rPr>
          <w:color w:val="000000"/>
          <w:sz w:val="21"/>
        </w:rPr>
        <w:t>付款方式：采用支票、银行汇付（含电汇）等形式。</w:t>
      </w:r>
    </w:p>
    <w:p>
      <w:pPr>
        <w:ind w:firstLine="420"/>
        <w:jc w:val="left"/>
      </w:pPr>
      <w:r>
        <w:rPr>
          <w:color w:val="000000"/>
          <w:sz w:val="21"/>
        </w:rPr>
        <w:t>乙方申请付款时应先提供符合要求的正式发票给甲方作请款之用，乙方未及时提供发票导致付款迟延,由乙方自行承担不利后果。</w:t>
      </w:r>
    </w:p>
    <w:p>
      <w:pPr>
        <w:ind w:firstLine="420"/>
        <w:jc w:val="both"/>
      </w:pPr>
      <w:r>
        <w:rPr>
          <w:color w:val="000000"/>
          <w:sz w:val="21"/>
        </w:rPr>
        <w:t>注：鉴于本项目资金来源为财政资金并通过广州市财政集中支付方式进行支付，双方同意，本合同中甲方的付款节点为甲方完成付款资料审查并向政府财政部门提出支付申请的时间，具体到账时间以政府财政支付部门实际支付时间为准。当甲方在上述约定付款时间内完成前述申请付款工作，即视为甲方已依约完成本合同约定的付款义务，若因政府财政支付部门原因延迟实际付款时间的，不视为甲方违约，乙方应依约继续履行本合同义务，不能以此为借口拒绝履约。</w:t>
      </w:r>
    </w:p>
    <w:p>
      <w:pPr>
        <w:ind w:firstLine="210"/>
        <w:jc w:val="both"/>
      </w:pPr>
    </w:p>
    <w:p>
      <w:pPr>
        <w:ind w:firstLine="422"/>
        <w:jc w:val="left"/>
      </w:pPr>
      <w:r>
        <w:rPr>
          <w:b/>
          <w:color w:val="000000"/>
          <w:sz w:val="21"/>
        </w:rPr>
        <w:t>六、成果验收</w:t>
      </w:r>
    </w:p>
    <w:p>
      <w:pPr>
        <w:ind w:firstLine="420"/>
        <w:jc w:val="both"/>
      </w:pPr>
      <w:r>
        <w:rPr>
          <w:color w:val="000000"/>
          <w:sz w:val="21"/>
        </w:rPr>
        <w:t>双方确定，按以下标准和方式对乙方提交的工作成果进行验收：</w:t>
      </w:r>
    </w:p>
    <w:p>
      <w:pPr>
        <w:ind w:firstLine="420"/>
        <w:jc w:val="left"/>
      </w:pPr>
      <w:r>
        <w:rPr>
          <w:color w:val="000000"/>
          <w:sz w:val="21"/>
        </w:rPr>
        <w:t>（一）项目成果及提交时间</w:t>
      </w:r>
    </w:p>
    <w:p>
      <w:pPr>
        <w:ind w:firstLine="420"/>
        <w:jc w:val="both"/>
      </w:pPr>
      <w:r>
        <w:rPr>
          <w:color w:val="000000"/>
          <w:sz w:val="21"/>
        </w:rPr>
        <w:t>乙方要向甲方提交相关材料：①2023年6月15日、9月15日、12月15日、2024年3月15日前提交《广州市重点整治河涌跟踪评估抽查巡查报告》及现场巡查问题清单。②2024年1月15日前提交《广州市重点整治河涌跟踪评估抽查巡查项目年报》。③按要求提交《重点河涌雨季水质影响分析报告》。④视频图像资料、现场数据原始记录档案等内容。</w:t>
      </w:r>
    </w:p>
    <w:p>
      <w:pPr>
        <w:ind w:firstLine="420"/>
        <w:jc w:val="both"/>
      </w:pPr>
      <w:r>
        <w:rPr>
          <w:color w:val="000000"/>
          <w:sz w:val="21"/>
        </w:rPr>
        <w:t>按照甲方时间和内容要求提交相关的专项分析报告。</w:t>
      </w:r>
    </w:p>
    <w:p>
      <w:pPr>
        <w:ind w:firstLine="420"/>
        <w:jc w:val="both"/>
      </w:pPr>
      <w:r>
        <w:rPr>
          <w:color w:val="000000"/>
          <w:sz w:val="21"/>
        </w:rPr>
        <w:t>（二）验收标准</w:t>
      </w:r>
    </w:p>
    <w:p>
      <w:pPr>
        <w:ind w:firstLine="420"/>
        <w:jc w:val="both"/>
      </w:pPr>
      <w:r>
        <w:rPr>
          <w:color w:val="000000"/>
          <w:sz w:val="21"/>
        </w:rPr>
        <w:t>乙方工作成果的验收标准：工作成果需通过甲方验收认可，若乙方提交的工作成果达不到甲方要求的，乙方需按甲方要求限期整改直到符合甲方要求为止。乙方组织召开项目验收会，对在服务期内所提交的各项成果资料进行清点和审核。项目验收会费用包含在合同总价内。</w:t>
      </w:r>
    </w:p>
    <w:p>
      <w:pPr>
        <w:jc w:val="left"/>
      </w:pPr>
      <w:r>
        <w:rPr>
          <w:b/>
          <w:color w:val="000000"/>
          <w:sz w:val="21"/>
        </w:rPr>
        <w:t>七、违约责任</w:t>
      </w:r>
    </w:p>
    <w:p>
      <w:pPr>
        <w:ind w:firstLine="420"/>
        <w:jc w:val="both"/>
      </w:pPr>
      <w:r>
        <w:rPr>
          <w:color w:val="000000"/>
          <w:sz w:val="21"/>
        </w:rPr>
        <w:t>（一）乙方提供的服务不符合招标采购文件、投标文件或本合同规定的，甲方有权拒收。根据乙方违约程度，甲方有权单方面终止合同，乙方应立即无条件兑付履约保函，并追究乙方相关责任。</w:t>
      </w:r>
    </w:p>
    <w:p>
      <w:pPr>
        <w:ind w:firstLine="420"/>
        <w:jc w:val="both"/>
      </w:pPr>
      <w:r>
        <w:rPr>
          <w:color w:val="000000"/>
          <w:sz w:val="21"/>
        </w:rPr>
        <w:t>（二）乙方向甲方提交虚假成果资料或违反保密协议，甲方有权终止合同，乙方应立即无条件兑付履约保函，并追究乙方相关责任。</w:t>
      </w:r>
    </w:p>
    <w:p>
      <w:pPr>
        <w:ind w:firstLine="420"/>
        <w:jc w:val="both"/>
      </w:pPr>
      <w:r>
        <w:rPr>
          <w:color w:val="000000"/>
          <w:sz w:val="21"/>
        </w:rPr>
        <w:t>（三）乙方拒绝接受甲方或行业管理部门管理监督的，甲方有权终止合同，乙方应立即无条件兑付履约保函，并追究乙方相关责任。</w:t>
      </w:r>
    </w:p>
    <w:p>
      <w:pPr>
        <w:ind w:firstLine="420"/>
        <w:jc w:val="both"/>
      </w:pPr>
      <w:r>
        <w:rPr>
          <w:color w:val="000000"/>
          <w:sz w:val="21"/>
        </w:rPr>
        <w:t>（四）在没有取得甲方同意的情况下，如乙方将与本项目有关的资料泄露给第三方，甲方有权终止合同，乙方应立即无条件兑付履约保函，并追究乙方相关责任。</w:t>
      </w:r>
    </w:p>
    <w:p>
      <w:pPr>
        <w:ind w:firstLine="420"/>
        <w:jc w:val="both"/>
      </w:pPr>
      <w:r>
        <w:rPr>
          <w:color w:val="000000"/>
          <w:sz w:val="21"/>
        </w:rPr>
        <w:t>（五）因乙方不遵守有关安全生产制度及相关法规导致出现人员伤亡事故的，或经教育不进行整改的，甲方有权终止合同，乙方应立即无条件兑付履约保函，并追究乙方相关责任。</w:t>
      </w:r>
    </w:p>
    <w:p>
      <w:pPr>
        <w:ind w:firstLine="420"/>
        <w:jc w:val="both"/>
      </w:pPr>
      <w:r>
        <w:rPr>
          <w:color w:val="000000"/>
          <w:sz w:val="21"/>
        </w:rPr>
        <w:t>（六）由于财政资金拨款延迟或不到位而导致甲方逾期付款的，甲方不承担违约责任，并且此情况不能成为乙方拒绝提供服务的理由。</w:t>
      </w:r>
    </w:p>
    <w:p>
      <w:pPr>
        <w:ind w:firstLine="420"/>
        <w:jc w:val="both"/>
      </w:pPr>
      <w:r>
        <w:rPr>
          <w:color w:val="000000"/>
          <w:sz w:val="21"/>
        </w:rPr>
        <w:t>（七）其它违约责任按《中华人民共和国民法典》、《中华人民共和国政府采购法》等处理。</w:t>
      </w:r>
    </w:p>
    <w:p>
      <w:pPr>
        <w:jc w:val="left"/>
      </w:pPr>
      <w:r>
        <w:rPr>
          <w:b/>
          <w:color w:val="000000"/>
          <w:sz w:val="21"/>
        </w:rPr>
        <w:t>八、争议及解决办法</w:t>
      </w:r>
    </w:p>
    <w:p>
      <w:pPr>
        <w:ind w:firstLine="420"/>
        <w:jc w:val="left"/>
      </w:pPr>
      <w:r>
        <w:rPr>
          <w:color w:val="000000"/>
          <w:sz w:val="21"/>
        </w:rPr>
        <w:t>（一）凡与本合同有关而引起的一切争议，甲乙双方应首先通过友好协商解决，如经协商后仍不能达成协议时：</w:t>
      </w:r>
    </w:p>
    <w:p>
      <w:pPr>
        <w:ind w:firstLine="420"/>
        <w:jc w:val="both"/>
      </w:pPr>
      <w:r>
        <w:rPr>
          <w:color w:val="000000"/>
          <w:sz w:val="21"/>
        </w:rPr>
        <w:t>□广州仲裁委员会仲裁</w:t>
      </w:r>
    </w:p>
    <w:p>
      <w:pPr>
        <w:ind w:firstLine="420"/>
        <w:jc w:val="both"/>
      </w:pPr>
      <w:r>
        <w:rPr>
          <w:color w:val="000000"/>
          <w:sz w:val="21"/>
        </w:rPr>
        <w:t>√</w:t>
      </w:r>
      <w:r>
        <w:rPr>
          <w:color w:val="000000"/>
          <w:sz w:val="21"/>
        </w:rPr>
        <w:t>向甲方所在地人民法院提起诉讼</w:t>
      </w:r>
    </w:p>
    <w:p>
      <w:pPr>
        <w:ind w:firstLine="420"/>
        <w:jc w:val="left"/>
      </w:pPr>
      <w:r>
        <w:rPr>
          <w:color w:val="000000"/>
          <w:sz w:val="21"/>
        </w:rPr>
        <w:t>（二）在进行法院审理期间，除提交法院审理的事项外，合同其他部分仍应继续履行。</w:t>
      </w:r>
    </w:p>
    <w:p>
      <w:pPr>
        <w:ind w:firstLine="210"/>
        <w:jc w:val="both"/>
      </w:pPr>
      <w:r>
        <w:rPr>
          <w:color w:val="000000"/>
          <w:sz w:val="21"/>
        </w:rPr>
        <w:t>（三）本合同按照中华人民共和国的法律进行解释。</w:t>
      </w:r>
    </w:p>
    <w:p>
      <w:pPr>
        <w:jc w:val="both"/>
      </w:pPr>
      <w:r>
        <w:rPr>
          <w:b/>
          <w:color w:val="000000"/>
          <w:sz w:val="21"/>
        </w:rPr>
        <w:t>九、通知</w:t>
      </w:r>
    </w:p>
    <w:p>
      <w:pPr>
        <w:ind w:firstLine="420"/>
        <w:jc w:val="both"/>
      </w:pPr>
      <w:r>
        <w:rPr>
          <w:color w:val="000000"/>
          <w:sz w:val="21"/>
        </w:rPr>
        <w:t>1</w:t>
      </w:r>
      <w:r>
        <w:rPr>
          <w:color w:val="000000"/>
          <w:sz w:val="21"/>
        </w:rPr>
        <w:t>．本合同一方给对方的通知应用书面形式送达合同中规定的对方的地址，电传或传真要经对方的书面确认，以电报形式的通知，从当地邮电局发出电报的第二天视为送达。</w:t>
      </w:r>
    </w:p>
    <w:p>
      <w:pPr>
        <w:ind w:firstLine="420"/>
        <w:jc w:val="both"/>
      </w:pPr>
      <w:r>
        <w:rPr>
          <w:color w:val="000000"/>
          <w:sz w:val="21"/>
        </w:rPr>
        <w:t>2</w:t>
      </w:r>
      <w:r>
        <w:rPr>
          <w:color w:val="000000"/>
          <w:sz w:val="21"/>
        </w:rPr>
        <w:t>．通知以送到日期或通知书的生效日期为生效日期，两者中以晚的一个日期为准。</w:t>
      </w:r>
    </w:p>
    <w:p>
      <w:pPr>
        <w:ind w:firstLine="420"/>
        <w:jc w:val="both"/>
      </w:pPr>
    </w:p>
    <w:p>
      <w:pPr>
        <w:jc w:val="both"/>
      </w:pPr>
      <w:r>
        <w:rPr>
          <w:b/>
          <w:color w:val="000000"/>
          <w:sz w:val="21"/>
        </w:rPr>
        <w:t>十、合同生效</w:t>
      </w:r>
    </w:p>
    <w:p>
      <w:pPr>
        <w:ind w:firstLine="420"/>
        <w:jc w:val="both"/>
      </w:pPr>
      <w:r>
        <w:rPr>
          <w:color w:val="000000"/>
          <w:sz w:val="21"/>
        </w:rPr>
        <w:t>本合同在自双方签署之日起生效；如双方签署日期不一致，自较迟的签署日起生效。</w:t>
      </w:r>
    </w:p>
    <w:p>
      <w:pPr>
        <w:jc w:val="both"/>
      </w:pPr>
    </w:p>
    <w:p>
      <w:pPr>
        <w:jc w:val="both"/>
      </w:pPr>
      <w:r>
        <w:rPr>
          <w:b/>
          <w:color w:val="000000"/>
          <w:sz w:val="21"/>
        </w:rPr>
        <w:t>十一、其它</w:t>
      </w:r>
    </w:p>
    <w:p>
      <w:pPr>
        <w:ind w:firstLine="420"/>
        <w:jc w:val="both"/>
      </w:pPr>
      <w:r>
        <w:rPr>
          <w:color w:val="000000"/>
          <w:sz w:val="21"/>
        </w:rPr>
        <w:t>1</w:t>
      </w:r>
      <w:r>
        <w:rPr>
          <w:color w:val="000000"/>
          <w:sz w:val="21"/>
        </w:rPr>
        <w:t>．本合同之所有附件（含招标文件、投标文件、中标通知书等）均为合同的有效组成部分，与本合同具有同样法律效力。</w:t>
      </w:r>
    </w:p>
    <w:p>
      <w:pPr>
        <w:ind w:firstLine="420"/>
        <w:jc w:val="both"/>
      </w:pPr>
      <w:r>
        <w:rPr>
          <w:color w:val="000000"/>
          <w:sz w:val="21"/>
        </w:rPr>
        <w:t>2</w:t>
      </w:r>
      <w:r>
        <w:rPr>
          <w:color w:val="000000"/>
          <w:sz w:val="21"/>
        </w:rPr>
        <w:t>．除甲方事先书面同意外，乙方不得将部分或全部转让其应履行的合同项下的义务。</w:t>
      </w:r>
    </w:p>
    <w:p>
      <w:pPr>
        <w:ind w:firstLine="420"/>
        <w:jc w:val="both"/>
      </w:pPr>
      <w:r>
        <w:rPr>
          <w:color w:val="000000"/>
          <w:sz w:val="21"/>
        </w:rPr>
        <w:t>3</w:t>
      </w:r>
      <w:r>
        <w:rPr>
          <w:color w:val="000000"/>
          <w:sz w:val="21"/>
        </w:rPr>
        <w:t>．双方确定，在本合同有效期内，甲方指定</w:t>
      </w:r>
      <w:r>
        <w:rPr>
          <w:color w:val="000000"/>
          <w:sz w:val="21"/>
          <w:u w:val="single"/>
        </w:rPr>
        <w:t xml:space="preserve">      </w:t>
      </w:r>
      <w:r>
        <w:rPr>
          <w:color w:val="000000"/>
          <w:sz w:val="21"/>
        </w:rPr>
        <w:t>为甲方项目联系人，乙方指定</w:t>
      </w:r>
      <w:r>
        <w:rPr>
          <w:color w:val="000000"/>
          <w:sz w:val="21"/>
          <w:u w:val="single"/>
        </w:rPr>
        <w:t xml:space="preserve">　  </w:t>
      </w:r>
      <w:r>
        <w:rPr>
          <w:color w:val="000000"/>
          <w:sz w:val="21"/>
        </w:rPr>
        <w:t>为乙方项目联系人。项目联系人承担以下责任：</w:t>
      </w:r>
    </w:p>
    <w:p>
      <w:pPr>
        <w:ind w:firstLine="420"/>
        <w:jc w:val="both"/>
      </w:pPr>
      <w:r>
        <w:rPr>
          <w:color w:val="000000"/>
          <w:sz w:val="21"/>
        </w:rPr>
        <w:t xml:space="preserve">①负责双方工作联系及现场的工作协调。  </w:t>
      </w:r>
    </w:p>
    <w:p>
      <w:pPr>
        <w:ind w:firstLine="420"/>
        <w:jc w:val="both"/>
      </w:pPr>
      <w:r>
        <w:rPr>
          <w:color w:val="000000"/>
          <w:sz w:val="21"/>
        </w:rPr>
        <w:t xml:space="preserve">②负责跟进服务工作的进度。                        </w:t>
      </w:r>
    </w:p>
    <w:p>
      <w:pPr>
        <w:ind w:firstLine="420"/>
        <w:jc w:val="both"/>
      </w:pPr>
      <w:r>
        <w:rPr>
          <w:color w:val="000000"/>
          <w:sz w:val="21"/>
        </w:rPr>
        <w:t>一方变更项目联系人的，应当及时以书面形式通知另一方，未及时通知并影响本合同履行或造成损失的，应承担相应的责任。</w:t>
      </w:r>
    </w:p>
    <w:p>
      <w:pPr>
        <w:ind w:firstLine="420"/>
        <w:jc w:val="both"/>
      </w:pPr>
      <w:r>
        <w:rPr>
          <w:color w:val="000000"/>
          <w:sz w:val="21"/>
        </w:rPr>
        <w:t>4</w:t>
      </w:r>
      <w:r>
        <w:rPr>
          <w:color w:val="000000"/>
          <w:sz w:val="21"/>
        </w:rPr>
        <w:t>．合同正本（双方授权代表都作页签）一式</w:t>
      </w:r>
      <w:r>
        <w:rPr>
          <w:color w:val="000000"/>
          <w:sz w:val="21"/>
          <w:u w:val="single"/>
        </w:rPr>
        <w:t xml:space="preserve"> 陆</w:t>
      </w:r>
      <w:r>
        <w:rPr>
          <w:color w:val="000000"/>
          <w:sz w:val="21"/>
        </w:rPr>
        <w:t xml:space="preserve"> 份，甲、乙双方各执</w:t>
      </w:r>
      <w:r>
        <w:rPr>
          <w:color w:val="000000"/>
          <w:sz w:val="21"/>
          <w:u w:val="single"/>
        </w:rPr>
        <w:t>叁</w:t>
      </w:r>
      <w:r>
        <w:rPr>
          <w:color w:val="000000"/>
          <w:sz w:val="21"/>
        </w:rPr>
        <w:t>份。</w:t>
      </w:r>
    </w:p>
    <w:p>
      <w:pPr>
        <w:ind w:firstLine="420"/>
        <w:jc w:val="both"/>
      </w:pPr>
    </w:p>
    <w:p>
      <w:pPr>
        <w:ind w:firstLine="420"/>
        <w:jc w:val="both"/>
      </w:pPr>
    </w:p>
    <w:p>
      <w:pPr>
        <w:ind w:firstLine="420"/>
        <w:jc w:val="both"/>
      </w:pPr>
    </w:p>
    <w:p>
      <w:pPr>
        <w:ind w:firstLine="420"/>
        <w:jc w:val="both"/>
      </w:pPr>
    </w:p>
    <w:p>
      <w:pPr>
        <w:jc w:val="both"/>
      </w:pPr>
      <w:r>
        <w:rPr>
          <w:color w:val="000000"/>
          <w:sz w:val="21"/>
        </w:rPr>
        <w:t>甲方（盖章）：广州市城市排水监测站            乙方（盖章）：</w:t>
      </w:r>
    </w:p>
    <w:p>
      <w:pPr>
        <w:jc w:val="both"/>
      </w:pPr>
      <w:r>
        <w:rPr>
          <w:color w:val="000000"/>
          <w:sz w:val="21"/>
        </w:rPr>
        <w:t>法定代表（签字）：                            法定代表（签字）：</w:t>
      </w:r>
    </w:p>
    <w:p>
      <w:pPr>
        <w:jc w:val="both"/>
      </w:pPr>
      <w:r>
        <w:rPr>
          <w:color w:val="000000"/>
          <w:sz w:val="21"/>
        </w:rPr>
        <w:t>签字日期：                                   签字日期：</w:t>
      </w:r>
    </w:p>
    <w:p>
      <w:pPr>
        <w:jc w:val="both"/>
      </w:pPr>
      <w:r>
        <w:rPr>
          <w:color w:val="000000"/>
          <w:sz w:val="21"/>
        </w:rPr>
        <w:t>地址：广州市站南路15号之一                  地址：</w:t>
      </w:r>
    </w:p>
    <w:p>
      <w:pPr>
        <w:jc w:val="both"/>
      </w:pPr>
      <w:r>
        <w:rPr>
          <w:color w:val="000000"/>
          <w:sz w:val="21"/>
        </w:rPr>
        <w:t>电话：020-                                   电话</w:t>
      </w:r>
    </w:p>
    <w:p>
      <w:pPr>
        <w:jc w:val="both"/>
      </w:pPr>
      <w:r>
        <w:rPr>
          <w:color w:val="000000"/>
          <w:sz w:val="21"/>
        </w:rPr>
        <w:t>开户银行：                                   开户银行：</w:t>
      </w:r>
    </w:p>
    <w:p>
      <w:pPr>
        <w:jc w:val="both"/>
      </w:pPr>
      <w:r>
        <w:rPr>
          <w:color w:val="000000"/>
          <w:sz w:val="21"/>
        </w:rPr>
        <w:t>账号：                                       账号：</w:t>
      </w: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440101-2023-01617</w:t>
      </w:r>
    </w:p>
    <w:p>
      <w:pPr>
        <w:jc w:val="center"/>
      </w:pPr>
      <w:r>
        <w:rPr>
          <w:b/>
          <w:sz w:val="24"/>
        </w:rPr>
        <w:t>采购项目编号：</w:t>
      </w:r>
      <w:r>
        <w:rPr>
          <w:b/>
          <w:sz w:val="24"/>
        </w:rPr>
        <w:t>440101-2023-01617</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p>
    <w:p>
      <w:r>
        <w:rPr/>
        <w:t xml:space="preserve"> </w:t>
      </w:r>
    </w:p>
    <w:p/>
    <w:p>
      <w:r>
        <w:rPr>
          <w:b/>
          <w:sz w:val="28"/>
        </w:rPr>
        <w:t>格式一：</w:t>
      </w:r>
    </w:p>
    <w:p>
      <w:r>
        <w:rPr>
          <w:b/>
          <w:sz w:val="24"/>
        </w:rPr>
        <w:t>投标函</w:t>
      </w:r>
    </w:p>
    <w:p>
      <w:pPr>
        <w:ind w:firstLine="480"/>
      </w:pPr>
      <w:r>
        <w:rPr/>
        <w:t>致：</w:t>
      </w:r>
      <w:r>
        <w:rPr>
          <w:u w:val="single"/>
        </w:rPr>
        <w:t>广东志正招标有限公司</w:t>
      </w:r>
    </w:p>
    <w:p>
      <w:pPr>
        <w:ind w:firstLine="480"/>
      </w:pPr>
      <w:r>
        <w:rPr/>
        <w:t>你方组织的</w:t>
      </w:r>
      <w:r>
        <w:rPr>
          <w:u w:val="single"/>
        </w:rPr>
        <w:t>“</w:t>
      </w:r>
      <w:r>
        <w:rPr>
          <w:u w:val="single"/>
        </w:rPr>
        <w:t>广州市重点河涌问题台账更新与整治效果跟踪评估</w:t>
      </w:r>
      <w:r>
        <w:rPr>
          <w:u w:val="single"/>
        </w:rPr>
        <w:t>”</w:t>
      </w:r>
      <w:r>
        <w:rPr/>
        <w:t>项目的招标[采购项目编号为：</w:t>
      </w:r>
      <w:r>
        <w:rPr>
          <w:u w:val="single"/>
        </w:rPr>
        <w:t>440101-2023-01617</w:t>
      </w:r>
      <w:r>
        <w:rPr/>
        <w:t>]，我方愿参与投标。</w:t>
      </w:r>
    </w:p>
    <w:p>
      <w:pPr>
        <w:ind w:firstLine="480"/>
      </w:pPr>
      <w:r>
        <w:rPr/>
        <w:t>我方确认收到贵方提供的</w:t>
      </w:r>
      <w:r>
        <w:rPr>
          <w:u w:val="single"/>
        </w:rPr>
        <w:t>“</w:t>
      </w:r>
      <w:r>
        <w:rPr>
          <w:u w:val="single"/>
        </w:rPr>
        <w:t>广州市重点河涌问题台账更新与整治效果跟踪评估</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（十三）我方对在本函及投标文件中所作的所有承诺承担法律责任。</w:t>
      </w:r>
    </w:p>
    <w:p>
      <w:pPr>
        <w:ind w:firstLine="480"/>
      </w:pPr>
      <w:r>
        <w:rPr/>
        <w:t>（十四）所有与本招标有关的函件请发往下列地址：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广东志正招标有限公司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广州市重点河涌问题台账更新与整治效果跟踪评估</w:t>
      </w:r>
      <w:r>
        <w:rPr/>
        <w:t>”项目采购[采购项目编号为</w:t>
      </w:r>
      <w:r>
        <w:rPr/>
        <w:t>440101-2023-01617</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广州市城市排水监测站</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广东志正招标有限公司</w:t>
      </w:r>
    </w:p>
    <w:p>
      <w:pPr>
        <w:ind w:firstLine="480"/>
      </w:pPr>
      <w:r>
        <w:rPr/>
        <w:t>如果我方在贵采购代理机构组织的</w:t>
      </w:r>
      <w:r>
        <w:rPr/>
        <w:t>广州市重点河涌问题台账更新与整治效果跟踪评估</w:t>
      </w:r>
      <w:r>
        <w:rPr/>
        <w:t>招标中获中标（采购项目编号：</w:t>
      </w:r>
      <w:r>
        <w:rPr/>
        <w:t>440101-2023-01617</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