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440001-2023-50062</w:t>
      </w:r>
    </w:p>
    <w:p>
      <w:pPr>
        <w:jc w:val="center"/>
      </w:pPr>
      <w:r>
        <w:rPr>
          <w:b/>
          <w:sz w:val="24"/>
        </w:rPr>
        <w:t>采购项目编号：</w:t>
      </w:r>
      <w:r>
        <w:rPr>
          <w:b/>
          <w:sz w:val="24"/>
        </w:rPr>
        <w:t>440001-2023-50062</w:t>
      </w:r>
    </w:p>
    <w:p>
      <w:pPr>
        <w:jc w:val="center"/>
      </w:pPr>
      <w:r>
        <w:rPr>
          <w:b/>
          <w:sz w:val="24"/>
        </w:rPr>
        <w:t>项目名称：</w:t>
      </w:r>
      <w:r>
        <w:rPr>
          <w:b/>
          <w:sz w:val="24"/>
        </w:rPr>
        <w:t>飞秒激光高精度直写一体化系统采购</w:t>
      </w:r>
    </w:p>
    <w:p>
      <w:pPr>
        <w:jc w:val="center"/>
      </w:pPr>
      <w:r>
        <w:rPr>
          <w:b/>
          <w:sz w:val="24"/>
        </w:rPr>
        <w:t>采购人：</w:t>
      </w:r>
      <w:r>
        <w:rPr>
          <w:b/>
          <w:sz w:val="24"/>
        </w:rPr>
        <w:t>广东工业大学</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广东工业大学</w:t>
      </w:r>
      <w:r>
        <w:rPr/>
        <w:t>的委托，采用</w:t>
      </w:r>
      <w:r>
        <w:rPr/>
        <w:t>公开招标</w:t>
      </w:r>
      <w:r>
        <w:rPr/>
        <w:t>方式组织采购</w:t>
      </w:r>
      <w:r>
        <w:rPr/>
        <w:t>飞秒激光高精度直写一体化系统采购</w:t>
      </w:r>
      <w:r>
        <w:rPr/>
        <w:t>。欢迎符合资格条件的国内供应商参加投标。</w:t>
      </w:r>
    </w:p>
    <w:p>
      <w:r>
        <w:rPr>
          <w:b/>
          <w:sz w:val="28"/>
        </w:rPr>
        <w:t>一.项目概述</w:t>
      </w:r>
    </w:p>
    <w:p>
      <w:r>
        <w:rPr>
          <w:b/>
          <w:sz w:val="24"/>
        </w:rPr>
        <w:t>1.名称与编号</w:t>
      </w:r>
    </w:p>
    <w:p>
      <w:pPr>
        <w:ind w:firstLine="480"/>
      </w:pPr>
      <w:r>
        <w:rPr/>
        <w:t>项目名称：</w:t>
      </w:r>
      <w:r>
        <w:rPr/>
        <w:t>飞秒激光高精度直写一体化系统采购</w:t>
      </w:r>
    </w:p>
    <w:p>
      <w:pPr>
        <w:ind w:firstLine="480"/>
      </w:pPr>
      <w:r>
        <w:rPr/>
        <w:t>采购计划编号：</w:t>
      </w:r>
      <w:r>
        <w:rPr/>
        <w:t>440001-2023-50062</w:t>
      </w:r>
    </w:p>
    <w:p>
      <w:pPr>
        <w:ind w:firstLine="480"/>
      </w:pPr>
      <w:r>
        <w:rPr/>
        <w:t>采购项目编号：</w:t>
      </w:r>
      <w:r>
        <w:rPr/>
        <w:t>440001-2023-50062</w:t>
      </w:r>
    </w:p>
    <w:p>
      <w:pPr>
        <w:ind w:firstLine="480"/>
      </w:pPr>
      <w:r>
        <w:rPr/>
        <w:t>采购方式：</w:t>
      </w:r>
      <w:r>
        <w:rPr/>
        <w:t>公开招标</w:t>
      </w:r>
    </w:p>
    <w:p>
      <w:pPr>
        <w:ind w:firstLine="480"/>
      </w:pPr>
      <w:r>
        <w:rPr/>
        <w:t>预算金额：</w:t>
      </w:r>
      <w:r>
        <w:rPr/>
        <w:t>4,800,000.00</w:t>
      </w:r>
      <w:r>
        <w:rPr/>
        <w:t>元</w:t>
      </w:r>
    </w:p>
    <w:p>
      <w:r>
        <w:rPr>
          <w:b/>
          <w:sz w:val="24"/>
        </w:rPr>
        <w:t>2.项目内容及需求情况（采购项目技术规格、参数及要求）</w:t>
      </w:r>
    </w:p>
    <w:p>
      <w:pPr>
        <w:ind w:firstLine="480"/>
      </w:pPr>
    </w:p>
    <w:p/>
    <w:p>
      <w:r>
        <w:rPr/>
        <w:t>采购包1(秒激光高精度直写一体化系统):</w:t>
      </w:r>
    </w:p>
    <w:p>
      <w:r>
        <w:rPr/>
        <w:t>采购包预算金额：4,800,000.00元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其他仪器仪表</w:t>
            </w:r>
          </w:p>
        </w:tc>
        <w:tc>
          <w:tcPr>
            <w:tcW w:type="dxa" w:w="2136"/>
          </w:tcPr>
          <w:p>
            <w:r>
              <w:rPr/>
              <w:t>飞秒激光高精度直写一体化系统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合同履行期限：合同生效480天内中标人完成货物安装调试并交付使用。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4）履行合同所必需的设备和专业技术能力：按投标（响应）文件格式填报设备及专业技术能力情况。（格式自拟）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采购包1（秒激光高精度直写一体化系统）：</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广东工业大学</w:t>
      </w:r>
    </w:p>
    <w:p>
      <w:pPr>
        <w:ind w:firstLine="480"/>
      </w:pPr>
      <w:r>
        <w:rPr/>
        <w:t>地址：</w:t>
      </w:r>
      <w:r>
        <w:rPr/>
        <w:t>广州市广州大学城外环西路100号</w:t>
      </w:r>
    </w:p>
    <w:p>
      <w:pPr>
        <w:ind w:firstLine="480"/>
      </w:pPr>
      <w:r>
        <w:rPr/>
        <w:t>联系方式：</w:t>
      </w:r>
      <w:r>
        <w:rPr/>
        <w:t>020-39340032</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孔先生、吴小姐</w:t>
      </w:r>
    </w:p>
    <w:p>
      <w:pPr>
        <w:ind w:firstLine="480"/>
      </w:pPr>
      <w:r>
        <w:rPr/>
        <w:t>电话：</w:t>
      </w:r>
      <w:r>
        <w:rPr/>
        <w:t>020-87554618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b/>
          <w:sz w:val="21"/>
        </w:rPr>
        <w:t>说明：</w:t>
      </w:r>
    </w:p>
    <w:p>
      <w:pPr>
        <w:jc w:val="both"/>
      </w:pPr>
      <w:r>
        <w:rPr>
          <w:sz w:val="21"/>
        </w:rPr>
        <w:t>1</w:t>
      </w:r>
      <w:r>
        <w:rPr>
          <w:sz w:val="21"/>
        </w:rPr>
        <w:t>、投标人须对本项目为单位（有划分包组的，则以包组为单位）的标的物进行整体投标，任何只对其中一部分内容进行的投标都被视为无效投标。</w:t>
      </w:r>
    </w:p>
    <w:p>
      <w:pPr>
        <w:jc w:val="both"/>
      </w:pPr>
      <w:r>
        <w:rPr>
          <w:sz w:val="21"/>
        </w:rPr>
        <w:t>2</w:t>
      </w:r>
      <w:r>
        <w:rPr>
          <w:sz w:val="21"/>
        </w:rPr>
        <w:t>、本招标文件中，凡标有“★”的地方，投标人要特别加以注意，必须对此作出一一响应。若有一项带“★”的指标未响应或不满足，将导致其废标或投标无效。</w:t>
      </w:r>
    </w:p>
    <w:p>
      <w:pPr>
        <w:jc w:val="both"/>
      </w:pPr>
      <w:r>
        <w:rPr>
          <w:sz w:val="21"/>
        </w:rPr>
        <w:t>3</w:t>
      </w:r>
      <w:r>
        <w:rPr>
          <w:sz w:val="21"/>
        </w:rPr>
        <w:t>、本项目核心产品为：</w:t>
      </w:r>
      <w:r>
        <w:rPr>
          <w:b/>
          <w:sz w:val="21"/>
        </w:rPr>
        <w:t>飞秒激光高精度直写一体化系统</w:t>
      </w:r>
      <w:r>
        <w:rPr>
          <w:sz w:val="21"/>
        </w:rPr>
        <w:t>。</w:t>
      </w:r>
    </w:p>
    <w:p>
      <w:pPr>
        <w:ind w:firstLine="420"/>
        <w:jc w:val="both"/>
      </w:pPr>
      <w:r>
        <w:rPr>
          <w:sz w:val="21"/>
        </w:rPr>
        <w:t>投标人应在投标文件中清晰列明“货物名称、品牌”。</w:t>
      </w:r>
    </w:p>
    <w:p>
      <w:pPr>
        <w:ind w:firstLine="420"/>
        <w:jc w:val="both"/>
      </w:pPr>
      <w:r>
        <w:rPr>
          <w:sz w:val="21"/>
        </w:rPr>
        <w:t>注：若存在多项核心产品，当不同供应商提供的任意一项核心产品的品牌相同，则视同其是所响应核心产品品牌相同供应商。</w:t>
      </w:r>
    </w:p>
    <w:p>
      <w:pPr>
        <w:jc w:val="both"/>
      </w:pPr>
      <w:r>
        <w:rPr>
          <w:sz w:val="21"/>
        </w:rPr>
        <w:t>4</w:t>
      </w:r>
      <w:r>
        <w:rPr>
          <w:sz w:val="21"/>
        </w:rPr>
        <w:t>、本项目不专门面向中小企业。</w:t>
      </w:r>
    </w:p>
    <w:p>
      <w:pPr>
        <w:jc w:val="both"/>
      </w:pPr>
      <w:r>
        <w:rPr>
          <w:sz w:val="21"/>
        </w:rPr>
        <w:t>5、</w:t>
      </w:r>
      <w:r>
        <w:rPr>
          <w:sz w:val="21"/>
        </w:rPr>
        <w:t>中小企业声明函中，本项目</w:t>
      </w:r>
      <w:r>
        <w:rPr>
          <w:b/>
          <w:sz w:val="21"/>
          <w:u w:val="single"/>
        </w:rPr>
        <w:t>飞秒激光高精度直写一体化系统采购</w:t>
      </w:r>
      <w:r>
        <w:rPr>
          <w:sz w:val="21"/>
        </w:rPr>
        <w:t>属于</w:t>
      </w:r>
      <w:r>
        <w:rPr>
          <w:b/>
          <w:sz w:val="21"/>
        </w:rPr>
        <w:t>为</w:t>
      </w:r>
      <w:r>
        <w:rPr>
          <w:b/>
          <w:sz w:val="21"/>
          <w:u w:val="single"/>
        </w:rPr>
        <w:t>工业</w:t>
      </w:r>
      <w:r>
        <w:rPr>
          <w:b/>
          <w:sz w:val="21"/>
        </w:rPr>
        <w:t>。</w:t>
      </w:r>
    </w:p>
    <w:p>
      <w:pPr>
        <w:jc w:val="both"/>
      </w:pPr>
      <w:r>
        <w:rPr>
          <w:sz w:val="21"/>
        </w:rPr>
        <w:t>6、★投标人应在投标分项报价表上标明本项目拟提供主要标的的名称、产地、规格型号、数量、单价、服务要求、制造商名称、每个单项的小计、整个投标的总价以及合同项下的货物来源地。</w:t>
      </w:r>
      <w:r>
        <w:rPr>
          <w:sz w:val="21"/>
        </w:rPr>
        <w:t>（格式自拟，作为投标文件一部分上传。）</w:t>
      </w:r>
    </w:p>
    <w:p/>
    <w:p>
      <w:pPr>
        <w:ind w:firstLine="480"/>
      </w:pPr>
    </w:p>
    <w:p/>
    <w:p>
      <w:r>
        <w:rPr/>
        <w:t>采购包1（秒激光高精度直写一体化系统）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合同生效480天内中标人完成货物安装调试并交付使用。</w:t>
            </w:r>
          </w:p>
        </w:tc>
      </w:tr>
      <w:tr>
        <w:tc>
          <w:tcPr>
            <w:tcW w:type="dxa" w:w="4153"/>
          </w:tcPr>
          <w:p>
            <w:r>
              <w:rPr/>
              <w:t>标的提供的地点</w:t>
            </w:r>
          </w:p>
        </w:tc>
        <w:tc>
          <w:tcPr>
            <w:tcW w:type="dxa" w:w="4153"/>
          </w:tcPr>
          <w:p/>
          <w:p>
            <w:r>
              <w:rPr/>
              <w:t>采购人大学城校区信息工程学院指定地点。</w:t>
            </w:r>
          </w:p>
        </w:tc>
      </w:tr>
      <w:tr>
        <w:tc>
          <w:tcPr>
            <w:tcW w:type="dxa" w:w="4153"/>
          </w:tcPr>
          <w:p>
            <w:r>
              <w:rPr/>
              <w:t>付款方式</w:t>
            </w:r>
          </w:p>
        </w:tc>
        <w:tc>
          <w:tcPr>
            <w:tcW w:type="dxa" w:w="4153"/>
          </w:tcPr>
          <w:p/>
          <w:p/>
          <w:p>
            <w:r>
              <w:rPr/>
              <w:t>1期：支付比例100%,★1期：支付比例100%。合同生效后，中标人开出以采购人为受益人的“见索即付”形式的预付款银行保函，保函金额为合同总金额，保函付款条件为银行收到采购人书面索赔通知即须赔付，保函有效期为合同生效后一年；采购人收到银行保函后15日内按相关规定办理支付手续，采购人将合同货款支付给中标人。 货物安装调试完毕，经采购人、中标人双方对货物进行验收合格并完成交付后，中标人开具全额增值税专用发票给采购人，采购人在10个工作日内将银行保函原件退回给中标人，中标人自行到银行办理相关手续。</w:t>
            </w:r>
          </w:p>
        </w:tc>
      </w:tr>
      <w:tr>
        <w:tc>
          <w:tcPr>
            <w:tcW w:type="dxa" w:w="4153"/>
          </w:tcPr>
          <w:p>
            <w:r>
              <w:rPr/>
              <w:t>验收要求</w:t>
            </w:r>
          </w:p>
        </w:tc>
        <w:tc>
          <w:tcPr>
            <w:tcW w:type="dxa" w:w="4153"/>
          </w:tcPr>
          <w:p/>
          <w:p/>
          <w:p/>
          <w:p>
            <w:r>
              <w:rPr/>
              <w:t>1期：1.交付验收标准为：按本合同约定的货物及价格、详细配置清单及技术指标、符合采购文件和响应承诺中采购人认可的合理最佳配置、参数及各项要求、国家相关标准和行业规范进行验收（该等标准不一致的，以较高为准）。 2.验收流程按采购人规章制度执行，由采购人组成验收小组（含中标人人员）按国家有关规定、规范进行验收，必要时采购人可邀请相关的专业人员或机构参与验收。 3.货物安装调试完毕且正常运行后，中标人应向采购人提出书面验收申请，准备并向采购人提交验收文件，本合同项下的全部货物按采购人验收流程验收通过，经甲乙双方签署验收合格证明后，视为验收合格。 4.验收合格后，中标人应将货物的用户手册、保修手册、有关单证资料及配备件、随机工具等交付给采购人，使用操作及安全须知等重要资料应附有中文说明。前述资料物品交付完毕当日，视为合同货物完成交付。</w:t>
            </w:r>
          </w:p>
        </w:tc>
      </w:tr>
      <w:tr>
        <w:tc>
          <w:tcPr>
            <w:tcW w:type="dxa" w:w="4153"/>
          </w:tcPr>
          <w:p>
            <w:r>
              <w:rPr/>
              <w:t>履约保证金</w:t>
            </w:r>
          </w:p>
        </w:tc>
        <w:tc>
          <w:tcPr>
            <w:tcW w:type="dxa" w:w="4153"/>
          </w:tcPr>
          <w:p/>
          <w:p/>
          <w:p/>
          <w:p/>
          <w:p>
            <w:r>
              <w:rPr/>
              <w:t>收取比例：5%,说明：合同生效后，中标人开出以采购人为受益人的“见索即付”形式的预付款银行保函，保函金额为合同总金额的5%，保函付款条件为银行收到采购人书面索赔通知即须赔付，保函有效期为合同生效后一年；采购人收到银行保函后15日内按相关规定办理支付手续，采购人将合同货款支付给中标人。 货物安装调试完毕，经采购人、中标人双方对货物进行验收合格并完成交付后，中标人开具全额增值税专用发票给采购人，采购人在10个工作日内将银行保函原件退回给中标人，中标人自行到银行办理相关手续。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其他，（一）保修条款 所有货物保修期为_1_年，中标人提供_1_年上门保修服务和系统维护，中标人不再收取任何费用（费用包含于投标报价中），保修期自双方代表在货物安装调试后的验收证明文件上签字之日起计算。 （二）到货检验、安装调试 1.货物送到采购人指定地点后，采购人和中标人双方代表同时在场时才能开箱检验。 2.采购人和中标人双方就货物进行的检验包括但不限于名称、品牌、规格、型号、产地数量外在可视参数。 3.除非采购人另有通知，中标人应按照合同的要求以及合同执行计划的时间安排，派出足够的人员进行现场安装和调试工作，并承担货物安装调试过程所产生的一切费用和责任直到验收合格。 4.中标人必须依照招标文件的要求和报价文件的承诺，将货物安装并调试至正常运行的最佳状态。 5.软件类产品乙方还应提供软件现场或远程安装，包括软件服务器端安装、客户端安装和软件license 的安装;在服务器端安装时中标人应主动寻求服务器供应商的工程师配合。 （三）培训及售后服务 1.中标人负责采购人使用人员的使用操作技术及维护技术的培训直至其能熟练、独立操作，具体培训内容和时间安排由双方协商确定。对于软件类产品，中标人还需要对采购人使用人员进行必要的现场培训，保证采购人使用人员能独立安装、升级软件和运行算例。 2.保修期内，货物或零部件因质量原因出现故障而造成短期停用时，则保修期和免费维修期相应顺延。如停用时间累计超过 60 天则保修期重新计算。 3.保修期内，货物如非采购人人为原因而出现的问题由方负责包修、包换或包退，并承担修理、调换或退货的实际费用。如果货物同一硬件一个月内连续2 次出现同一故障时，中标人须无偿更换全新货物。 4.货物（含软件类产品）故障报修的响应时间为 2 小时，且在 8 小时内（连同前面时间计算)到达现场，24 小时内处理完毕。规定时间内未处理完毕的，中标人在 48 小时内提供不低于同等档次的替代货物供用户使用至故障消除为止。</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其他仪器仪表</w:t>
            </w:r>
          </w:p>
        </w:tc>
        <w:tc>
          <w:tcPr>
            <w:tcW w:type="dxa" w:w="831"/>
          </w:tcPr>
          <w:p>
            <w:pPr>
              <w:jc w:val="left"/>
            </w:pPr>
            <w:r>
              <w:rPr/>
              <w:t>飞秒激光高精度直写一体化系统</w:t>
            </w:r>
          </w:p>
        </w:tc>
        <w:tc>
          <w:tcPr>
            <w:tcW w:type="dxa" w:w="831"/>
          </w:tcPr>
          <w:p>
            <w:pPr>
              <w:jc w:val="left"/>
            </w:pPr>
            <w:r>
              <w:rPr/>
              <w:t>套</w:t>
            </w:r>
          </w:p>
        </w:tc>
        <w:tc>
          <w:tcPr>
            <w:tcW w:type="dxa" w:w="831"/>
          </w:tcPr>
          <w:p>
            <w:pPr>
              <w:jc w:val="right"/>
            </w:pPr>
            <w:r>
              <w:rPr/>
              <w:t>1.00</w:t>
            </w:r>
          </w:p>
        </w:tc>
        <w:tc>
          <w:tcPr>
            <w:tcW w:type="dxa" w:w="831"/>
          </w:tcPr>
          <w:p>
            <w:pPr>
              <w:jc w:val="right"/>
            </w:pPr>
            <w:r>
              <w:rPr/>
              <w:t>4,800,000.00</w:t>
            </w:r>
          </w:p>
        </w:tc>
        <w:tc>
          <w:tcPr>
            <w:tcW w:type="dxa" w:w="831"/>
          </w:tcPr>
          <w:p>
            <w:pPr>
              <w:jc w:val="right"/>
            </w:pPr>
            <w:r>
              <w:rPr/>
              <w:t>4,800,000.00</w:t>
            </w:r>
          </w:p>
        </w:tc>
        <w:tc>
          <w:tcPr>
            <w:tcW w:type="dxa" w:w="831"/>
          </w:tcPr>
          <w:p>
            <w:r>
              <w:rPr/>
              <w:t>工业</w:t>
            </w:r>
          </w:p>
        </w:tc>
        <w:tc>
          <w:tcPr>
            <w:tcW w:type="dxa" w:w="831"/>
          </w:tcPr>
          <w:p>
            <w:r>
              <w:rPr/>
              <w:t>详见附表一</w:t>
            </w:r>
          </w:p>
        </w:tc>
      </w:tr>
    </w:tbl>
    <w:p/>
    <w:p>
      <w:r>
        <w:rPr>
          <w:b/>
        </w:rPr>
        <w:t>附表</w:t>
      </w:r>
      <w:r>
        <w:rPr>
          <w:b/>
        </w:rPr>
        <w:t>一</w:t>
      </w:r>
      <w:r>
        <w:rPr>
          <w:b/>
        </w:rPr>
        <w:t>：</w:t>
      </w:r>
      <w:r>
        <w:rPr>
          <w:b/>
        </w:rPr>
        <w:t>飞秒激光高精度直写一体化系统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适配双飞秒激光光源，飞秒光源基本参数要求：</w:t>
            </w:r>
          </w:p>
          <w:p>
            <w:pPr>
              <w:jc w:val="left"/>
            </w:pPr>
            <w:r>
              <w:rPr>
                <w:sz w:val="21"/>
              </w:rPr>
              <w:t>激光器一：</w:t>
            </w:r>
          </w:p>
          <w:p>
            <w:pPr>
              <w:jc w:val="left"/>
            </w:pPr>
            <w:r>
              <w:rPr>
                <w:sz w:val="21"/>
              </w:rPr>
              <w:t>1、加工中心波长 515±10nm；</w:t>
            </w:r>
          </w:p>
          <w:p>
            <w:pPr>
              <w:jc w:val="left"/>
            </w:pPr>
            <w:r>
              <w:rPr>
                <w:sz w:val="21"/>
              </w:rPr>
              <w:t>2、飞秒最小脉宽小于300fs；</w:t>
            </w:r>
          </w:p>
          <w:p>
            <w:pPr>
              <w:jc w:val="left"/>
            </w:pPr>
            <w:r>
              <w:rPr>
                <w:sz w:val="21"/>
              </w:rPr>
              <w:t>3、重频可调，调节范围应覆盖单脉冲输出到1MHz重频；</w:t>
            </w:r>
          </w:p>
          <w:p>
            <w:pPr>
              <w:jc w:val="left"/>
            </w:pPr>
            <w:r>
              <w:rPr>
                <w:sz w:val="21"/>
              </w:rPr>
              <w:t>4、激光器输出515nm波长，输出平均功率不小于9W，单脉冲最大能量不小于10μJ。</w:t>
            </w:r>
          </w:p>
          <w:p>
            <w:pPr>
              <w:jc w:val="left"/>
            </w:pPr>
            <w:r>
              <w:rPr>
                <w:sz w:val="21"/>
              </w:rPr>
              <w:t>5、可通过外部触发输出飞秒脉冲。</w:t>
            </w:r>
          </w:p>
          <w:p>
            <w:pPr>
              <w:jc w:val="left"/>
            </w:pPr>
            <w:r>
              <w:rPr>
                <w:sz w:val="21"/>
              </w:rPr>
              <w:t>激光器二：</w:t>
            </w:r>
          </w:p>
          <w:p>
            <w:pPr>
              <w:jc w:val="left"/>
            </w:pPr>
            <w:r>
              <w:rPr>
                <w:sz w:val="21"/>
              </w:rPr>
              <w:t>6、脉宽：≤250fs。</w:t>
            </w:r>
          </w:p>
          <w:p>
            <w:pPr>
              <w:jc w:val="left"/>
            </w:pPr>
            <w:r>
              <w:rPr>
                <w:sz w:val="21"/>
              </w:rPr>
              <w:t>7、★重复频率：80MHz±1MHz。</w:t>
            </w:r>
          </w:p>
          <w:p>
            <w:pPr>
              <w:jc w:val="left"/>
            </w:pPr>
            <w:r>
              <w:rPr>
                <w:sz w:val="21"/>
              </w:rPr>
              <w:t>8、平均输出功率：&gt;1W。</w:t>
            </w:r>
          </w:p>
          <w:p>
            <w:pPr>
              <w:jc w:val="left"/>
            </w:pPr>
            <w:r>
              <w:rPr>
                <w:sz w:val="21"/>
              </w:rPr>
              <w:t>9、中心波长：517±5nm。</w:t>
            </w:r>
          </w:p>
          <w:p>
            <w:pPr>
              <w:jc w:val="left"/>
            </w:pPr>
            <w:r>
              <w:rPr>
                <w:b/>
                <w:sz w:val="21"/>
              </w:rPr>
              <w:t>软件要求：</w:t>
            </w:r>
          </w:p>
          <w:p>
            <w:pPr>
              <w:jc w:val="left"/>
            </w:pPr>
            <w:r>
              <w:rPr>
                <w:sz w:val="21"/>
              </w:rPr>
              <w:t>1、设备提供加工操作软件和数据处理算法软件。软件既支持固体材料加工、光纤光栅加工，也能支持光刻胶直写光刻加工。</w:t>
            </w:r>
          </w:p>
          <w:p>
            <w:pPr>
              <w:jc w:val="left"/>
            </w:pPr>
            <w:r>
              <w:rPr>
                <w:sz w:val="21"/>
              </w:rPr>
              <w:t>2、在光纤光栅加工时，支持点写入和划线写入方式，点线间距、光栅周期可任意配置。光栅最小加工周期1μm。</w:t>
            </w:r>
          </w:p>
          <w:p>
            <w:pPr>
              <w:jc w:val="left"/>
            </w:pPr>
            <w:r>
              <w:rPr>
                <w:sz w:val="21"/>
              </w:rPr>
              <w:t>3、在光刻胶加工时，具备二维和任意三维的加工能力，能够实现二维图片、三维模型路径优化解析功能，显示解析结构，并能导出解析数据文件。</w:t>
            </w:r>
          </w:p>
          <w:p>
            <w:pPr>
              <w:jc w:val="left"/>
            </w:pPr>
            <w:r>
              <w:rPr>
                <w:sz w:val="21"/>
              </w:rPr>
              <w:t>4、软件提供对高精度位移台的控制，实现多轴系统和加工光束位置的同步触发控制</w:t>
            </w:r>
          </w:p>
          <w:p>
            <w:pPr>
              <w:jc w:val="left"/>
            </w:pPr>
            <w:r>
              <w:rPr>
                <w:sz w:val="21"/>
              </w:rPr>
              <w:t>5、▲集成空间光调制器的自研算法模块，能实现空间光调制器对相差的补偿，以及焦点形状的调制。</w:t>
            </w:r>
          </w:p>
          <w:p>
            <w:pPr>
              <w:jc w:val="left"/>
            </w:pPr>
            <w:r>
              <w:rPr>
                <w:sz w:val="21"/>
              </w:rPr>
              <w:t>6、软件具备对位图文件（jpg、tiff 等）、STL、GDS 等文件格式的解析能力，支持对加工结构任意比例的缩放，支持三维显示，支持打印过程预览。</w:t>
            </w:r>
          </w:p>
          <w:p>
            <w:pPr>
              <w:jc w:val="left"/>
            </w:pPr>
            <w:r>
              <w:rPr>
                <w:sz w:val="21"/>
              </w:rPr>
              <w:t>7、▲软件提供脚本化编辑窗口，开放脚本化命令接口，以支持用户自主实现脚本化加工。</w:t>
            </w:r>
          </w:p>
          <w:p>
            <w:pPr>
              <w:jc w:val="left"/>
            </w:pPr>
            <w:r>
              <w:rPr>
                <w:sz w:val="21"/>
              </w:rPr>
              <w:t>8、软件支持大尺寸高精度下大数据的解析和压缩，支持对生成的二进制文件的预览和修改重编译。软件开放序列化和反序列化接口，供用户二次开发使用。</w:t>
            </w:r>
          </w:p>
          <w:p>
            <w:pPr>
              <w:jc w:val="left"/>
            </w:pPr>
            <w:r>
              <w:rPr>
                <w:sz w:val="21"/>
              </w:rPr>
              <w:t>9、对于三维结构，支持厘米级尺度、 等于或小于50nm 精度的切片和数据解析，对于二维结构，支持等于或小于4英寸尺度 20nm 精度的数据解析。</w:t>
            </w:r>
          </w:p>
          <w:p>
            <w:pPr>
              <w:jc w:val="left"/>
            </w:pPr>
            <w:r>
              <w:rPr>
                <w:b/>
                <w:sz w:val="21"/>
              </w:rPr>
              <w:t>光纤加工系统</w:t>
            </w:r>
          </w:p>
          <w:p>
            <w:pPr>
              <w:jc w:val="left"/>
            </w:pPr>
            <w:r>
              <w:rPr>
                <w:sz w:val="21"/>
              </w:rPr>
              <w:t>1、使用飞秒激光对各类固体材料实施三维直写加工，材料兼容有机材料，半导体，晶体，玻璃，光纤等。</w:t>
            </w:r>
          </w:p>
          <w:p>
            <w:pPr>
              <w:jc w:val="left"/>
            </w:pPr>
            <w:r>
              <w:rPr>
                <w:sz w:val="21"/>
              </w:rPr>
              <w:t>2、配置气浮位移台，位移台移动范围 ：不小于100mm×100mm，双向重复定位精度±100nm。并配置相应的光纤夹具。</w:t>
            </w:r>
          </w:p>
          <w:p>
            <w:pPr>
              <w:jc w:val="left"/>
            </w:pPr>
            <w:r>
              <w:rPr>
                <w:sz w:val="21"/>
              </w:rPr>
              <w:t>3、配备z向位移台和三维转台，实现多维调节。</w:t>
            </w:r>
          </w:p>
          <w:p>
            <w:pPr>
              <w:jc w:val="left"/>
            </w:pPr>
            <w:r>
              <w:rPr>
                <w:sz w:val="21"/>
              </w:rPr>
              <w:t>4、设备提供高精度自动卷纤放纤装置，支持光纤光栅连续写入功能，通过一次性“光纤调平对准 ”，然后实现“激光直写光栅”-“滚轮移动光纤”三个步骤循环，实现厘米级长光栅写入和在单模光纤中实现公里级弱光栅加工。</w:t>
            </w:r>
          </w:p>
          <w:p>
            <w:pPr>
              <w:jc w:val="left"/>
            </w:pPr>
            <w:r>
              <w:rPr>
                <w:sz w:val="21"/>
              </w:rPr>
              <w:t>5、▲自动卷纤放纤装置适应光纤直径100~250μm，最大工作速度50m/min,张力控制范围10g~50g，张力控制精度±1g，计米精度</w:t>
            </w:r>
            <w:r>
              <w:rPr>
                <w:sz w:val="21"/>
              </w:rPr>
              <w:t>±</w:t>
            </w:r>
            <w:r>
              <w:rPr>
                <w:sz w:val="21"/>
              </w:rPr>
              <w:t>1‰，适应标准光纤盘。</w:t>
            </w:r>
          </w:p>
          <w:p>
            <w:pPr>
              <w:jc w:val="left"/>
            </w:pPr>
            <w:r>
              <w:rPr>
                <w:sz w:val="21"/>
              </w:rPr>
              <w:t>6、系统配置有空间光调制器。空间光调制器支持515nm 波长调制；输入图形像素尺度：不小于1280*1024；单像素256级或以上调制；刷新率大于等于60Hz；有效调制面积大于10mm*10mm。</w:t>
            </w:r>
          </w:p>
          <w:p>
            <w:pPr>
              <w:jc w:val="left"/>
            </w:pPr>
            <w:r>
              <w:rPr>
                <w:sz w:val="21"/>
              </w:rPr>
              <w:t>7、采用同轴观测系统，对直写系统光束聚焦区域进行实时观测。高分辨率高灵敏度相机实时加工过程观测。</w:t>
            </w:r>
          </w:p>
          <w:p>
            <w:pPr>
              <w:jc w:val="left"/>
            </w:pPr>
            <w:r>
              <w:rPr>
                <w:sz w:val="21"/>
              </w:rPr>
              <w:t>8、在光栅写入中，支持光纤免去除涂覆层，可使用浸油和非浸油物镜进行光栅写入。</w:t>
            </w:r>
          </w:p>
          <w:p>
            <w:pPr>
              <w:jc w:val="left"/>
            </w:pPr>
            <w:r>
              <w:rPr>
                <w:sz w:val="21"/>
              </w:rPr>
              <w:t>9、▲设备具有智能对准调平功能，能够自动定位纤芯位置。</w:t>
            </w:r>
          </w:p>
          <w:p>
            <w:pPr>
              <w:jc w:val="left"/>
            </w:pPr>
            <w:r>
              <w:rPr>
                <w:sz w:val="21"/>
              </w:rPr>
              <w:t>10、支持在单模光纤实现 1550 波段光纤光栅的逐点写入，利用平移台实现光纤写入距离大于 1 厘米，反射率不低于90%。</w:t>
            </w:r>
          </w:p>
          <w:p>
            <w:pPr>
              <w:jc w:val="left"/>
            </w:pPr>
            <w:r>
              <w:rPr>
                <w:sz w:val="21"/>
              </w:rPr>
              <w:t>11、支持不多于七芯的多芯光纤光栅写入，每芯的光栅反射率不低于 90%，光栅之间的串扰小于1%。</w:t>
            </w:r>
          </w:p>
          <w:p>
            <w:pPr>
              <w:jc w:val="left"/>
            </w:pPr>
            <w:r>
              <w:rPr>
                <w:sz w:val="21"/>
              </w:rPr>
              <w:t>12、▲支持公里级长度单模光纤上实现 1550 波段弱反射率光纤光栅的逐点写入，自动卷纤放纤装置利用平移台实现光纤写入距离在5mm~10m之间任意可调节，光栅间距控制精度在0.1mm，反射率可在0.01%~1%区间调节，弱光栅反射率一致性小于5%；光栅带宽可在0.5nm~5nm之间可调。</w:t>
            </w:r>
          </w:p>
          <w:p>
            <w:pPr>
              <w:jc w:val="left"/>
            </w:pPr>
            <w:r>
              <w:rPr>
                <w:sz w:val="21"/>
              </w:rPr>
              <w:t>13、设备</w:t>
            </w:r>
            <w:r>
              <w:rPr>
                <w:sz w:val="21"/>
              </w:rPr>
              <w:t>具有</w:t>
            </w:r>
            <w:r>
              <w:rPr>
                <w:sz w:val="21"/>
              </w:rPr>
              <w:t>整合空间折射率表征功能，支持对加工结果进行折射率表征。表征精度小于等于</w:t>
            </w:r>
            <w:r>
              <w:rPr>
                <w:sz w:val="21"/>
              </w:rPr>
              <w:t>10</w:t>
            </w:r>
            <w:r>
              <w:rPr>
                <w:sz w:val="21"/>
                <w:vertAlign w:val="superscript"/>
              </w:rPr>
              <w:t>-3</w:t>
            </w:r>
            <w:r>
              <w:rPr>
                <w:sz w:val="21"/>
              </w:rPr>
              <w:t>。</w:t>
            </w:r>
          </w:p>
          <w:p>
            <w:pPr>
              <w:jc w:val="left"/>
            </w:pPr>
            <w:r>
              <w:rPr>
                <w:sz w:val="21"/>
              </w:rPr>
              <w:t>14、配备主动隔振装置。</w:t>
            </w:r>
          </w:p>
          <w:p>
            <w:pPr>
              <w:jc w:val="left"/>
            </w:pPr>
            <w:r>
              <w:rPr>
                <w:sz w:val="21"/>
              </w:rPr>
              <w:t>15、支持对固体材料的改性加工和减材加工。</w:t>
            </w:r>
          </w:p>
          <w:p>
            <w:pPr>
              <w:jc w:val="left"/>
            </w:pPr>
            <w:r>
              <w:rPr>
                <w:b/>
                <w:sz w:val="21"/>
              </w:rPr>
              <w:t>光刻胶激光直写系统</w:t>
            </w:r>
          </w:p>
          <w:p>
            <w:pPr>
              <w:jc w:val="left"/>
            </w:pPr>
            <w:r>
              <w:rPr>
                <w:sz w:val="21"/>
              </w:rPr>
              <w:t>1、利用高重频飞秒激光作为加工光源</w:t>
            </w:r>
          </w:p>
          <w:p>
            <w:pPr>
              <w:jc w:val="left"/>
            </w:pPr>
            <w:r>
              <w:rPr>
                <w:sz w:val="21"/>
              </w:rPr>
              <w:t>2、▲配置三振镜系统，振镜最大加工速度100mm/s以上（高倍物镜下），可实现超分辨加工，最小横向加工周期300nm。最小特征结构50nm。</w:t>
            </w:r>
          </w:p>
          <w:p>
            <w:pPr>
              <w:jc w:val="left"/>
            </w:pPr>
            <w:r>
              <w:rPr>
                <w:sz w:val="21"/>
              </w:rPr>
              <w:t>3、最小纵向加工周期</w:t>
            </w:r>
            <w:r>
              <w:rPr>
                <w:sz w:val="21"/>
              </w:rPr>
              <w:t>500nm。</w:t>
            </w:r>
          </w:p>
          <w:p>
            <w:pPr>
              <w:jc w:val="both"/>
            </w:pPr>
            <w:r>
              <w:rPr>
                <w:sz w:val="21"/>
              </w:rPr>
              <w:t>支持加工物镜更换，配置两款物镜，以适应不同的加工需求。物镜</w:t>
            </w:r>
            <w:r>
              <w:rPr>
                <w:sz w:val="21"/>
              </w:rPr>
              <w:t>1 数值孔径不小于 1.4。物镜 2 数值孔径不小于 0.4。</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广东工业大学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采购包1：保证金人民币：48,000.00元整。</w:t>
            </w:r>
          </w:p>
          <w:p>
            <w:r>
              <w:rPr/>
              <w:t>开户单位：</w:t>
            </w:r>
            <w:r>
              <w:rPr/>
              <w:t>广东志正招标有限公司</w:t>
            </w:r>
          </w:p>
          <w:p>
            <w:r>
              <w:rPr/>
              <w:t>开户账号：</w:t>
            </w:r>
            <w:r>
              <w:rPr/>
              <w:t>800201177509011</w:t>
            </w:r>
          </w:p>
          <w:p>
            <w:r>
              <w:rPr/>
              <w:t>开户银行：</w:t>
            </w:r>
            <w:r>
              <w:rPr/>
              <w:t>广州银行龙口西支行</w:t>
            </w:r>
          </w:p>
          <w:p>
            <w:r>
              <w:rPr/>
              <w:t>支票提交方式：</w:t>
            </w:r>
            <w:r>
              <w:rPr/>
              <w:t>保证金相关事宜联系人：廖小姐 联系电话：020-87554268</w:t>
            </w:r>
          </w:p>
          <w:p>
            <w:r>
              <w:rPr/>
              <w:t>汇票、本票提交方式：</w:t>
            </w:r>
            <w:r>
              <w:rPr/>
              <w:t>保证金相关事宜联系人：廖小姐 联系电话：020-87554268</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采购机构代理服务收费标准：采购机构代理服务收费标准：中标人须向采购代理机构按如下标准和规定缴纳招标代理服务费（不含税）：  （1）以项目项目预算作为招标代理服务费的计算基数；  （2）招标代理服务费采用差额定率累进法进行计算，按照以下标准计算后下浮20%计取：100万元以下的部分，按照1.5%计取；100-500万元的部分，按照1.1%计取。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1）收件地址：广州市天河区龙怡路117号银汇大厦5楼2）收件人：广东志正招标有限公司前台 罗小姐 3）注明采购项目编号、包组号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我司提倡中标（成交）通知书通过快递方式送达给中标（成交）人，服务费（标书款）发票以邮件方式发送电子发票。 采购合同送达我司提倡中标（成交）人优先采用邮寄方式将签订的合同及时送达我司。  1）收件地址：广州市天河区龙怡路117号银汇大厦5楼2）收件人：广东志正招标有限公司前台 罗小姐 3）注明采购项目编号、包组号</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020-87554028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秒激光高精度直写一体化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采购包1（秒激光高精度直写一体化系统）：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g)监狱企业、残疾人福利性单位视同小型、微型企业，享受以上价格扣除政策。h)监狱企业、残疾人福利性单位本身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采购包1（秒激光高精度直写一体化系统）：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采购包1（秒激光高精度直写一体化系统）：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标注“★”的条款的满足情况</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r>
        <w:tc>
          <w:tcPr>
            <w:tcW w:type="dxa" w:w="890"/>
          </w:tcPr>
          <w:p>
            <w:r>
              <w:rPr/>
              <w:t>6</w:t>
            </w:r>
          </w:p>
        </w:tc>
        <w:tc>
          <w:tcPr>
            <w:tcW w:type="dxa" w:w="3178"/>
          </w:tcPr>
          <w:p>
            <w:r>
              <w:rPr/>
              <w:t>投标保证金</w:t>
            </w:r>
          </w:p>
        </w:tc>
        <w:tc>
          <w:tcPr>
            <w:tcW w:type="dxa" w:w="4238"/>
          </w:tcPr>
          <w:p>
            <w:r>
              <w:rPr/>
              <w:t>按招标文件要求缴纳投标保证金</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采购包1(秒激光高精度直写一体化系统):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技术响应情况 (27.0分)</w:t>
            </w:r>
          </w:p>
        </w:tc>
        <w:tc>
          <w:tcPr>
            <w:tcW w:type="dxa" w:w="5076"/>
          </w:tcPr>
          <w:p>
            <w:pPr>
              <w:jc w:val="left"/>
            </w:pPr>
            <w:r>
              <w:rPr/>
              <w:t>根据投标人对本项目采购需求的“具体技术(参数)要求”情况评审：每一项带“▲”满足要求的得2分，本项最高得12分； 一般条款每满足一项得0.5分，本项最高得15分。  注：如用户需求书有要求提供具体证明材料的，需按用户需求书要求提供；如用户需求书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jc w:val="left"/>
            </w:pPr>
            <w:r>
              <w:rPr/>
              <w:t>技术服务方案 (8.0分)</w:t>
            </w:r>
            <w:r>
              <w:rPr/>
              <w:t>，（等次分值选择：</w:t>
            </w:r>
            <w:r>
              <w:rPr/>
              <w:t>0.0;</w:t>
            </w:r>
            <w:r>
              <w:rPr/>
              <w:t>2.0;</w:t>
            </w:r>
            <w:r>
              <w:rPr/>
              <w:t>4.0;</w:t>
            </w:r>
            <w:r>
              <w:rPr/>
              <w:t>6.0;</w:t>
            </w:r>
            <w:r>
              <w:rPr/>
              <w:t>8.0;</w:t>
            </w:r>
            <w:r>
              <w:rPr/>
              <w:t>）</w:t>
            </w:r>
          </w:p>
        </w:tc>
        <w:tc>
          <w:tcPr>
            <w:tcW w:type="dxa" w:w="5076"/>
          </w:tcPr>
          <w:p>
            <w:pPr>
              <w:jc w:val="left"/>
            </w:pPr>
            <w:r>
              <w:rPr/>
              <w:t>根据投标人提供的技术服务方案（包括安装、调试、培训）进行打分：   （1）技术服务方案具体，可行性高的，得8分；  （2）技术服务方案较具体，可行性较高的，得6分；  （3）技术服务方案基本具体，可行性欠缺的，得4分； （4）技术服务方案不够具体，可行性低的，得2分； （5）未提供技术服务方案，得0分。</w:t>
            </w:r>
          </w:p>
        </w:tc>
      </w:tr>
      <w:tr>
        <w:tc>
          <w:tcPr>
            <w:tcW w:type="dxa" w:w="922"/>
            <w:gridSpan w:val="2"/>
            <w:vMerge/>
          </w:tcPr>
          <w:p/>
        </w:tc>
        <w:tc>
          <w:tcPr>
            <w:tcW w:type="dxa" w:w="2307"/>
          </w:tcPr>
          <w:p>
            <w:pPr>
              <w:jc w:val="left"/>
            </w:pPr>
            <w:r>
              <w:rPr/>
              <w:t>质量保证措施 (8.0分)</w:t>
            </w:r>
            <w:r>
              <w:rPr/>
              <w:t>，（等次分值选择：</w:t>
            </w:r>
            <w:r>
              <w:rPr/>
              <w:t>0.0;</w:t>
            </w:r>
            <w:r>
              <w:rPr/>
              <w:t>2.0;</w:t>
            </w:r>
            <w:r>
              <w:rPr/>
              <w:t>4.0;</w:t>
            </w:r>
            <w:r>
              <w:rPr/>
              <w:t>6.0;</w:t>
            </w:r>
            <w:r>
              <w:rPr/>
              <w:t>8.0;</w:t>
            </w:r>
            <w:r>
              <w:rPr/>
              <w:t>）</w:t>
            </w:r>
          </w:p>
        </w:tc>
        <w:tc>
          <w:tcPr>
            <w:tcW w:type="dxa" w:w="5076"/>
          </w:tcPr>
          <w:p>
            <w:pPr>
              <w:jc w:val="left"/>
            </w:pPr>
            <w:r>
              <w:rPr/>
              <w:t>根据投标人的项目质量保证措施方案（包括但不限于质量标准、技术管理等）进行评价：  （1）质量保证措施内容完善、科学合理，进度计划切实可行，得8分；  （2）质量保证措施内容较完善、较科学合理，进度计划较切实可行，得6分；  （3）质量保证措施内容基本完善、基本科学合理，进度计划基本切实可行，得4分； （4）质量保证措施内容不完善、不科学合理，进度计划不可行，得2分。 （5）不提供不得分。</w:t>
            </w:r>
          </w:p>
        </w:tc>
      </w:tr>
      <w:tr>
        <w:tc>
          <w:tcPr>
            <w:tcW w:type="dxa" w:w="922"/>
            <w:gridSpan w:val="2"/>
            <w:vMerge/>
          </w:tcPr>
          <w:p/>
        </w:tc>
        <w:tc>
          <w:tcPr>
            <w:tcW w:type="dxa" w:w="2307"/>
          </w:tcPr>
          <w:p>
            <w:pPr>
              <w:jc w:val="left"/>
            </w:pPr>
            <w:r>
              <w:rPr/>
              <w:t>售后服务方案 (7.0分)</w:t>
            </w:r>
            <w:r>
              <w:rPr/>
              <w:t>，（等次分值选择：</w:t>
            </w:r>
            <w:r>
              <w:rPr/>
              <w:t>0.0;</w:t>
            </w:r>
            <w:r>
              <w:rPr/>
              <w:t>1.0;</w:t>
            </w:r>
            <w:r>
              <w:rPr/>
              <w:t>3.0;</w:t>
            </w:r>
            <w:r>
              <w:rPr/>
              <w:t>5.0;</w:t>
            </w:r>
            <w:r>
              <w:rPr/>
              <w:t>7.0;</w:t>
            </w:r>
            <w:r>
              <w:rPr/>
              <w:t>）</w:t>
            </w:r>
          </w:p>
        </w:tc>
        <w:tc>
          <w:tcPr>
            <w:tcW w:type="dxa" w:w="5076"/>
          </w:tcPr>
          <w:p>
            <w:pPr>
              <w:jc w:val="left"/>
            </w:pPr>
            <w:r>
              <w:rPr/>
              <w:t>投标人针对本项目的售后服务承诺（交付使用时间、质保期、响应时间、维护方案等）及售后服务体系制定相关方案：  （1）售后服务计划详细，售后服务便利，得7分；  （2）售后服务计划较详细，售后服务较便利，得5分； （3）售后服务计划基本详细，售后服务基本便利，得3分；   （4）售后服务计划不详细，售后服务不便利，得1分； （5）没有售后服务方案，得0分。</w:t>
            </w:r>
          </w:p>
        </w:tc>
      </w:tr>
      <w:tr>
        <w:tc>
          <w:tcPr>
            <w:tcW w:type="dxa" w:w="922"/>
            <w:gridSpan w:val="2"/>
            <w:vMerge w:val="restart"/>
          </w:tcPr>
          <w:p>
            <w:pPr>
              <w:jc w:val="center"/>
            </w:pPr>
            <w:r>
              <w:rPr/>
              <w:t>商务部分</w:t>
            </w:r>
          </w:p>
        </w:tc>
        <w:tc>
          <w:tcPr>
            <w:tcW w:type="dxa" w:w="2307"/>
          </w:tcPr>
          <w:p>
            <w:pPr>
              <w:jc w:val="left"/>
            </w:pPr>
            <w:r>
              <w:rPr/>
              <w:t>同类项目业绩 (12.0分)</w:t>
            </w:r>
          </w:p>
        </w:tc>
        <w:tc>
          <w:tcPr>
            <w:tcW w:type="dxa" w:w="5076"/>
          </w:tcPr>
          <w:p>
            <w:pPr>
              <w:jc w:val="left"/>
            </w:pPr>
            <w:r>
              <w:rPr/>
              <w:t>投标人自2020年1月1日至今，完成同类业绩项目情况，每提供一项得4分，最高得12分。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jc w:val="left"/>
            </w:pPr>
            <w:r>
              <w:rPr/>
              <w:t>项目团队成员 (8.0分)</w:t>
            </w:r>
          </w:p>
        </w:tc>
        <w:tc>
          <w:tcPr>
            <w:tcW w:type="dxa" w:w="5076"/>
          </w:tcPr>
          <w:p>
            <w:pPr>
              <w:jc w:val="left"/>
            </w:pPr>
            <w:r>
              <w:rPr/>
              <w:t>拟投入的项目团队人员数量，每一人得2分，最高8分。 注：须提供相关人员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both"/>
      </w:pPr>
      <w:r>
        <w:rPr>
          <w:sz w:val="21"/>
        </w:rPr>
        <w:t>采购系统编号</w:t>
      </w:r>
    </w:p>
    <w:p>
      <w:pPr>
        <w:jc w:val="both"/>
      </w:pPr>
      <w:r>
        <w:rPr>
          <w:sz w:val="21"/>
          <w:u w:val="single"/>
        </w:rPr>
        <w:t>***</w:t>
      </w:r>
      <w:r>
        <w:rPr>
          <w:color w:val="808080"/>
          <w:sz w:val="21"/>
        </w:rPr>
        <w:t>学院</w:t>
      </w:r>
    </w:p>
    <w:p/>
    <w:p/>
    <w:p>
      <w:pPr>
        <w:jc w:val="center"/>
      </w:pPr>
      <w:r>
        <w:rPr>
          <w:b/>
          <w:sz w:val="44"/>
        </w:rPr>
        <w:t>教学科研设备采购合同（国内货物）</w:t>
      </w:r>
    </w:p>
    <w:p>
      <w:pPr>
        <w:jc w:val="center"/>
      </w:pPr>
      <w:r>
        <w:rPr>
          <w:b/>
          <w:sz w:val="21"/>
        </w:rPr>
        <w:t>[</w:t>
      </w:r>
      <w:r>
        <w:rPr>
          <w:b/>
          <w:sz w:val="21"/>
        </w:rPr>
        <w:t>合同类型：□政府采购；□学校集中采购；□用户部门零散采购；□科研绿色；□教育部门协议]</w:t>
      </w:r>
    </w:p>
    <w:p>
      <w:pPr>
        <w:jc w:val="both"/>
      </w:pPr>
      <w:r>
        <w:rPr>
          <w:sz w:val="24"/>
        </w:rPr>
        <w:t xml:space="preserve">甲方（业主）：广东工业大学                              </w:t>
      </w:r>
    </w:p>
    <w:p>
      <w:pPr>
        <w:jc w:val="both"/>
      </w:pPr>
      <w:r>
        <w:rPr>
          <w:sz w:val="24"/>
        </w:rPr>
        <w:t>乙方（中标人）：</w:t>
      </w:r>
      <w:r>
        <w:rPr>
          <w:sz w:val="21"/>
          <w:u w:val="single"/>
        </w:rPr>
        <w:t>*********</w:t>
      </w:r>
      <w:r>
        <w:rPr>
          <w:sz w:val="24"/>
        </w:rPr>
        <w:t xml:space="preserve">公司                      </w:t>
      </w:r>
    </w:p>
    <w:p>
      <w:pPr>
        <w:jc w:val="both"/>
      </w:pPr>
      <w:r>
        <w:rPr>
          <w:sz w:val="24"/>
        </w:rPr>
        <w:t>签订地点：广州市</w:t>
      </w:r>
    </w:p>
    <w:p>
      <w:pPr>
        <w:ind w:firstLine="420"/>
        <w:jc w:val="both"/>
      </w:pPr>
      <w:r>
        <w:rPr>
          <w:sz w:val="21"/>
        </w:rPr>
        <w:t>根据</w:t>
      </w:r>
      <w:r>
        <w:rPr>
          <w:sz w:val="21"/>
          <w:u w:val="single"/>
        </w:rPr>
        <w:t>***招标/采购机构的*****项目的</w:t>
      </w:r>
      <w:r>
        <w:rPr>
          <w:sz w:val="21"/>
        </w:rPr>
        <w:t>招标/采购文件[编号</w:t>
      </w:r>
      <w:r>
        <w:rPr>
          <w:sz w:val="21"/>
          <w:u w:val="single"/>
        </w:rPr>
        <w:t>****]</w:t>
      </w:r>
      <w:r>
        <w:rPr>
          <w:sz w:val="21"/>
        </w:rPr>
        <w:t>、乙方针对该项目的投标/响应文件及</w:t>
      </w:r>
      <w:r>
        <w:rPr>
          <w:sz w:val="21"/>
          <w:u w:val="single"/>
        </w:rPr>
        <w:t>20**年**月**日的</w:t>
      </w:r>
      <w:r>
        <w:rPr>
          <w:sz w:val="21"/>
        </w:rPr>
        <w:t>中标/成交结果通知书，按照中华人民共和国[</w:t>
      </w:r>
      <w:r>
        <w:rPr>
          <w:sz w:val="26"/>
        </w:rPr>
        <w:t>R</w:t>
      </w:r>
      <w:r>
        <w:rPr>
          <w:sz w:val="21"/>
        </w:rPr>
        <w:t>《民法典》；</w:t>
      </w:r>
      <w:r>
        <w:rPr>
          <w:b/>
          <w:sz w:val="24"/>
        </w:rPr>
        <w:t>□</w:t>
      </w:r>
      <w:r>
        <w:rPr>
          <w:sz w:val="21"/>
        </w:rPr>
        <w:t>《政府采购法》]的规定，本着平等互利和诚实信用的原则，</w:t>
      </w:r>
      <w:r>
        <w:rPr>
          <w:sz w:val="21"/>
        </w:rPr>
        <w:t>一致同意签订本合同</w:t>
      </w:r>
      <w:r>
        <w:rPr>
          <w:sz w:val="21"/>
        </w:rPr>
        <w:t>。</w:t>
      </w:r>
    </w:p>
    <w:p>
      <w:pPr>
        <w:jc w:val="both"/>
      </w:pPr>
      <w:r>
        <w:rPr>
          <w:b/>
          <w:sz w:val="28"/>
        </w:rPr>
        <w:t>一、货物及价格(详细配置清单及技术指标见附件)</w:t>
      </w:r>
    </w:p>
    <w:tbl>
      <w:tblPr>
        <w:tblW w:w="0" w:type="auto"/>
        <w:tblBorders>
          <w:top w:val="single"/>
          <w:left w:val="single"/>
          <w:bottom w:val="single"/>
          <w:right w:val="single"/>
          <w:insideH w:val="single"/>
          <w:insideV w:val="single"/>
        </w:tblBorders>
      </w:tblPr>
      <w:tblGrid>
        <w:gridCol w:w="685"/>
        <w:gridCol w:w="1199"/>
        <w:gridCol w:w="1284"/>
        <w:gridCol w:w="1541"/>
        <w:gridCol w:w="685"/>
        <w:gridCol w:w="685"/>
        <w:gridCol w:w="1113"/>
        <w:gridCol w:w="1113"/>
      </w:tblGrid>
      <w:tr>
        <w:tc>
          <w:tcPr>
            <w:tcW w:type="dxa" w:w="685"/>
            <w:tcBorders>
              <w:top w:val="double" w:color="000000" w:sz="8"/>
              <w:left w:val="double" w:color="000000" w:sz="8"/>
              <w:bottom w:val="single" w:color="000000" w:sz="4"/>
              <w:right w:val="single" w:color="000000" w:sz="4"/>
            </w:tcBorders>
          </w:tcPr>
          <w:p>
            <w:pPr>
              <w:jc w:val="both"/>
            </w:pPr>
            <w:r>
              <w:rPr>
                <w:sz w:val="21"/>
              </w:rPr>
              <w:t>序号</w:t>
            </w:r>
          </w:p>
        </w:tc>
        <w:tc>
          <w:tcPr>
            <w:tcW w:type="dxa" w:w="1199"/>
            <w:tcBorders>
              <w:top w:val="double" w:color="000000" w:sz="8"/>
              <w:left w:val="none" w:color="000000" w:sz="4"/>
              <w:bottom w:val="single" w:color="000000" w:sz="4"/>
              <w:right w:val="single" w:color="000000" w:sz="4"/>
            </w:tcBorders>
          </w:tcPr>
          <w:p>
            <w:pPr>
              <w:jc w:val="both"/>
            </w:pPr>
            <w:r>
              <w:rPr>
                <w:sz w:val="21"/>
              </w:rPr>
              <w:t>货物名称</w:t>
            </w:r>
          </w:p>
        </w:tc>
        <w:tc>
          <w:tcPr>
            <w:tcW w:type="dxa" w:w="1284"/>
            <w:tcBorders>
              <w:top w:val="double" w:color="000000" w:sz="8"/>
              <w:left w:val="none" w:color="000000" w:sz="4"/>
              <w:bottom w:val="single" w:color="000000" w:sz="4"/>
              <w:right w:val="single" w:color="000000" w:sz="4"/>
            </w:tcBorders>
          </w:tcPr>
          <w:p>
            <w:pPr>
              <w:jc w:val="both"/>
            </w:pPr>
            <w:r>
              <w:rPr>
                <w:sz w:val="21"/>
              </w:rPr>
              <w:t>型号/规格</w:t>
            </w:r>
          </w:p>
        </w:tc>
        <w:tc>
          <w:tcPr>
            <w:tcW w:type="dxa" w:w="1541"/>
            <w:tcBorders>
              <w:top w:val="double" w:color="000000" w:sz="8"/>
              <w:left w:val="none" w:color="000000" w:sz="4"/>
              <w:bottom w:val="single" w:color="000000" w:sz="4"/>
              <w:right w:val="single" w:color="000000" w:sz="4"/>
            </w:tcBorders>
          </w:tcPr>
          <w:p>
            <w:pPr>
              <w:jc w:val="both"/>
            </w:pPr>
            <w:r>
              <w:rPr>
                <w:sz w:val="21"/>
              </w:rPr>
              <w:t>制造商/产地</w:t>
            </w:r>
          </w:p>
        </w:tc>
        <w:tc>
          <w:tcPr>
            <w:tcW w:type="dxa" w:w="685"/>
            <w:tcBorders>
              <w:top w:val="double" w:color="000000" w:sz="8"/>
              <w:left w:val="none" w:color="000000" w:sz="4"/>
              <w:bottom w:val="single" w:color="000000" w:sz="4"/>
              <w:right w:val="single" w:color="000000" w:sz="4"/>
            </w:tcBorders>
          </w:tcPr>
          <w:p>
            <w:pPr>
              <w:jc w:val="both"/>
            </w:pPr>
            <w:r>
              <w:rPr>
                <w:sz w:val="21"/>
              </w:rPr>
              <w:t>数量</w:t>
            </w:r>
          </w:p>
        </w:tc>
        <w:tc>
          <w:tcPr>
            <w:tcW w:type="dxa" w:w="685"/>
            <w:tcBorders>
              <w:top w:val="double" w:color="000000" w:sz="8"/>
              <w:left w:val="none" w:color="000000" w:sz="4"/>
              <w:bottom w:val="single" w:color="000000" w:sz="4"/>
              <w:right w:val="single" w:color="000000" w:sz="4"/>
            </w:tcBorders>
          </w:tcPr>
          <w:p>
            <w:pPr>
              <w:jc w:val="both"/>
            </w:pPr>
            <w:r>
              <w:rPr>
                <w:sz w:val="21"/>
              </w:rPr>
              <w:t>单位</w:t>
            </w:r>
          </w:p>
        </w:tc>
        <w:tc>
          <w:tcPr>
            <w:tcW w:type="dxa" w:w="1113"/>
            <w:tcBorders>
              <w:top w:val="double" w:color="000000" w:sz="8"/>
              <w:left w:val="none" w:color="000000" w:sz="4"/>
              <w:bottom w:val="single" w:color="000000" w:sz="4"/>
              <w:right w:val="single" w:color="000000" w:sz="4"/>
            </w:tcBorders>
          </w:tcPr>
          <w:p>
            <w:pPr>
              <w:jc w:val="both"/>
            </w:pPr>
            <w:r>
              <w:rPr>
                <w:sz w:val="21"/>
              </w:rPr>
              <w:t>单价(元)</w:t>
            </w:r>
          </w:p>
        </w:tc>
        <w:tc>
          <w:tcPr>
            <w:tcW w:type="dxa" w:w="1113"/>
            <w:tcBorders>
              <w:top w:val="double" w:color="000000" w:sz="8"/>
              <w:left w:val="none" w:color="000000" w:sz="4"/>
              <w:bottom w:val="single" w:color="000000" w:sz="4"/>
              <w:right w:val="double" w:color="000000" w:sz="8"/>
            </w:tcBorders>
          </w:tcPr>
          <w:p>
            <w:pPr>
              <w:jc w:val="both"/>
            </w:pPr>
            <w:r>
              <w:rPr>
                <w:sz w:val="21"/>
              </w:rPr>
              <w:t>总价(元)</w:t>
            </w:r>
          </w:p>
        </w:tc>
      </w:tr>
      <w:tr>
        <w:tc>
          <w:tcPr>
            <w:tcW w:type="dxa" w:w="685"/>
            <w:tcBorders>
              <w:top w:val="none" w:color="000000" w:sz="4"/>
              <w:left w:val="double" w:color="000000" w:sz="8"/>
              <w:bottom w:val="single" w:color="000000" w:sz="4"/>
              <w:right w:val="single" w:color="000000" w:sz="4"/>
            </w:tcBorders>
          </w:tcPr>
          <w:p>
            <w:pPr>
              <w:jc w:val="both"/>
            </w:pPr>
          </w:p>
        </w:tc>
        <w:tc>
          <w:tcPr>
            <w:tcW w:type="dxa" w:w="1199"/>
            <w:tcBorders>
              <w:top w:val="none" w:color="000000" w:sz="4"/>
              <w:left w:val="none" w:color="000000" w:sz="4"/>
              <w:bottom w:val="single" w:color="000000" w:sz="4"/>
              <w:right w:val="single" w:color="000000" w:sz="4"/>
            </w:tcBorders>
          </w:tcPr>
          <w:p>
            <w:pPr>
              <w:jc w:val="both"/>
            </w:pPr>
          </w:p>
        </w:tc>
        <w:tc>
          <w:tcPr>
            <w:tcW w:type="dxa" w:w="1284"/>
            <w:tcBorders>
              <w:top w:val="none" w:color="000000" w:sz="4"/>
              <w:left w:val="none" w:color="000000" w:sz="4"/>
              <w:bottom w:val="single" w:color="000000" w:sz="4"/>
              <w:right w:val="single" w:color="000000" w:sz="4"/>
            </w:tcBorders>
          </w:tcPr>
          <w:p>
            <w:pPr>
              <w:jc w:val="both"/>
            </w:pPr>
          </w:p>
        </w:tc>
        <w:tc>
          <w:tcPr>
            <w:tcW w:type="dxa" w:w="1541"/>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double" w:color="000000" w:sz="8"/>
            </w:tcBorders>
          </w:tcPr>
          <w:p>
            <w:pPr>
              <w:jc w:val="both"/>
            </w:pPr>
          </w:p>
        </w:tc>
      </w:tr>
      <w:tr>
        <w:tc>
          <w:tcPr>
            <w:tcW w:type="dxa" w:w="685"/>
            <w:tcBorders>
              <w:top w:val="none" w:color="000000" w:sz="4"/>
              <w:left w:val="double" w:color="000000" w:sz="8"/>
              <w:bottom w:val="single" w:color="000000" w:sz="4"/>
              <w:right w:val="single" w:color="000000" w:sz="4"/>
            </w:tcBorders>
          </w:tcPr>
          <w:p>
            <w:pPr>
              <w:jc w:val="both"/>
            </w:pPr>
          </w:p>
        </w:tc>
        <w:tc>
          <w:tcPr>
            <w:tcW w:type="dxa" w:w="1199"/>
            <w:tcBorders>
              <w:top w:val="none" w:color="000000" w:sz="4"/>
              <w:left w:val="none" w:color="000000" w:sz="4"/>
              <w:bottom w:val="single" w:color="000000" w:sz="4"/>
              <w:right w:val="single" w:color="000000" w:sz="4"/>
            </w:tcBorders>
          </w:tcPr>
          <w:p>
            <w:pPr>
              <w:jc w:val="both"/>
            </w:pPr>
          </w:p>
        </w:tc>
        <w:tc>
          <w:tcPr>
            <w:tcW w:type="dxa" w:w="1284"/>
            <w:tcBorders>
              <w:top w:val="none" w:color="000000" w:sz="4"/>
              <w:left w:val="none" w:color="000000" w:sz="4"/>
              <w:bottom w:val="single" w:color="000000" w:sz="4"/>
              <w:right w:val="single" w:color="000000" w:sz="4"/>
            </w:tcBorders>
          </w:tcPr>
          <w:p>
            <w:pPr>
              <w:jc w:val="both"/>
            </w:pPr>
          </w:p>
        </w:tc>
        <w:tc>
          <w:tcPr>
            <w:tcW w:type="dxa" w:w="1541"/>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double" w:color="000000" w:sz="8"/>
            </w:tcBorders>
          </w:tcPr>
          <w:p>
            <w:pPr>
              <w:jc w:val="both"/>
            </w:pPr>
          </w:p>
        </w:tc>
      </w:tr>
      <w:tr>
        <w:tc>
          <w:tcPr>
            <w:tcW w:type="dxa" w:w="685"/>
            <w:tcBorders>
              <w:top w:val="none" w:color="000000" w:sz="4"/>
              <w:left w:val="double" w:color="000000" w:sz="8"/>
              <w:bottom w:val="single" w:color="000000" w:sz="4"/>
              <w:right w:val="single" w:color="000000" w:sz="4"/>
            </w:tcBorders>
          </w:tcPr>
          <w:p>
            <w:pPr>
              <w:jc w:val="both"/>
            </w:pPr>
          </w:p>
        </w:tc>
        <w:tc>
          <w:tcPr>
            <w:tcW w:type="dxa" w:w="1199"/>
            <w:tcBorders>
              <w:top w:val="none" w:color="000000" w:sz="4"/>
              <w:left w:val="none" w:color="000000" w:sz="4"/>
              <w:bottom w:val="single" w:color="000000" w:sz="4"/>
              <w:right w:val="single" w:color="000000" w:sz="4"/>
            </w:tcBorders>
          </w:tcPr>
          <w:p>
            <w:pPr>
              <w:jc w:val="both"/>
            </w:pPr>
          </w:p>
        </w:tc>
        <w:tc>
          <w:tcPr>
            <w:tcW w:type="dxa" w:w="1284"/>
            <w:tcBorders>
              <w:top w:val="none" w:color="000000" w:sz="4"/>
              <w:left w:val="none" w:color="000000" w:sz="4"/>
              <w:bottom w:val="single" w:color="000000" w:sz="4"/>
              <w:right w:val="single" w:color="000000" w:sz="4"/>
            </w:tcBorders>
          </w:tcPr>
          <w:p>
            <w:pPr>
              <w:jc w:val="both"/>
            </w:pPr>
          </w:p>
        </w:tc>
        <w:tc>
          <w:tcPr>
            <w:tcW w:type="dxa" w:w="1541"/>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double" w:color="000000" w:sz="8"/>
            </w:tcBorders>
          </w:tcPr>
          <w:p>
            <w:pPr>
              <w:jc w:val="both"/>
            </w:pPr>
          </w:p>
        </w:tc>
      </w:tr>
      <w:tr>
        <w:tc>
          <w:tcPr>
            <w:tcW w:type="dxa" w:w="8305"/>
            <w:gridSpan w:val="8"/>
            <w:tcBorders>
              <w:top w:val="none" w:color="000000" w:sz="4"/>
              <w:left w:val="double" w:color="000000" w:sz="8"/>
              <w:bottom w:val="double" w:color="000000" w:sz="8"/>
              <w:right w:val="double" w:color="000000" w:sz="8"/>
            </w:tcBorders>
          </w:tcPr>
          <w:p>
            <w:pPr>
              <w:jc w:val="both"/>
            </w:pPr>
            <w:r>
              <w:rPr>
                <w:sz w:val="21"/>
              </w:rPr>
              <w:t>总金额（人民币）： *仟*佰*拾*万*仟*佰*拾*元整（¥*******）</w:t>
            </w:r>
          </w:p>
        </w:tc>
      </w:tr>
    </w:tbl>
    <w:p>
      <w:pPr>
        <w:ind w:firstLine="420"/>
        <w:jc w:val="both"/>
      </w:pPr>
      <w:r>
        <w:rPr>
          <w:sz w:val="21"/>
        </w:rPr>
        <w:t>上述合同总金额为完成项目的全包价，包括但不限于购买货物、保险运输、装卸进场、安装调试、培训验收、售后服务等费用、各项税费及合同实施过程中不可预见费用等。除合同明确约定的费用外，甲方无需支付任何额外费用和承担任何额外义务。</w:t>
      </w:r>
    </w:p>
    <w:p>
      <w:pPr>
        <w:jc w:val="both"/>
      </w:pPr>
      <w:r>
        <w:rPr>
          <w:b/>
          <w:sz w:val="28"/>
        </w:rPr>
        <w:t>二、货物质量要求</w:t>
      </w:r>
    </w:p>
    <w:p>
      <w:pPr>
        <w:ind w:firstLine="420"/>
        <w:jc w:val="both"/>
      </w:pPr>
      <w:r>
        <w:rPr>
          <w:sz w:val="21"/>
        </w:rPr>
        <w:t>1.</w:t>
      </w:r>
      <w:r>
        <w:rPr>
          <w:sz w:val="21"/>
        </w:rPr>
        <w:t>乙方提供的货物必须符合中华人民共和国国家标准、行业标准、地方标准、货物生产商的产品质量标准、有关部门制定的相关技术规范、符合产品说明书表明的质量状况和使用性能、国家规定的安全和环保要求（该等标准不一致的，以较高为准）</w:t>
      </w:r>
      <w:r>
        <w:rPr>
          <w:sz w:val="21"/>
        </w:rPr>
        <w:t>。</w:t>
      </w:r>
    </w:p>
    <w:p>
      <w:pPr>
        <w:ind w:firstLine="420"/>
        <w:jc w:val="both"/>
      </w:pPr>
      <w:r>
        <w:rPr>
          <w:sz w:val="21"/>
        </w:rPr>
        <w:t>2.</w:t>
      </w:r>
      <w:r>
        <w:rPr>
          <w:sz w:val="21"/>
        </w:rPr>
        <w:t>乙方提供的货物必须是原厂原装全新正版产品（含零部件、配件、随机工具等），包装外观完好、表面无划伤无破损、附件齐全，整机无污染、无任何缺陷隐患，序列号、包装箱号与出厂批号一致，并可追索查阅。</w:t>
      </w:r>
      <w:r>
        <w:rPr>
          <w:sz w:val="21"/>
        </w:rPr>
        <w:t>国内货物则必须具备出厂合格证，所有货物</w:t>
      </w:r>
      <w:r>
        <w:rPr>
          <w:sz w:val="21"/>
        </w:rPr>
        <w:t>在中国境内可依常规安全合法使用。</w:t>
      </w:r>
    </w:p>
    <w:p>
      <w:pPr>
        <w:ind w:firstLine="420"/>
        <w:jc w:val="both"/>
      </w:pPr>
      <w:r>
        <w:rPr>
          <w:sz w:val="21"/>
        </w:rPr>
        <w:t>3.</w:t>
      </w:r>
      <w:r>
        <w:rPr>
          <w:sz w:val="21"/>
        </w:rPr>
        <w:t>乙方对提供的货物提供</w:t>
      </w:r>
      <w:r>
        <w:rPr>
          <w:sz w:val="21"/>
          <w:u w:val="single"/>
        </w:rPr>
        <w:t>****</w:t>
      </w:r>
      <w:r>
        <w:rPr>
          <w:sz w:val="21"/>
        </w:rPr>
        <w:t>年的质量保证期。货物在质量保证期内被证明有缺陷，包括内在缺陷或使用不适当原材料，乙方应予退换货。</w:t>
      </w:r>
    </w:p>
    <w:p>
      <w:pPr>
        <w:jc w:val="both"/>
      </w:pPr>
      <w:r>
        <w:rPr>
          <w:b/>
          <w:sz w:val="28"/>
        </w:rPr>
        <w:t>三、交货期及交货地点</w:t>
      </w:r>
    </w:p>
    <w:p>
      <w:pPr>
        <w:ind w:firstLine="420"/>
        <w:jc w:val="both"/>
      </w:pPr>
      <w:r>
        <w:rPr>
          <w:sz w:val="21"/>
        </w:rPr>
        <w:t>1.</w:t>
      </w:r>
      <w:r>
        <w:rPr>
          <w:sz w:val="21"/>
        </w:rPr>
        <w:t>交货时间：</w:t>
      </w:r>
      <w:r>
        <w:rPr>
          <w:sz w:val="21"/>
        </w:rPr>
        <w:t>合同生效</w:t>
      </w:r>
      <w:r>
        <w:rPr>
          <w:sz w:val="21"/>
          <w:u w:val="single"/>
        </w:rPr>
        <w:t>****</w:t>
      </w:r>
      <w:r>
        <w:rPr>
          <w:sz w:val="21"/>
        </w:rPr>
        <w:t>天内乙方完成货物</w:t>
      </w:r>
      <w:r>
        <w:rPr>
          <w:sz w:val="21"/>
        </w:rPr>
        <w:t>安装调试并交付使用。</w:t>
      </w:r>
    </w:p>
    <w:p>
      <w:pPr>
        <w:ind w:firstLine="420"/>
        <w:jc w:val="both"/>
      </w:pPr>
      <w:r>
        <w:rPr>
          <w:sz w:val="21"/>
        </w:rPr>
        <w:t>2.</w:t>
      </w:r>
      <w:r>
        <w:rPr>
          <w:sz w:val="21"/>
        </w:rPr>
        <w:t>交货地点：甲方</w:t>
      </w:r>
      <w:r>
        <w:rPr>
          <w:sz w:val="21"/>
          <w:u w:val="single"/>
        </w:rPr>
        <w:t>****校区****</w:t>
      </w:r>
      <w:r>
        <w:rPr>
          <w:sz w:val="21"/>
        </w:rPr>
        <w:t>学院指定地点</w:t>
      </w:r>
      <w:r>
        <w:rPr>
          <w:sz w:val="24"/>
        </w:rPr>
        <w:t>。</w:t>
      </w:r>
    </w:p>
    <w:p>
      <w:pPr>
        <w:jc w:val="both"/>
      </w:pPr>
      <w:r>
        <w:rPr>
          <w:b/>
          <w:sz w:val="28"/>
        </w:rPr>
        <w:t>四、到货检验、安装调试</w:t>
      </w:r>
    </w:p>
    <w:p>
      <w:pPr>
        <w:ind w:firstLine="420"/>
        <w:jc w:val="both"/>
      </w:pPr>
      <w:r>
        <w:rPr>
          <w:sz w:val="21"/>
        </w:rPr>
        <w:t>1.</w:t>
      </w:r>
      <w:r>
        <w:rPr>
          <w:sz w:val="21"/>
        </w:rPr>
        <w:t>货物送到甲方指定地点后，甲乙双方代表同时在场时才能开箱检验。</w:t>
      </w:r>
    </w:p>
    <w:p>
      <w:pPr>
        <w:ind w:firstLine="420"/>
        <w:jc w:val="both"/>
      </w:pPr>
      <w:r>
        <w:rPr>
          <w:sz w:val="21"/>
        </w:rPr>
        <w:t>2.</w:t>
      </w:r>
      <w:r>
        <w:rPr>
          <w:sz w:val="21"/>
        </w:rPr>
        <w:t>甲乙双方就货物进行的检验包括但不限于名称、品牌、规格、型号、产地、数量外在可视参数。</w:t>
      </w:r>
    </w:p>
    <w:p>
      <w:pPr>
        <w:ind w:firstLine="420"/>
        <w:jc w:val="both"/>
      </w:pPr>
      <w:r>
        <w:rPr>
          <w:sz w:val="21"/>
        </w:rPr>
        <w:t>3.</w:t>
      </w:r>
      <w:r>
        <w:rPr>
          <w:sz w:val="21"/>
        </w:rPr>
        <w:t>除非甲方另有通知，乙方应按照合同的要求以及合同执行计划的时间安排，派出足够的人员进行现场安装和调试工作，并承担货物安装调试过程所产生的一切费用和责任直到验收合格。</w:t>
      </w:r>
    </w:p>
    <w:p>
      <w:pPr>
        <w:ind w:firstLine="412"/>
        <w:jc w:val="both"/>
      </w:pPr>
      <w:r>
        <w:rPr>
          <w:sz w:val="21"/>
        </w:rPr>
        <w:t>4.</w:t>
      </w:r>
      <w:r>
        <w:rPr>
          <w:sz w:val="21"/>
        </w:rPr>
        <w:t>乙方必须依照招标文件的要求和报价文件的承诺，将货物安装并调试至正常运行的最佳状态。</w:t>
      </w:r>
    </w:p>
    <w:p>
      <w:pPr>
        <w:ind w:firstLine="420"/>
        <w:jc w:val="both"/>
      </w:pPr>
      <w:r>
        <w:rPr>
          <w:sz w:val="21"/>
        </w:rPr>
        <w:t>5.</w:t>
      </w:r>
      <w:r>
        <w:rPr>
          <w:sz w:val="21"/>
        </w:rPr>
        <w:t>软件类产品</w:t>
      </w:r>
      <w:r>
        <w:rPr>
          <w:sz w:val="21"/>
        </w:rPr>
        <w:t>乙方还应提供软件现场或远程安装，包括软件服务器端安装、客户端安装和软件</w:t>
      </w:r>
      <w:r>
        <w:rPr>
          <w:sz w:val="21"/>
        </w:rPr>
        <w:t>license</w:t>
      </w:r>
      <w:r>
        <w:rPr>
          <w:sz w:val="21"/>
        </w:rPr>
        <w:t>的安装；在服务器端安装时乙方应主动寻求服务器供应商的工程师配合</w:t>
      </w:r>
      <w:r>
        <w:rPr>
          <w:sz w:val="21"/>
        </w:rPr>
        <w:t>。</w:t>
      </w:r>
    </w:p>
    <w:p>
      <w:pPr>
        <w:jc w:val="both"/>
      </w:pPr>
      <w:r>
        <w:rPr>
          <w:b/>
          <w:sz w:val="28"/>
        </w:rPr>
        <w:t>五、验收</w:t>
      </w:r>
    </w:p>
    <w:p>
      <w:pPr>
        <w:ind w:firstLine="420"/>
        <w:jc w:val="both"/>
      </w:pPr>
      <w:r>
        <w:rPr>
          <w:sz w:val="21"/>
        </w:rPr>
        <w:t>1.</w:t>
      </w:r>
      <w:r>
        <w:rPr>
          <w:sz w:val="21"/>
        </w:rPr>
        <w:t>交付验收标准为：按本合同约定的货物及价格、详细配置清单及技术指标、符合采购文件和响应承诺中甲方认可的合理最佳配置、参数及各项要求、国家相关标准和行业规范进行验收</w:t>
      </w:r>
      <w:r>
        <w:rPr>
          <w:sz w:val="21"/>
        </w:rPr>
        <w:t>（该等标准不一致的，以较高为准）</w:t>
      </w:r>
      <w:r>
        <w:rPr>
          <w:sz w:val="21"/>
        </w:rPr>
        <w:t>。</w:t>
      </w:r>
    </w:p>
    <w:p>
      <w:pPr>
        <w:ind w:firstLine="420"/>
        <w:jc w:val="both"/>
      </w:pPr>
      <w:r>
        <w:rPr>
          <w:sz w:val="21"/>
        </w:rPr>
        <w:t>2.</w:t>
      </w:r>
      <w:r>
        <w:rPr>
          <w:sz w:val="21"/>
        </w:rPr>
        <w:t>验收流程按甲方规章制度执行，由甲方组成验收小组（含乙方人员）按国家有关规定、规范进行验收，必要时甲方可邀请相关的专业人员或机构参与验收。</w:t>
      </w:r>
    </w:p>
    <w:p>
      <w:pPr>
        <w:ind w:firstLine="420"/>
        <w:jc w:val="both"/>
      </w:pPr>
      <w:r>
        <w:rPr>
          <w:sz w:val="21"/>
        </w:rPr>
        <w:t>3.</w:t>
      </w:r>
      <w:r>
        <w:rPr>
          <w:sz w:val="21"/>
        </w:rPr>
        <w:t>货物安装调试完毕且正常运行后，乙方应向甲方提出书面验收申请，准备并向甲方提交验收文件，本合同项下的全部货物按甲方验收流程验收通过，经甲乙双方签署验收合格证明后，视为验收合格。</w:t>
      </w:r>
    </w:p>
    <w:p>
      <w:pPr>
        <w:ind w:firstLine="420"/>
        <w:jc w:val="both"/>
      </w:pPr>
      <w:r>
        <w:rPr>
          <w:sz w:val="21"/>
        </w:rPr>
        <w:t>4.</w:t>
      </w:r>
      <w:r>
        <w:rPr>
          <w:sz w:val="21"/>
        </w:rPr>
        <w:t>验收合格后，乙方应将货物的用户手册、保修手册、有关单证资料及配备件、随机工具等交付给甲方，使用操作及安全须知等重要资料应附有中文说明。前述资料物品交付完毕当日，视为合同货物完成交付。</w:t>
      </w:r>
    </w:p>
    <w:p>
      <w:pPr>
        <w:jc w:val="both"/>
      </w:pPr>
      <w:r>
        <w:rPr>
          <w:b/>
          <w:sz w:val="28"/>
        </w:rPr>
        <w:t>六、付款</w:t>
      </w:r>
    </w:p>
    <w:p>
      <w:pPr>
        <w:ind w:firstLine="420"/>
        <w:jc w:val="both"/>
      </w:pPr>
      <w:r>
        <w:rPr>
          <w:sz w:val="21"/>
        </w:rPr>
        <w:t>1.</w:t>
      </w:r>
      <w:r>
        <w:rPr>
          <w:sz w:val="21"/>
        </w:rPr>
        <w:t>合同生效后，乙方开出以甲方为受益人的“见索即付”形式的预付款银行保函，保函金额为合同总金额，保函付款条件为银行收到甲方书面索赔通知即须赔付，保函有效期为合同生效后一年；甲方收到银行保函后15日内按相关规定办理支付手续，甲方将合同货款（人民币******元整，¥*****.00）支付给乙方。</w:t>
      </w:r>
    </w:p>
    <w:p>
      <w:pPr>
        <w:ind w:firstLine="420"/>
        <w:jc w:val="both"/>
      </w:pPr>
      <w:r>
        <w:rPr>
          <w:sz w:val="21"/>
        </w:rPr>
        <w:t>2.</w:t>
      </w:r>
      <w:r>
        <w:rPr>
          <w:sz w:val="21"/>
        </w:rPr>
        <w:t>货物安装调试完毕，经甲方、乙方双方对货物进行验收合格并完成交付后，乙方开具全额增值税专用发票给甲方，甲方在10个工作日内将银行保函原件退回给乙方，乙方自行到银行办理相关手续。</w:t>
      </w:r>
    </w:p>
    <w:p>
      <w:pPr>
        <w:jc w:val="both"/>
      </w:pPr>
      <w:r>
        <w:rPr>
          <w:b/>
          <w:sz w:val="28"/>
        </w:rPr>
        <w:t>七、培训及售后服务</w:t>
      </w:r>
    </w:p>
    <w:p>
      <w:pPr>
        <w:ind w:firstLine="420"/>
        <w:jc w:val="both"/>
      </w:pPr>
      <w:r>
        <w:rPr>
          <w:sz w:val="21"/>
        </w:rPr>
        <w:t>1.</w:t>
      </w:r>
      <w:r>
        <w:rPr>
          <w:sz w:val="21"/>
        </w:rPr>
        <w:t>乙方负责甲方使用人员的使用操作技术及维护技术的培训直至其能熟练、独立操作</w:t>
      </w:r>
      <w:r>
        <w:rPr>
          <w:sz w:val="21"/>
        </w:rPr>
        <w:t>，</w:t>
      </w:r>
      <w:r>
        <w:rPr>
          <w:sz w:val="21"/>
        </w:rPr>
        <w:t>具体培训内容和时间安排由双方协商确定</w:t>
      </w:r>
      <w:r>
        <w:rPr>
          <w:sz w:val="21"/>
        </w:rPr>
        <w:t>。对于软件类产品，</w:t>
      </w:r>
      <w:r>
        <w:rPr>
          <w:sz w:val="21"/>
        </w:rPr>
        <w:t>乙方还需要对甲方使用人员进行必要的现场培训，保证甲方使用人员能独立安装、升级软件和运行算例。</w:t>
      </w:r>
    </w:p>
    <w:p>
      <w:pPr>
        <w:ind w:firstLine="420"/>
        <w:jc w:val="both"/>
      </w:pPr>
      <w:r>
        <w:rPr>
          <w:sz w:val="21"/>
        </w:rPr>
        <w:t>2.</w:t>
      </w:r>
      <w:r>
        <w:rPr>
          <w:sz w:val="21"/>
        </w:rPr>
        <w:t>所有货物保修期为</w:t>
      </w:r>
      <w:r>
        <w:rPr>
          <w:sz w:val="21"/>
          <w:u w:val="single"/>
        </w:rPr>
        <w:t>****</w:t>
      </w:r>
      <w:r>
        <w:rPr>
          <w:sz w:val="21"/>
        </w:rPr>
        <w:t>年，乙方提供免费</w:t>
      </w:r>
      <w:r>
        <w:rPr>
          <w:sz w:val="21"/>
          <w:u w:val="single"/>
        </w:rPr>
        <w:t>****</w:t>
      </w:r>
      <w:r>
        <w:rPr>
          <w:sz w:val="21"/>
        </w:rPr>
        <w:t>年上门保修服务和系统维护，乙方不再收取任何费用，保修期自甲乙双方代表在货物安装调试后的验收证明文件上签字之日起计算。</w:t>
      </w:r>
    </w:p>
    <w:p>
      <w:pPr>
        <w:ind w:firstLine="420"/>
        <w:jc w:val="both"/>
      </w:pPr>
      <w:r>
        <w:rPr>
          <w:sz w:val="21"/>
        </w:rPr>
        <w:t>3.</w:t>
      </w:r>
      <w:r>
        <w:rPr>
          <w:sz w:val="21"/>
        </w:rPr>
        <w:t>保修期内，货物或零部件因质量原因出现故障而造成短期停用时，则保修期和免费维修期相应顺延。如停用时间累计超过60天则保修期重新计算。</w:t>
      </w:r>
    </w:p>
    <w:p>
      <w:pPr>
        <w:ind w:firstLine="420"/>
        <w:jc w:val="both"/>
      </w:pPr>
      <w:r>
        <w:rPr>
          <w:sz w:val="21"/>
        </w:rPr>
        <w:t>4.</w:t>
      </w:r>
      <w:r>
        <w:rPr>
          <w:sz w:val="21"/>
        </w:rPr>
        <w:t>保修期内，货物如非甲方人为原因而出现的问题由乙方负责包修、包换或包退，并承担修理、调换或退货的实际费用。如果货物同一硬件一个月内连续2次出现同一故障时，乙方须无偿更换全新货物。</w:t>
      </w:r>
    </w:p>
    <w:p>
      <w:pPr>
        <w:ind w:firstLine="420"/>
        <w:jc w:val="both"/>
      </w:pPr>
      <w:r>
        <w:rPr>
          <w:sz w:val="21"/>
        </w:rPr>
        <w:t>5.</w:t>
      </w:r>
      <w:r>
        <w:rPr>
          <w:sz w:val="21"/>
        </w:rPr>
        <w:t>货物</w:t>
      </w:r>
      <w:r>
        <w:rPr>
          <w:sz w:val="21"/>
        </w:rPr>
        <w:t>（含软件类产品）</w:t>
      </w:r>
      <w:r>
        <w:rPr>
          <w:sz w:val="21"/>
        </w:rPr>
        <w:t>故障报修的响应时间为2小时</w:t>
      </w:r>
      <w:r>
        <w:rPr>
          <w:sz w:val="21"/>
        </w:rPr>
        <w:t>，且在8小时内（连同前面时间计算）</w:t>
      </w:r>
      <w:r>
        <w:rPr>
          <w:sz w:val="21"/>
        </w:rPr>
        <w:t>到达现场，</w:t>
      </w:r>
      <w:r>
        <w:rPr>
          <w:sz w:val="21"/>
        </w:rPr>
        <w:t>24</w:t>
      </w:r>
      <w:r>
        <w:rPr>
          <w:sz w:val="21"/>
        </w:rPr>
        <w:t>小时</w:t>
      </w:r>
      <w:r>
        <w:rPr>
          <w:sz w:val="21"/>
        </w:rPr>
        <w:t>内处理完毕。规定时间内未处理完毕的，乙方在48</w:t>
      </w:r>
      <w:r>
        <w:rPr>
          <w:sz w:val="21"/>
        </w:rPr>
        <w:t>小时内提供不低于同等档次的替代货物供用户使用至故障消除为止。</w:t>
      </w:r>
    </w:p>
    <w:p>
      <w:pPr>
        <w:ind w:firstLine="420"/>
        <w:jc w:val="both"/>
      </w:pPr>
      <w:r>
        <w:rPr>
          <w:sz w:val="21"/>
        </w:rPr>
        <w:t>6.</w:t>
      </w:r>
      <w:r>
        <w:rPr>
          <w:sz w:val="21"/>
        </w:rPr>
        <w:t xml:space="preserve">负责维修的单位名称： </w:t>
      </w:r>
      <w:r>
        <w:rPr>
          <w:sz w:val="21"/>
          <w:u w:val="single"/>
        </w:rPr>
        <w:t>****</w:t>
      </w:r>
      <w:r>
        <w:rPr>
          <w:sz w:val="21"/>
        </w:rPr>
        <w:t>公司</w:t>
      </w:r>
    </w:p>
    <w:p>
      <w:pPr>
        <w:ind w:firstLine="420"/>
        <w:jc w:val="both"/>
      </w:pPr>
      <w:r>
        <w:rPr>
          <w:sz w:val="21"/>
        </w:rPr>
        <w:t xml:space="preserve">地             址： </w:t>
      </w:r>
      <w:r>
        <w:rPr>
          <w:sz w:val="21"/>
          <w:u w:val="single"/>
        </w:rPr>
        <w:t>****</w:t>
      </w:r>
      <w:r>
        <w:rPr>
          <w:sz w:val="21"/>
        </w:rPr>
        <w:t>市</w:t>
      </w:r>
      <w:r>
        <w:rPr>
          <w:sz w:val="21"/>
          <w:u w:val="single"/>
        </w:rPr>
        <w:t>****</w:t>
      </w:r>
      <w:r>
        <w:rPr>
          <w:sz w:val="21"/>
        </w:rPr>
        <w:t>路</w:t>
      </w:r>
      <w:r>
        <w:rPr>
          <w:sz w:val="21"/>
          <w:u w:val="single"/>
        </w:rPr>
        <w:t>****</w:t>
      </w:r>
      <w:r>
        <w:rPr>
          <w:sz w:val="21"/>
        </w:rPr>
        <w:t>号</w:t>
      </w:r>
      <w:r>
        <w:rPr>
          <w:sz w:val="21"/>
          <w:u w:val="single"/>
        </w:rPr>
        <w:t>****</w:t>
      </w:r>
      <w:r>
        <w:rPr>
          <w:sz w:val="21"/>
        </w:rPr>
        <w:t>室</w:t>
      </w:r>
    </w:p>
    <w:p>
      <w:pPr>
        <w:ind w:firstLine="420"/>
        <w:jc w:val="both"/>
      </w:pPr>
      <w:r>
        <w:rPr>
          <w:sz w:val="21"/>
        </w:rPr>
        <w:t xml:space="preserve">联      系     人：  </w:t>
      </w:r>
      <w:r>
        <w:rPr>
          <w:sz w:val="21"/>
          <w:u w:val="single"/>
        </w:rPr>
        <w:t>****</w:t>
      </w:r>
      <w:r>
        <w:rPr>
          <w:sz w:val="21"/>
        </w:rPr>
        <w:t xml:space="preserve">        </w:t>
      </w:r>
    </w:p>
    <w:p>
      <w:pPr>
        <w:ind w:firstLine="420"/>
        <w:jc w:val="both"/>
      </w:pPr>
      <w:r>
        <w:rPr>
          <w:sz w:val="21"/>
        </w:rPr>
        <w:t xml:space="preserve">电    话：  </w:t>
      </w:r>
      <w:r>
        <w:rPr>
          <w:sz w:val="21"/>
          <w:u w:val="single"/>
        </w:rPr>
        <w:t>****</w:t>
      </w:r>
      <w:r>
        <w:rPr>
          <w:sz w:val="21"/>
        </w:rPr>
        <w:t xml:space="preserve"> </w:t>
      </w:r>
      <w:r>
        <w:rPr>
          <w:sz w:val="21"/>
        </w:rPr>
        <w:t>手机：</w:t>
      </w:r>
      <w:r>
        <w:rPr>
          <w:sz w:val="21"/>
          <w:u w:val="single"/>
        </w:rPr>
        <w:t>****</w:t>
      </w:r>
      <w:r>
        <w:rPr>
          <w:sz w:val="21"/>
        </w:rPr>
        <w:t xml:space="preserve">  </w:t>
      </w:r>
    </w:p>
    <w:p>
      <w:pPr>
        <w:jc w:val="both"/>
      </w:pPr>
      <w:r>
        <w:rPr>
          <w:b/>
          <w:sz w:val="28"/>
        </w:rPr>
        <w:t>八、违约责任</w:t>
      </w:r>
    </w:p>
    <w:p>
      <w:pPr>
        <w:ind w:firstLine="420"/>
        <w:jc w:val="both"/>
      </w:pPr>
      <w:r>
        <w:rPr>
          <w:sz w:val="21"/>
        </w:rPr>
        <w:t>1.</w:t>
      </w:r>
      <w:r>
        <w:rPr>
          <w:sz w:val="21"/>
        </w:rPr>
        <w:t>甲方无正当理由拒收货物，甲方应向乙方赔付拒收部分货物部门的货款金额5%的违约金。</w:t>
      </w:r>
    </w:p>
    <w:p>
      <w:pPr>
        <w:ind w:firstLine="420"/>
        <w:jc w:val="both"/>
      </w:pPr>
      <w:r>
        <w:rPr>
          <w:sz w:val="21"/>
        </w:rPr>
        <w:t>2.</w:t>
      </w:r>
      <w:r>
        <w:rPr>
          <w:sz w:val="21"/>
        </w:rPr>
        <w:t>甲方无正当理由逾期支付货款的，经乙方书面催告后仍不在合理期限内支付的，每逾期1天，甲方向乙方赔付欠款总额的3‰的滞纳金，累计滞纳金总额不超过欠款金额的5%。但由于乙方不充分履行合同义务造成甲方逾期支付的情况除外。</w:t>
      </w:r>
    </w:p>
    <w:p>
      <w:pPr>
        <w:ind w:firstLine="420"/>
        <w:jc w:val="both"/>
      </w:pPr>
      <w:r>
        <w:rPr>
          <w:sz w:val="21"/>
        </w:rPr>
        <w:t>3.</w:t>
      </w:r>
      <w:r>
        <w:rPr>
          <w:sz w:val="21"/>
        </w:rPr>
        <w:t>乙方所交付的货物存在与合同约定内容有任何不相符的情况（包括但不限于名称、品牌、规格、型号、产地、数量、技术指标等）均视为乙方违约，甲方有权拒收货物，乙方应支付合同总金额5%的违约金。如甲方同意乙方整改的，乙方除应交纳的前述违约金外，还必须在甲方规定的期限内整改到位（包括但不限于退换货），并承担由</w:t>
      </w:r>
      <w:r>
        <w:rPr>
          <w:sz w:val="21"/>
        </w:rPr>
        <w:t>此产生的全部费用。如果甲方不同意乙方整改的，视为乙方严重违约，甲方可以单方面解除合同，乙方需要退还甲方已支付的所有款项并赔付合同总金额10%的违约金。</w:t>
      </w:r>
    </w:p>
    <w:p>
      <w:pPr>
        <w:ind w:firstLine="420"/>
        <w:jc w:val="both"/>
      </w:pPr>
      <w:r>
        <w:rPr>
          <w:sz w:val="21"/>
        </w:rPr>
        <w:t>4.</w:t>
      </w:r>
      <w:r>
        <w:rPr>
          <w:sz w:val="21"/>
        </w:rPr>
        <w:t>乙方逾期交货的，每逾期1天，乙方向甲方赔付逾期交货部分货款金额3‰的滞纳金，累计滞纳金总额不超过合同总金额的5%。乙方逾期交货超过15天，</w:t>
      </w:r>
      <w:r>
        <w:rPr>
          <w:sz w:val="21"/>
        </w:rPr>
        <w:t>视为乙方严重违约，</w:t>
      </w:r>
      <w:r>
        <w:rPr>
          <w:sz w:val="21"/>
        </w:rPr>
        <w:t>甲方可以单方面解除合同，</w:t>
      </w:r>
      <w:r>
        <w:rPr>
          <w:sz w:val="21"/>
        </w:rPr>
        <w:t>乙方需要退还甲方已支付的所有款项并赔付合同总金额10%的违约金。</w:t>
      </w:r>
    </w:p>
    <w:p>
      <w:pPr>
        <w:ind w:firstLine="420"/>
        <w:jc w:val="both"/>
      </w:pPr>
      <w:r>
        <w:rPr>
          <w:sz w:val="21"/>
        </w:rPr>
        <w:t>5.</w:t>
      </w:r>
      <w:r>
        <w:rPr>
          <w:sz w:val="21"/>
        </w:rPr>
        <w:t>乙方如没有按合同规定履行售后服务承诺，甲方可请第三方单位进行修复，由此造成的包括但不限于第三方的维保费用、甲方的其他经济损失等均由乙方承担，甲方有权直接从履约保证金中扣减。</w:t>
      </w:r>
    </w:p>
    <w:p>
      <w:pPr>
        <w:ind w:firstLine="420"/>
        <w:jc w:val="both"/>
      </w:pPr>
      <w:r>
        <w:rPr>
          <w:sz w:val="21"/>
        </w:rPr>
        <w:t>6.</w:t>
      </w:r>
      <w:r>
        <w:rPr>
          <w:sz w:val="21"/>
        </w:rPr>
        <w:t>乙方有以下情形之一的，甲方可以单方面解除合同，乙方需退还甲方已支付的所有款项，并按合同总金额10%向甲方赔付违约金，违约金不足以弥补甲方损失的，乙方应另行赔付。具体情形如下：</w:t>
      </w:r>
    </w:p>
    <w:p>
      <w:pPr>
        <w:ind w:firstLine="420"/>
        <w:jc w:val="both"/>
      </w:pPr>
      <w:r>
        <w:rPr>
          <w:sz w:val="21"/>
        </w:rPr>
        <w:t>（1）乙方交付的货物存在侵犯他人知识产权、肖像权、技术秘密、商业秘密或其他任何权益的；</w:t>
      </w:r>
    </w:p>
    <w:p>
      <w:pPr>
        <w:ind w:firstLine="420"/>
        <w:jc w:val="both"/>
      </w:pPr>
      <w:r>
        <w:rPr>
          <w:sz w:val="21"/>
        </w:rPr>
        <w:t>（2）乙方履行义务不符合同约定，经甲方提出后在合理期限内仍未整改到位的；</w:t>
      </w:r>
    </w:p>
    <w:p>
      <w:pPr>
        <w:ind w:firstLine="420"/>
        <w:jc w:val="both"/>
      </w:pPr>
      <w:r>
        <w:rPr>
          <w:sz w:val="21"/>
        </w:rPr>
        <w:t>（3）未经甲方书面同意，乙方将本合同项下的权利或义务转让，或将本合同项下服务转包或分包的；</w:t>
      </w:r>
    </w:p>
    <w:p>
      <w:pPr>
        <w:ind w:firstLine="420"/>
        <w:jc w:val="both"/>
      </w:pPr>
      <w:r>
        <w:rPr>
          <w:sz w:val="21"/>
        </w:rPr>
        <w:t>（4）国家法律规定的其合同解除的情形。</w:t>
      </w:r>
    </w:p>
    <w:p>
      <w:pPr>
        <w:jc w:val="both"/>
      </w:pPr>
      <w:r>
        <w:rPr>
          <w:b/>
          <w:sz w:val="28"/>
        </w:rPr>
        <w:t>九、适用法律与争议解决</w:t>
      </w:r>
    </w:p>
    <w:p>
      <w:pPr>
        <w:ind w:firstLine="420"/>
        <w:jc w:val="both"/>
      </w:pPr>
      <w:r>
        <w:rPr>
          <w:sz w:val="21"/>
        </w:rPr>
        <w:t>1.</w:t>
      </w:r>
      <w:r>
        <w:rPr>
          <w:sz w:val="21"/>
        </w:rPr>
        <w:t>本合同的成立、有效性、解释、履行、签署、修订和终止以及争议的解决均应适用中华人民共和国法律。</w:t>
      </w:r>
    </w:p>
    <w:p>
      <w:pPr>
        <w:ind w:firstLine="420"/>
        <w:jc w:val="both"/>
      </w:pPr>
      <w:r>
        <w:rPr>
          <w:sz w:val="21"/>
        </w:rPr>
        <w:t>2.</w:t>
      </w:r>
      <w:r>
        <w:rPr>
          <w:sz w:val="21"/>
        </w:rPr>
        <w:t>因货物的质量问题发生争议，可共同或单方委托质量鉴定单位进行质量鉴定；货物符合质量标准的，鉴定费由甲方承担，货物不符合质量标准的，鉴定费由乙方承担。</w:t>
      </w:r>
    </w:p>
    <w:p>
      <w:pPr>
        <w:ind w:firstLine="420"/>
        <w:jc w:val="both"/>
      </w:pPr>
      <w:r>
        <w:rPr>
          <w:sz w:val="21"/>
        </w:rPr>
        <w:t>3</w:t>
      </w:r>
      <w:r>
        <w:rPr>
          <w:sz w:val="21"/>
        </w:rPr>
        <w:t>.</w:t>
      </w:r>
      <w:r>
        <w:rPr>
          <w:sz w:val="21"/>
        </w:rPr>
        <w:t>一方因受不可抗力事件影响导致无法履行合同时，该方可以免责。但是，受不可抗力事件影响的一方须尽快将事件发生情况通知对方，并在不可抗力事件影响消除之日起10个工作日内将由官方机构出具的不可抗力事件证明交给对方。未能提供以上证明的，不能免除违约责任。</w:t>
      </w:r>
    </w:p>
    <w:p>
      <w:pPr>
        <w:ind w:firstLine="420"/>
        <w:jc w:val="both"/>
      </w:pPr>
      <w:r>
        <w:rPr>
          <w:sz w:val="21"/>
        </w:rPr>
        <w:t>4.</w:t>
      </w:r>
      <w:r>
        <w:rPr>
          <w:sz w:val="21"/>
        </w:rPr>
        <w:t>由于其他非不可抗力因素导致合同无法继续履行时，责任方应及时通知对方办理合同终止协议，并由责任方赔偿对方由此造成的经济损失。</w:t>
      </w:r>
    </w:p>
    <w:p>
      <w:pPr>
        <w:ind w:firstLine="420"/>
        <w:jc w:val="both"/>
      </w:pPr>
      <w:r>
        <w:rPr>
          <w:sz w:val="21"/>
        </w:rPr>
        <w:t>5.</w:t>
      </w:r>
      <w:r>
        <w:rPr>
          <w:sz w:val="21"/>
        </w:rPr>
        <w:t>凡与本合同有关而引起的一切争议，双方应首先通过友好协商解决。如经协商后仍不能达成协议时，任何一方可以向甲方所在地人民法院提出诉讼。</w:t>
      </w:r>
    </w:p>
    <w:p>
      <w:pPr>
        <w:jc w:val="both"/>
      </w:pPr>
      <w:r>
        <w:rPr>
          <w:b/>
          <w:sz w:val="28"/>
        </w:rPr>
        <w:t>十、风险转移与保密责任</w:t>
      </w:r>
    </w:p>
    <w:p>
      <w:pPr>
        <w:ind w:firstLine="420"/>
        <w:jc w:val="both"/>
      </w:pPr>
      <w:r>
        <w:rPr>
          <w:sz w:val="21"/>
        </w:rPr>
        <w:t>1.</w:t>
      </w:r>
      <w:r>
        <w:rPr>
          <w:sz w:val="21"/>
        </w:rPr>
        <w:t>货物毁损、灭失的风险，在验收合格并交付前由乙方承担，在验收合格并交付后由甲方承担。</w:t>
      </w:r>
    </w:p>
    <w:p>
      <w:pPr>
        <w:ind w:firstLine="420"/>
        <w:jc w:val="both"/>
      </w:pPr>
      <w:r>
        <w:rPr>
          <w:sz w:val="21"/>
        </w:rPr>
        <w:t>2.</w:t>
      </w:r>
      <w:r>
        <w:rPr>
          <w:sz w:val="21"/>
        </w:rPr>
        <w:t>甲方因货物不符合合同约定而拒收的，或者合同解除的，货物的毁损、灭失风险均由乙方承担。</w:t>
      </w:r>
    </w:p>
    <w:p>
      <w:pPr>
        <w:ind w:firstLine="420"/>
        <w:jc w:val="both"/>
      </w:pPr>
      <w:r>
        <w:rPr>
          <w:sz w:val="21"/>
        </w:rPr>
        <w:t>3.</w:t>
      </w:r>
      <w:r>
        <w:rPr>
          <w:sz w:val="21"/>
        </w:rPr>
        <w:t>产权和风险的转移，不影响甲方追究乙方违约责任的权利。</w:t>
      </w:r>
    </w:p>
    <w:p>
      <w:pPr>
        <w:ind w:firstLine="420"/>
        <w:jc w:val="both"/>
      </w:pPr>
      <w:r>
        <w:rPr>
          <w:sz w:val="21"/>
        </w:rPr>
        <w:t>4.</w:t>
      </w:r>
      <w:r>
        <w:rPr>
          <w:sz w:val="21"/>
        </w:rPr>
        <w:t>合同双方均应保守通过签订履行本合同而获得的对方之商业及技术秘密，包括本合同文本，相关技术文件、相关数据以及其他有关信息，</w:t>
      </w:r>
      <w:r>
        <w:rPr>
          <w:sz w:val="21"/>
        </w:rPr>
        <w:t>无论以何种形式或载于何种载体，无论在披露时是否以口头、图像或以书面方式均具有保密性。</w:t>
      </w:r>
      <w:r>
        <w:rPr>
          <w:sz w:val="21"/>
        </w:rPr>
        <w:t>任何一方违反上述规定的，应赔偿合同守约方的损失。</w:t>
      </w:r>
      <w:r>
        <w:rPr>
          <w:sz w:val="21"/>
        </w:rPr>
        <w:t>合同范围内如涉及国家机密的，按照《中华人民共和国保守国家秘密法》执行，受中华人民共和国的法律管辖并按照中国的法律进行解释及处理。</w:t>
      </w:r>
      <w:r>
        <w:rPr>
          <w:sz w:val="21"/>
        </w:rPr>
        <w:t>本保密条款及保密责任不因合同解除或终止而消失。</w:t>
      </w:r>
    </w:p>
    <w:p>
      <w:pPr>
        <w:jc w:val="both"/>
      </w:pPr>
      <w:r>
        <w:rPr>
          <w:b/>
          <w:sz w:val="28"/>
        </w:rPr>
        <w:t>十一、其他约定条款</w:t>
      </w:r>
    </w:p>
    <w:p>
      <w:pPr>
        <w:ind w:firstLine="420"/>
        <w:jc w:val="both"/>
      </w:pPr>
      <w:r>
        <w:rPr>
          <w:sz w:val="21"/>
        </w:rPr>
        <w:t>1.</w:t>
      </w:r>
      <w:r>
        <w:rPr>
          <w:sz w:val="21"/>
        </w:rPr>
        <w:t>合同生效：合同经各方授权代表签字并经单位盖章；合同生效日期以后一个签字的日期为准。</w:t>
      </w:r>
    </w:p>
    <w:p>
      <w:pPr>
        <w:ind w:firstLine="420"/>
        <w:jc w:val="both"/>
      </w:pPr>
      <w:r>
        <w:rPr>
          <w:sz w:val="21"/>
        </w:rPr>
        <w:t>2.</w:t>
      </w:r>
      <w:r>
        <w:rPr>
          <w:sz w:val="21"/>
        </w:rPr>
        <w:t>开标结果通知书、投标文件、招标文件及本合同之所有附件均为组成部分，与本合同具有同样法律效力，解释的顺序以文件生成时间在后的为准。</w:t>
      </w:r>
    </w:p>
    <w:p>
      <w:pPr>
        <w:ind w:firstLine="420"/>
        <w:jc w:val="both"/>
      </w:pPr>
      <w:r>
        <w:rPr>
          <w:sz w:val="21"/>
        </w:rPr>
        <w:t>3.</w:t>
      </w:r>
      <w:r>
        <w:rPr>
          <w:sz w:val="21"/>
        </w:rPr>
        <w:t>在执行本合同的过程中，所有经甲乙双方签署确认的文件（包括会议纪要、补充协议、合同修改书、往来信函等）均为本合同的有效组成部分，其生效日期为双方均签字盖章或确认之日。</w:t>
      </w:r>
    </w:p>
    <w:p>
      <w:pPr>
        <w:ind w:firstLine="420"/>
        <w:jc w:val="both"/>
      </w:pPr>
      <w:r>
        <w:rPr>
          <w:sz w:val="21"/>
        </w:rPr>
        <w:t>4.</w:t>
      </w:r>
      <w:r>
        <w:rPr>
          <w:sz w:val="21"/>
        </w:rPr>
        <w:t>合同任</w:t>
      </w:r>
      <w:r>
        <w:rPr>
          <w:sz w:val="21"/>
        </w:rPr>
        <w:t>一方的名称、地址、电话、银行账号信息有变更，应在变更之日起5日内书面通知对方，未履行书面通知义务的，另一方按原合同信息邮寄相关材料、或通知相关信息、或支付相关款项即视为履行送达义务</w:t>
      </w:r>
      <w:r>
        <w:rPr>
          <w:sz w:val="21"/>
        </w:rPr>
        <w:t>。合同任一方因公司注销、银行账号注销或冻结等导致无法收到款项的，由该方承担相应后果。</w:t>
      </w:r>
    </w:p>
    <w:p>
      <w:pPr>
        <w:ind w:firstLine="420"/>
        <w:jc w:val="both"/>
      </w:pPr>
      <w:r>
        <w:rPr>
          <w:sz w:val="21"/>
        </w:rPr>
        <w:t>5.</w:t>
      </w:r>
      <w:r>
        <w:rPr>
          <w:sz w:val="21"/>
        </w:rPr>
        <w:t>在履行合同过程中，乙方的委托代理人、项目联系人、经办人的行为、意思表示及对甲方所作的任何承诺、回复、通知等，都对乙方直接具有约束力；甲方的通知、文书、文件、资料等送达该人时，即视为送达乙方；甲方当面交付上述材料的，在交付之时视为送达；以邮寄方式交付的，寄出、发出或者投邮后即视为送达；通过电子邮件、传真、短信方式通知的，自甲方向乙方发出即视为送达。</w:t>
      </w:r>
    </w:p>
    <w:p>
      <w:pPr>
        <w:ind w:firstLine="420"/>
        <w:jc w:val="both"/>
      </w:pPr>
      <w:r>
        <w:rPr>
          <w:sz w:val="21"/>
        </w:rPr>
        <w:t>6.</w:t>
      </w:r>
      <w:r>
        <w:rPr>
          <w:sz w:val="21"/>
        </w:rPr>
        <w:t>本合同书一式四份，均为正本，具有同等法律效力，甲方执三份，乙方一份。</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526"/>
        <w:gridCol w:w="3221"/>
        <w:gridCol w:w="1441"/>
        <w:gridCol w:w="2119"/>
      </w:tblGrid>
      <w:tr>
        <w:tc>
          <w:tcPr>
            <w:tcW w:type="dxa" w:w="1526"/>
            <w:tcBorders>
              <w:top w:val="single" w:color="000000" w:sz="4"/>
              <w:left w:val="single" w:color="000000" w:sz="4"/>
              <w:bottom w:val="single" w:color="000000" w:sz="4"/>
              <w:right w:val="single" w:color="000000" w:sz="4"/>
            </w:tcBorders>
            <w:vAlign w:val="top"/>
          </w:tcPr>
          <w:p>
            <w:pPr>
              <w:jc w:val="both"/>
            </w:pPr>
            <w:r>
              <w:rPr>
                <w:sz w:val="21"/>
              </w:rPr>
              <w:t>甲　　　方：</w:t>
            </w:r>
          </w:p>
        </w:tc>
        <w:tc>
          <w:tcPr>
            <w:tcW w:type="dxa" w:w="3221"/>
            <w:tcBorders>
              <w:top w:val="single" w:color="000000" w:sz="4"/>
              <w:left w:val="none" w:color="000000" w:sz="4"/>
              <w:bottom w:val="single" w:color="000000" w:sz="4"/>
              <w:right w:val="single" w:color="000000" w:sz="4"/>
            </w:tcBorders>
            <w:vAlign w:val="top"/>
          </w:tcPr>
          <w:p>
            <w:pPr>
              <w:jc w:val="both"/>
            </w:pPr>
            <w:r>
              <w:rPr>
                <w:sz w:val="21"/>
              </w:rPr>
              <w:t>广东工业大学</w:t>
            </w:r>
          </w:p>
        </w:tc>
        <w:tc>
          <w:tcPr>
            <w:tcW w:type="dxa" w:w="1441"/>
            <w:tcBorders>
              <w:top w:val="single" w:color="000000" w:sz="4"/>
              <w:left w:val="none" w:color="000000" w:sz="4"/>
              <w:bottom w:val="single" w:color="000000" w:sz="4"/>
              <w:right w:val="single" w:color="000000" w:sz="4"/>
            </w:tcBorders>
            <w:vAlign w:val="top"/>
          </w:tcPr>
          <w:p>
            <w:pPr>
              <w:jc w:val="both"/>
            </w:pPr>
            <w:r>
              <w:rPr>
                <w:sz w:val="21"/>
              </w:rPr>
              <w:t>乙　　　方：</w:t>
            </w:r>
          </w:p>
        </w:tc>
        <w:tc>
          <w:tcPr>
            <w:tcW w:type="dxa" w:w="2119"/>
            <w:tcBorders>
              <w:top w:val="single" w:color="000000" w:sz="4"/>
              <w:left w:val="none" w:color="000000" w:sz="4"/>
              <w:bottom w:val="single" w:color="000000" w:sz="4"/>
              <w:right w:val="single" w:color="000000" w:sz="4"/>
            </w:tcBorders>
            <w:vAlign w:val="top"/>
          </w:tcPr>
          <w:p>
            <w:pPr>
              <w:jc w:val="both"/>
            </w:pPr>
            <w:r>
              <w:rPr>
                <w:sz w:val="21"/>
              </w:rPr>
              <w:t>****有限公司</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地　　　址：</w:t>
            </w:r>
          </w:p>
        </w:tc>
        <w:tc>
          <w:tcPr>
            <w:tcW w:type="dxa" w:w="3221"/>
            <w:tcBorders>
              <w:top w:val="none" w:color="000000" w:sz="4"/>
              <w:left w:val="none" w:color="000000" w:sz="4"/>
              <w:bottom w:val="single" w:color="000000" w:sz="4"/>
              <w:right w:val="single" w:color="000000" w:sz="4"/>
            </w:tcBorders>
            <w:vAlign w:val="top"/>
          </w:tcPr>
          <w:p>
            <w:pPr>
              <w:jc w:val="both"/>
            </w:pPr>
            <w:r>
              <w:rPr>
                <w:sz w:val="21"/>
              </w:rPr>
              <w:t>广州市广州大学城外环西路100号</w:t>
            </w:r>
          </w:p>
        </w:tc>
        <w:tc>
          <w:tcPr>
            <w:tcW w:type="dxa" w:w="1441"/>
            <w:tcBorders>
              <w:top w:val="none" w:color="000000" w:sz="4"/>
              <w:left w:val="none" w:color="000000" w:sz="4"/>
              <w:bottom w:val="single" w:color="000000" w:sz="4"/>
              <w:right w:val="single" w:color="000000" w:sz="4"/>
            </w:tcBorders>
            <w:vAlign w:val="top"/>
          </w:tcPr>
          <w:p>
            <w:pPr>
              <w:jc w:val="both"/>
            </w:pPr>
            <w:r>
              <w:rPr>
                <w:sz w:val="21"/>
              </w:rPr>
              <w:t>地　　　址：</w:t>
            </w:r>
          </w:p>
        </w:tc>
        <w:tc>
          <w:tcPr>
            <w:tcW w:type="dxa" w:w="2119"/>
            <w:tcBorders>
              <w:top w:val="none" w:color="000000" w:sz="4"/>
              <w:left w:val="none" w:color="000000" w:sz="4"/>
              <w:bottom w:val="single" w:color="000000" w:sz="4"/>
              <w:right w:val="single" w:color="000000" w:sz="4"/>
            </w:tcBorders>
            <w:vAlign w:val="top"/>
          </w:tcPr>
          <w:p>
            <w:pPr>
              <w:jc w:val="both"/>
            </w:pPr>
            <w:r>
              <w:rPr>
                <w:sz w:val="21"/>
              </w:rPr>
              <w:t>****市****路****号****室</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开户银行：</w:t>
            </w:r>
          </w:p>
        </w:tc>
        <w:tc>
          <w:tcPr>
            <w:tcW w:type="dxa" w:w="3221"/>
            <w:tcBorders>
              <w:top w:val="none" w:color="000000" w:sz="4"/>
              <w:left w:val="none" w:color="000000" w:sz="4"/>
              <w:bottom w:val="single" w:color="000000" w:sz="4"/>
              <w:right w:val="single" w:color="000000" w:sz="4"/>
            </w:tcBorders>
            <w:vAlign w:val="top"/>
          </w:tcPr>
          <w:p>
            <w:pPr>
              <w:jc w:val="both"/>
            </w:pPr>
            <w:r>
              <w:rPr>
                <w:sz w:val="21"/>
              </w:rPr>
              <w:t>广州市工行三支行</w:t>
            </w:r>
          </w:p>
        </w:tc>
        <w:tc>
          <w:tcPr>
            <w:tcW w:type="dxa" w:w="1441"/>
            <w:tcBorders>
              <w:top w:val="none" w:color="000000" w:sz="4"/>
              <w:left w:val="none" w:color="000000" w:sz="4"/>
              <w:bottom w:val="single" w:color="000000" w:sz="4"/>
              <w:right w:val="single" w:color="000000" w:sz="4"/>
            </w:tcBorders>
            <w:vAlign w:val="top"/>
          </w:tcPr>
          <w:p>
            <w:pPr>
              <w:jc w:val="both"/>
            </w:pPr>
            <w:r>
              <w:rPr>
                <w:sz w:val="21"/>
              </w:rPr>
              <w:t>开户银行：</w:t>
            </w:r>
          </w:p>
        </w:tc>
        <w:tc>
          <w:tcPr>
            <w:tcW w:type="dxa" w:w="2119"/>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银行账号：</w:t>
            </w:r>
          </w:p>
        </w:tc>
        <w:tc>
          <w:tcPr>
            <w:tcW w:type="dxa" w:w="3221"/>
            <w:tcBorders>
              <w:top w:val="none" w:color="000000" w:sz="4"/>
              <w:left w:val="none" w:color="000000" w:sz="4"/>
              <w:bottom w:val="single" w:color="000000" w:sz="4"/>
              <w:right w:val="single" w:color="000000" w:sz="4"/>
            </w:tcBorders>
            <w:vAlign w:val="top"/>
          </w:tcPr>
          <w:p>
            <w:pPr>
              <w:jc w:val="both"/>
            </w:pPr>
            <w:r>
              <w:rPr>
                <w:sz w:val="21"/>
              </w:rPr>
              <w:t>3602028909000196985</w:t>
            </w:r>
          </w:p>
        </w:tc>
        <w:tc>
          <w:tcPr>
            <w:tcW w:type="dxa" w:w="1441"/>
            <w:tcBorders>
              <w:top w:val="none" w:color="000000" w:sz="4"/>
              <w:left w:val="none" w:color="000000" w:sz="4"/>
              <w:bottom w:val="single" w:color="000000" w:sz="4"/>
              <w:right w:val="single" w:color="000000" w:sz="4"/>
            </w:tcBorders>
            <w:vAlign w:val="top"/>
          </w:tcPr>
          <w:p>
            <w:pPr>
              <w:jc w:val="both"/>
            </w:pPr>
            <w:r>
              <w:rPr>
                <w:sz w:val="21"/>
              </w:rPr>
              <w:t>银行账号：</w:t>
            </w:r>
          </w:p>
        </w:tc>
        <w:tc>
          <w:tcPr>
            <w:tcW w:type="dxa" w:w="2119"/>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3221"/>
            <w:tcBorders>
              <w:top w:val="none" w:color="000000" w:sz="4"/>
              <w:left w:val="none" w:color="000000" w:sz="4"/>
              <w:bottom w:val="single" w:color="000000" w:sz="4"/>
              <w:right w:val="single" w:color="000000" w:sz="4"/>
            </w:tcBorders>
            <w:vAlign w:val="top"/>
          </w:tcPr>
          <w:p>
            <w:pPr>
              <w:jc w:val="both"/>
            </w:pPr>
            <w:r>
              <w:rPr>
                <w:sz w:val="21"/>
              </w:rPr>
              <w:t>12440000455860226X</w:t>
            </w:r>
          </w:p>
        </w:tc>
        <w:tc>
          <w:tcPr>
            <w:tcW w:type="dxa" w:w="1441"/>
            <w:tcBorders>
              <w:top w:val="none" w:color="000000" w:sz="4"/>
              <w:left w:val="none" w:color="000000" w:sz="4"/>
              <w:bottom w:val="single" w:color="000000" w:sz="4"/>
              <w:right w:val="single" w:color="000000" w:sz="4"/>
            </w:tcBorders>
            <w:vAlign w:val="top"/>
          </w:tcPr>
          <w:p>
            <w:pPr>
              <w:jc w:val="both"/>
            </w:pPr>
            <w:r>
              <w:rPr>
                <w:sz w:val="21"/>
              </w:rPr>
              <w:t>银行联行号</w:t>
            </w:r>
          </w:p>
        </w:tc>
        <w:tc>
          <w:tcPr>
            <w:tcW w:type="dxa" w:w="2119"/>
            <w:tcBorders>
              <w:top w:val="none" w:color="000000" w:sz="4"/>
              <w:left w:val="none" w:color="000000" w:sz="4"/>
              <w:bottom w:val="single" w:color="000000" w:sz="4"/>
              <w:right w:val="single" w:color="000000" w:sz="4"/>
            </w:tcBorders>
            <w:vAlign w:val="top"/>
          </w:tcPr>
          <w:p>
            <w:pPr>
              <w:jc w:val="both"/>
            </w:pPr>
            <w:r>
              <w:rPr>
                <w:sz w:val="21"/>
              </w:rPr>
              <w:t>12位，必填项</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法定代表人：</w:t>
            </w:r>
          </w:p>
        </w:tc>
        <w:tc>
          <w:tcPr>
            <w:tcW w:type="dxa" w:w="3221"/>
            <w:tcBorders>
              <w:top w:val="none" w:color="000000" w:sz="4"/>
              <w:left w:val="none" w:color="000000" w:sz="4"/>
              <w:bottom w:val="single" w:color="000000" w:sz="4"/>
              <w:right w:val="single" w:color="000000" w:sz="4"/>
            </w:tcBorders>
            <w:vAlign w:val="top"/>
          </w:tcPr>
          <w:p>
            <w:pPr>
              <w:jc w:val="both"/>
            </w:pPr>
            <w:r>
              <w:rPr>
                <w:sz w:val="21"/>
              </w:rPr>
              <w:t>邱学青</w:t>
            </w:r>
          </w:p>
        </w:tc>
        <w:tc>
          <w:tcPr>
            <w:tcW w:type="dxa" w:w="1441"/>
            <w:tcBorders>
              <w:top w:val="none" w:color="000000" w:sz="4"/>
              <w:left w:val="none" w:color="000000" w:sz="4"/>
              <w:bottom w:val="single" w:color="000000" w:sz="4"/>
              <w:right w:val="single" w:color="000000" w:sz="4"/>
            </w:tcBorders>
            <w:vAlign w:val="top"/>
          </w:tcPr>
          <w:p>
            <w:pPr>
              <w:jc w:val="both"/>
            </w:pPr>
            <w:r>
              <w:rPr>
                <w:sz w:val="21"/>
              </w:rPr>
              <w:t>法定代表人：</w:t>
            </w:r>
          </w:p>
        </w:tc>
        <w:tc>
          <w:tcPr>
            <w:tcW w:type="dxa" w:w="2119"/>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委托代理人：</w:t>
            </w:r>
          </w:p>
        </w:tc>
        <w:tc>
          <w:tcPr>
            <w:tcW w:type="dxa" w:w="3221"/>
            <w:tcBorders>
              <w:top w:val="none" w:color="000000" w:sz="4"/>
              <w:left w:val="none" w:color="000000" w:sz="4"/>
              <w:bottom w:val="single" w:color="000000" w:sz="4"/>
              <w:right w:val="single" w:color="000000" w:sz="4"/>
            </w:tcBorders>
            <w:vAlign w:val="top"/>
          </w:tcPr>
          <w:p>
            <w:pPr>
              <w:jc w:val="both"/>
            </w:pPr>
          </w:p>
        </w:tc>
        <w:tc>
          <w:tcPr>
            <w:tcW w:type="dxa" w:w="1441"/>
            <w:tcBorders>
              <w:top w:val="none" w:color="000000" w:sz="4"/>
              <w:left w:val="none" w:color="000000" w:sz="4"/>
              <w:bottom w:val="single" w:color="000000" w:sz="4"/>
              <w:right w:val="single" w:color="000000" w:sz="4"/>
            </w:tcBorders>
            <w:vAlign w:val="top"/>
          </w:tcPr>
          <w:p>
            <w:pPr>
              <w:jc w:val="both"/>
            </w:pPr>
            <w:r>
              <w:rPr>
                <w:sz w:val="21"/>
              </w:rPr>
              <w:t>委托代理人：</w:t>
            </w:r>
          </w:p>
        </w:tc>
        <w:tc>
          <w:tcPr>
            <w:tcW w:type="dxa" w:w="2119"/>
            <w:tcBorders>
              <w:top w:val="none" w:color="000000" w:sz="4"/>
              <w:left w:val="none" w:color="000000" w:sz="4"/>
              <w:bottom w:val="single" w:color="000000" w:sz="4"/>
              <w:right w:val="single" w:color="000000" w:sz="4"/>
            </w:tcBorders>
            <w:vAlign w:val="top"/>
          </w:tcPr>
          <w:p>
            <w:pPr>
              <w:jc w:val="both"/>
            </w:pPr>
            <w:r>
              <w:rPr>
                <w:sz w:val="21"/>
              </w:rPr>
              <w:t xml:space="preserve"> ****</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项目负责人：</w:t>
            </w:r>
          </w:p>
        </w:tc>
        <w:tc>
          <w:tcPr>
            <w:tcW w:type="dxa" w:w="3221"/>
            <w:tcBorders>
              <w:top w:val="none" w:color="000000" w:sz="4"/>
              <w:left w:val="none" w:color="000000" w:sz="4"/>
              <w:bottom w:val="single" w:color="000000" w:sz="4"/>
              <w:right w:val="single" w:color="000000" w:sz="4"/>
            </w:tcBorders>
            <w:vAlign w:val="top"/>
          </w:tcPr>
          <w:p>
            <w:pPr>
              <w:jc w:val="both"/>
            </w:pPr>
          </w:p>
        </w:tc>
        <w:tc>
          <w:tcPr>
            <w:tcW w:type="dxa" w:w="1441"/>
            <w:tcBorders>
              <w:top w:val="none" w:color="000000" w:sz="4"/>
              <w:left w:val="none" w:color="000000" w:sz="4"/>
              <w:bottom w:val="single" w:color="000000" w:sz="4"/>
              <w:right w:val="single" w:color="000000" w:sz="4"/>
            </w:tcBorders>
            <w:vAlign w:val="top"/>
          </w:tcPr>
          <w:p>
            <w:pPr>
              <w:jc w:val="both"/>
            </w:pPr>
            <w:r>
              <w:rPr>
                <w:sz w:val="21"/>
              </w:rPr>
              <w:t>经  办  人：</w:t>
            </w:r>
          </w:p>
        </w:tc>
        <w:tc>
          <w:tcPr>
            <w:tcW w:type="dxa" w:w="2119"/>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经  办  人：</w:t>
            </w:r>
          </w:p>
        </w:tc>
        <w:tc>
          <w:tcPr>
            <w:tcW w:type="dxa" w:w="3221"/>
            <w:tcBorders>
              <w:top w:val="none" w:color="000000" w:sz="4"/>
              <w:left w:val="none" w:color="000000" w:sz="4"/>
              <w:bottom w:val="single" w:color="000000" w:sz="4"/>
              <w:right w:val="single" w:color="000000" w:sz="4"/>
            </w:tcBorders>
            <w:vAlign w:val="top"/>
          </w:tcPr>
          <w:p>
            <w:pPr>
              <w:jc w:val="both"/>
            </w:pPr>
          </w:p>
        </w:tc>
        <w:tc>
          <w:tcPr>
            <w:tcW w:type="dxa" w:w="1441"/>
            <w:tcBorders>
              <w:top w:val="none" w:color="000000" w:sz="4"/>
              <w:left w:val="none" w:color="000000" w:sz="4"/>
              <w:bottom w:val="single" w:color="000000" w:sz="4"/>
              <w:right w:val="single" w:color="000000" w:sz="4"/>
            </w:tcBorders>
            <w:vAlign w:val="top"/>
          </w:tcPr>
          <w:p>
            <w:pPr>
              <w:jc w:val="both"/>
            </w:pPr>
          </w:p>
        </w:tc>
        <w:tc>
          <w:tcPr>
            <w:tcW w:type="dxa" w:w="2119"/>
            <w:tcBorders>
              <w:top w:val="none" w:color="000000" w:sz="4"/>
              <w:left w:val="none" w:color="000000" w:sz="4"/>
              <w:bottom w:val="single" w:color="000000" w:sz="4"/>
              <w:right w:val="single" w:color="000000" w:sz="4"/>
            </w:tcBorders>
            <w:vAlign w:val="top"/>
          </w:tcPr>
          <w:p>
            <w:pPr>
              <w:jc w:val="both"/>
            </w:pP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电　　  话：</w:t>
            </w:r>
          </w:p>
        </w:tc>
        <w:tc>
          <w:tcPr>
            <w:tcW w:type="dxa" w:w="3221"/>
            <w:tcBorders>
              <w:top w:val="none" w:color="000000" w:sz="4"/>
              <w:left w:val="none" w:color="000000" w:sz="4"/>
              <w:bottom w:val="single" w:color="000000" w:sz="4"/>
              <w:right w:val="single" w:color="000000" w:sz="4"/>
            </w:tcBorders>
            <w:vAlign w:val="top"/>
          </w:tcPr>
          <w:p>
            <w:pPr>
              <w:jc w:val="both"/>
            </w:pPr>
            <w:r>
              <w:rPr>
                <w:sz w:val="21"/>
              </w:rPr>
              <w:t>020-39322383</w:t>
            </w:r>
          </w:p>
        </w:tc>
        <w:tc>
          <w:tcPr>
            <w:tcW w:type="dxa" w:w="1441"/>
            <w:tcBorders>
              <w:top w:val="none" w:color="000000" w:sz="4"/>
              <w:left w:val="none" w:color="000000" w:sz="4"/>
              <w:bottom w:val="single" w:color="000000" w:sz="4"/>
              <w:right w:val="single" w:color="000000" w:sz="4"/>
            </w:tcBorders>
            <w:vAlign w:val="top"/>
          </w:tcPr>
          <w:p>
            <w:pPr>
              <w:jc w:val="both"/>
            </w:pPr>
            <w:r>
              <w:rPr>
                <w:sz w:val="21"/>
              </w:rPr>
              <w:t>电      话：</w:t>
            </w:r>
          </w:p>
        </w:tc>
        <w:tc>
          <w:tcPr>
            <w:tcW w:type="dxa" w:w="2119"/>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1526"/>
            <w:tcBorders>
              <w:top w:val="none" w:color="000000" w:sz="4"/>
              <w:left w:val="single" w:color="000000" w:sz="4"/>
              <w:bottom w:val="single" w:color="000000" w:sz="4"/>
              <w:right w:val="single" w:color="000000" w:sz="4"/>
            </w:tcBorders>
            <w:vAlign w:val="top"/>
          </w:tcPr>
          <w:p>
            <w:pPr>
              <w:jc w:val="both"/>
            </w:pPr>
            <w:r>
              <w:rPr>
                <w:sz w:val="21"/>
              </w:rPr>
              <w:t>签 订 时 间：</w:t>
            </w:r>
          </w:p>
        </w:tc>
        <w:tc>
          <w:tcPr>
            <w:tcW w:type="dxa" w:w="3221"/>
            <w:tcBorders>
              <w:top w:val="none" w:color="000000" w:sz="4"/>
              <w:left w:val="none" w:color="000000" w:sz="4"/>
              <w:bottom w:val="single" w:color="000000" w:sz="4"/>
              <w:right w:val="single" w:color="000000" w:sz="4"/>
            </w:tcBorders>
            <w:vAlign w:val="top"/>
          </w:tcPr>
          <w:p>
            <w:pPr>
              <w:jc w:val="both"/>
            </w:pPr>
            <w:r>
              <w:rPr>
                <w:sz w:val="21"/>
              </w:rPr>
              <w:t>20  年   月   日</w:t>
            </w:r>
          </w:p>
        </w:tc>
        <w:tc>
          <w:tcPr>
            <w:tcW w:type="dxa" w:w="1441"/>
            <w:tcBorders>
              <w:top w:val="none" w:color="000000" w:sz="4"/>
              <w:left w:val="none" w:color="000000" w:sz="4"/>
              <w:bottom w:val="single" w:color="000000" w:sz="4"/>
              <w:right w:val="single" w:color="000000" w:sz="4"/>
            </w:tcBorders>
            <w:vAlign w:val="top"/>
          </w:tcPr>
          <w:p>
            <w:pPr>
              <w:jc w:val="both"/>
            </w:pPr>
            <w:r>
              <w:rPr>
                <w:sz w:val="21"/>
              </w:rPr>
              <w:t>签 订 时 间：</w:t>
            </w:r>
          </w:p>
        </w:tc>
        <w:tc>
          <w:tcPr>
            <w:tcW w:type="dxa" w:w="2119"/>
            <w:tcBorders>
              <w:top w:val="none" w:color="000000" w:sz="4"/>
              <w:left w:val="none" w:color="000000" w:sz="4"/>
              <w:bottom w:val="single" w:color="000000" w:sz="4"/>
              <w:right w:val="single" w:color="000000" w:sz="4"/>
            </w:tcBorders>
            <w:vAlign w:val="top"/>
          </w:tcPr>
          <w:p>
            <w:pPr>
              <w:jc w:val="both"/>
            </w:pPr>
            <w:r>
              <w:rPr>
                <w:sz w:val="21"/>
              </w:rPr>
              <w:t>****年****月****日</w:t>
            </w:r>
          </w:p>
        </w:tc>
      </w:tr>
    </w:tbl>
    <w:p>
      <w:pPr>
        <w:jc w:val="both"/>
      </w:pPr>
    </w:p>
    <w:p/>
    <w:p>
      <w:pPr>
        <w:jc w:val="both"/>
      </w:pPr>
      <w:r>
        <w:rPr>
          <w:b/>
          <w:sz w:val="28"/>
        </w:rPr>
        <w:t>附件.</w:t>
      </w:r>
      <w:r>
        <w:rPr>
          <w:b/>
          <w:sz w:val="28"/>
        </w:rPr>
        <w:t>详细配置清单及技术指标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1356"/>
        <w:gridCol w:w="1356"/>
        <w:gridCol w:w="5594"/>
      </w:tblGrid>
      <w:tr>
        <w:tc>
          <w:tcPr>
            <w:tcW w:type="dxa" w:w="1356"/>
            <w:tcBorders>
              <w:top w:val="single" w:color="000000" w:sz="4"/>
              <w:left w:val="single" w:color="000000" w:sz="4"/>
              <w:bottom w:val="single" w:color="000000" w:sz="4"/>
              <w:right w:val="single" w:color="000000" w:sz="4"/>
            </w:tcBorders>
          </w:tcPr>
          <w:p>
            <w:pPr>
              <w:jc w:val="both"/>
            </w:pPr>
            <w:r>
              <w:rPr>
                <w:sz w:val="21"/>
              </w:rPr>
              <w:t>序号</w:t>
            </w:r>
          </w:p>
        </w:tc>
        <w:tc>
          <w:tcPr>
            <w:tcW w:type="dxa" w:w="1356"/>
            <w:tcBorders>
              <w:top w:val="single" w:color="000000" w:sz="4"/>
              <w:left w:val="none" w:color="000000" w:sz="4"/>
              <w:bottom w:val="single" w:color="000000" w:sz="4"/>
              <w:right w:val="single" w:color="000000" w:sz="4"/>
            </w:tcBorders>
          </w:tcPr>
          <w:p>
            <w:pPr>
              <w:jc w:val="both"/>
            </w:pPr>
            <w:r>
              <w:rPr>
                <w:sz w:val="21"/>
              </w:rPr>
              <w:t>名称</w:t>
            </w:r>
          </w:p>
        </w:tc>
        <w:tc>
          <w:tcPr>
            <w:tcW w:type="dxa" w:w="5594"/>
            <w:tcBorders>
              <w:top w:val="single" w:color="000000" w:sz="4"/>
              <w:left w:val="none" w:color="000000" w:sz="4"/>
              <w:bottom w:val="single" w:color="000000" w:sz="4"/>
              <w:right w:val="single" w:color="000000" w:sz="4"/>
            </w:tcBorders>
          </w:tcPr>
          <w:p>
            <w:pPr>
              <w:jc w:val="both"/>
            </w:pPr>
            <w:r>
              <w:rPr>
                <w:sz w:val="21"/>
              </w:rPr>
              <w:t>详细配置清单及技术指标</w:t>
            </w:r>
          </w:p>
        </w:tc>
      </w:tr>
      <w:tr>
        <w:tc>
          <w:tcPr>
            <w:tcW w:type="dxa" w:w="1356"/>
            <w:tcBorders>
              <w:top w:val="none" w:color="000000" w:sz="4"/>
              <w:left w:val="single" w:color="000000" w:sz="4"/>
              <w:bottom w:val="single" w:color="000000" w:sz="4"/>
              <w:right w:val="single" w:color="000000" w:sz="4"/>
            </w:tcBorders>
          </w:tcPr>
          <w:p>
            <w:pPr>
              <w:jc w:val="both"/>
            </w:pPr>
            <w:r>
              <w:rPr>
                <w:sz w:val="21"/>
              </w:rPr>
              <w:t>1</w:t>
            </w:r>
          </w:p>
        </w:tc>
        <w:tc>
          <w:tcPr>
            <w:tcW w:type="dxa" w:w="1356"/>
            <w:tcBorders>
              <w:top w:val="none" w:color="000000" w:sz="4"/>
              <w:left w:val="none" w:color="000000" w:sz="4"/>
              <w:bottom w:val="single" w:color="000000" w:sz="4"/>
              <w:right w:val="single" w:color="000000" w:sz="4"/>
            </w:tcBorders>
          </w:tcPr>
          <w:p>
            <w:pPr>
              <w:jc w:val="both"/>
            </w:pPr>
            <w:r>
              <w:rPr>
                <w:sz w:val="21"/>
              </w:rPr>
              <w:t>****</w:t>
            </w:r>
          </w:p>
        </w:tc>
        <w:tc>
          <w:tcPr>
            <w:tcW w:type="dxa" w:w="5594"/>
            <w:tcBorders>
              <w:top w:val="none" w:color="000000" w:sz="4"/>
              <w:left w:val="none" w:color="000000" w:sz="4"/>
              <w:bottom w:val="single" w:color="000000" w:sz="4"/>
              <w:right w:val="single" w:color="000000" w:sz="4"/>
            </w:tcBorders>
          </w:tcPr>
          <w:p>
            <w:pPr>
              <w:jc w:val="both"/>
            </w:pPr>
            <w:r>
              <w:rPr>
                <w:sz w:val="21"/>
              </w:rPr>
              <w:t>****</w:t>
            </w:r>
          </w:p>
        </w:tc>
      </w:tr>
      <w:tr>
        <w:tc>
          <w:tcPr>
            <w:tcW w:type="dxa" w:w="1356"/>
            <w:tcBorders>
              <w:top w:val="none" w:color="000000" w:sz="4"/>
              <w:left w:val="single" w:color="000000" w:sz="4"/>
              <w:bottom w:val="single" w:color="000000" w:sz="4"/>
              <w:right w:val="single" w:color="000000" w:sz="4"/>
            </w:tcBorders>
          </w:tcPr>
          <w:p>
            <w:pPr>
              <w:jc w:val="both"/>
            </w:pPr>
            <w:r>
              <w:rPr>
                <w:sz w:val="21"/>
              </w:rPr>
              <w:t>2</w:t>
            </w:r>
          </w:p>
        </w:tc>
        <w:tc>
          <w:tcPr>
            <w:tcW w:type="dxa" w:w="1356"/>
            <w:tcBorders>
              <w:top w:val="none" w:color="000000" w:sz="4"/>
              <w:left w:val="none" w:color="000000" w:sz="4"/>
              <w:bottom w:val="single" w:color="000000" w:sz="4"/>
              <w:right w:val="single" w:color="000000" w:sz="4"/>
            </w:tcBorders>
          </w:tcPr>
          <w:p>
            <w:pPr>
              <w:jc w:val="both"/>
            </w:pPr>
          </w:p>
        </w:tc>
        <w:tc>
          <w:tcPr>
            <w:tcW w:type="dxa" w:w="5594"/>
            <w:tcBorders>
              <w:top w:val="none" w:color="000000" w:sz="4"/>
              <w:left w:val="none" w:color="000000" w:sz="4"/>
              <w:bottom w:val="single" w:color="000000" w:sz="4"/>
              <w:right w:val="single" w:color="000000" w:sz="4"/>
            </w:tcBorders>
          </w:tcPr>
          <w:p>
            <w:pPr>
              <w:jc w:val="both"/>
            </w:pPr>
          </w:p>
        </w:tc>
      </w:tr>
      <w:tr>
        <w:tc>
          <w:tcPr>
            <w:tcW w:type="dxa" w:w="1356"/>
            <w:tcBorders>
              <w:top w:val="none" w:color="000000" w:sz="4"/>
              <w:left w:val="single" w:color="000000" w:sz="4"/>
              <w:bottom w:val="single" w:color="000000" w:sz="4"/>
              <w:right w:val="single" w:color="000000" w:sz="4"/>
            </w:tcBorders>
          </w:tcPr>
          <w:p>
            <w:pPr>
              <w:jc w:val="both"/>
            </w:pPr>
            <w:r>
              <w:rPr>
                <w:sz w:val="21"/>
              </w:rPr>
              <w:t>3</w:t>
            </w:r>
          </w:p>
        </w:tc>
        <w:tc>
          <w:tcPr>
            <w:tcW w:type="dxa" w:w="1356"/>
            <w:tcBorders>
              <w:top w:val="none" w:color="000000" w:sz="4"/>
              <w:left w:val="none" w:color="000000" w:sz="4"/>
              <w:bottom w:val="single" w:color="000000" w:sz="4"/>
              <w:right w:val="single" w:color="000000" w:sz="4"/>
            </w:tcBorders>
          </w:tcPr>
          <w:p>
            <w:pPr>
              <w:jc w:val="both"/>
            </w:pPr>
          </w:p>
        </w:tc>
        <w:tc>
          <w:tcPr>
            <w:tcW w:type="dxa" w:w="5594"/>
            <w:tcBorders>
              <w:top w:val="none" w:color="000000" w:sz="4"/>
              <w:left w:val="none" w:color="000000" w:sz="4"/>
              <w:bottom w:val="single" w:color="000000" w:sz="4"/>
              <w:right w:val="single" w:color="000000" w:sz="4"/>
            </w:tcBorders>
          </w:tcPr>
          <w:p>
            <w:pPr>
              <w:jc w:val="both"/>
            </w:pPr>
          </w:p>
        </w:tc>
      </w:tr>
      <w:tr>
        <w:tc>
          <w:tcPr>
            <w:tcW w:type="dxa" w:w="1356"/>
            <w:tcBorders>
              <w:top w:val="none" w:color="000000" w:sz="4"/>
              <w:left w:val="single" w:color="000000" w:sz="4"/>
              <w:bottom w:val="single" w:color="000000" w:sz="4"/>
              <w:right w:val="single" w:color="000000" w:sz="4"/>
            </w:tcBorders>
          </w:tcPr>
          <w:p>
            <w:pPr>
              <w:jc w:val="both"/>
            </w:pPr>
            <w:r>
              <w:rPr>
                <w:sz w:val="21"/>
              </w:rPr>
              <w:t>4</w:t>
            </w:r>
          </w:p>
        </w:tc>
        <w:tc>
          <w:tcPr>
            <w:tcW w:type="dxa" w:w="1356"/>
            <w:tcBorders>
              <w:top w:val="none" w:color="000000" w:sz="4"/>
              <w:left w:val="none" w:color="000000" w:sz="4"/>
              <w:bottom w:val="single" w:color="000000" w:sz="4"/>
              <w:right w:val="single" w:color="000000" w:sz="4"/>
            </w:tcBorders>
          </w:tcPr>
          <w:p>
            <w:pPr>
              <w:jc w:val="both"/>
            </w:pPr>
          </w:p>
        </w:tc>
        <w:tc>
          <w:tcPr>
            <w:tcW w:type="dxa" w:w="5594"/>
            <w:tcBorders>
              <w:top w:val="none" w:color="000000" w:sz="4"/>
              <w:left w:val="none" w:color="000000" w:sz="4"/>
              <w:bottom w:val="single" w:color="000000" w:sz="4"/>
              <w:right w:val="single" w:color="000000" w:sz="4"/>
            </w:tcBorders>
          </w:tcPr>
          <w:p>
            <w:pPr>
              <w:jc w:val="both"/>
            </w:pPr>
          </w:p>
        </w:tc>
      </w:tr>
      <w:tr>
        <w:tc>
          <w:tcPr>
            <w:tcW w:type="dxa" w:w="1356"/>
            <w:tcBorders>
              <w:top w:val="none" w:color="000000" w:sz="4"/>
              <w:left w:val="single" w:color="000000" w:sz="4"/>
              <w:bottom w:val="single" w:color="000000" w:sz="4"/>
              <w:right w:val="single" w:color="000000" w:sz="4"/>
            </w:tcBorders>
          </w:tcPr>
          <w:p>
            <w:pPr>
              <w:jc w:val="both"/>
            </w:pPr>
            <w:r>
              <w:rPr>
                <w:sz w:val="21"/>
              </w:rPr>
              <w:t>5</w:t>
            </w:r>
          </w:p>
        </w:tc>
        <w:tc>
          <w:tcPr>
            <w:tcW w:type="dxa" w:w="1356"/>
            <w:tcBorders>
              <w:top w:val="none" w:color="000000" w:sz="4"/>
              <w:left w:val="none" w:color="000000" w:sz="4"/>
              <w:bottom w:val="single" w:color="000000" w:sz="4"/>
              <w:right w:val="single" w:color="000000" w:sz="4"/>
            </w:tcBorders>
          </w:tcPr>
          <w:p>
            <w:pPr>
              <w:jc w:val="both"/>
            </w:pPr>
          </w:p>
        </w:tc>
        <w:tc>
          <w:tcPr>
            <w:tcW w:type="dxa" w:w="5594"/>
            <w:tcBorders>
              <w:top w:val="none" w:color="000000" w:sz="4"/>
              <w:left w:val="none" w:color="000000" w:sz="4"/>
              <w:bottom w:val="single" w:color="000000" w:sz="4"/>
              <w:right w:val="single" w:color="000000" w:sz="4"/>
            </w:tcBorders>
          </w:tcPr>
          <w:p>
            <w:pPr>
              <w:jc w:val="both"/>
            </w:pPr>
          </w:p>
        </w:tc>
      </w:tr>
      <w:tr>
        <w:tc>
          <w:tcPr>
            <w:tcW w:type="dxa" w:w="1356"/>
            <w:tcBorders>
              <w:top w:val="none" w:color="000000" w:sz="4"/>
              <w:left w:val="single" w:color="000000" w:sz="4"/>
              <w:bottom w:val="single" w:color="000000" w:sz="4"/>
              <w:right w:val="single" w:color="000000" w:sz="4"/>
            </w:tcBorders>
          </w:tcPr>
          <w:p>
            <w:pPr>
              <w:jc w:val="both"/>
            </w:pPr>
            <w:r>
              <w:rPr>
                <w:sz w:val="21"/>
              </w:rPr>
              <w:t>6</w:t>
            </w:r>
          </w:p>
        </w:tc>
        <w:tc>
          <w:tcPr>
            <w:tcW w:type="dxa" w:w="1356"/>
            <w:tcBorders>
              <w:top w:val="none" w:color="000000" w:sz="4"/>
              <w:left w:val="none" w:color="000000" w:sz="4"/>
              <w:bottom w:val="single" w:color="000000" w:sz="4"/>
              <w:right w:val="single" w:color="000000" w:sz="4"/>
            </w:tcBorders>
          </w:tcPr>
          <w:p>
            <w:pPr>
              <w:jc w:val="both"/>
            </w:pPr>
          </w:p>
        </w:tc>
        <w:tc>
          <w:tcPr>
            <w:tcW w:type="dxa" w:w="5594"/>
            <w:tcBorders>
              <w:top w:val="none" w:color="000000" w:sz="4"/>
              <w:left w:val="none" w:color="000000" w:sz="4"/>
              <w:bottom w:val="single" w:color="000000" w:sz="4"/>
              <w:right w:val="single" w:color="000000" w:sz="4"/>
            </w:tcBorders>
          </w:tcPr>
          <w:p>
            <w:pPr>
              <w:jc w:val="both"/>
            </w:pPr>
          </w:p>
        </w:tc>
      </w:tr>
    </w:tbl>
    <w:p>
      <w:pPr>
        <w:jc w:val="both"/>
      </w:pPr>
    </w:p>
    <w:p>
      <w:pPr>
        <w:jc w:val="both"/>
      </w:pPr>
      <w:r>
        <w:rPr>
          <w:sz w:val="21"/>
        </w:rPr>
        <w:t>附件：满足以上技术指标的设备安装前提条件：</w:t>
      </w:r>
    </w:p>
    <w:p/>
    <w:p>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440001-2023-50062</w:t>
      </w:r>
    </w:p>
    <w:p>
      <w:pPr>
        <w:jc w:val="center"/>
      </w:pPr>
      <w:r>
        <w:rPr>
          <w:b/>
          <w:sz w:val="24"/>
        </w:rPr>
        <w:t>采购项目编号：</w:t>
      </w:r>
      <w:r>
        <w:rPr>
          <w:b/>
          <w:sz w:val="24"/>
        </w:rPr>
        <w:t>440001-2023-50062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飞秒激光高精度直写一体化系统采购</w:t>
      </w:r>
      <w:r>
        <w:rPr>
          <w:u w:val="single"/>
        </w:rPr>
        <w:t>”</w:t>
      </w:r>
      <w:r>
        <w:rPr/>
        <w:t>项目的招标[采购项目编号为：</w:t>
      </w:r>
      <w:r>
        <w:rPr>
          <w:u w:val="single"/>
        </w:rPr>
        <w:t>440001-2023-50062</w:t>
      </w:r>
      <w:r>
        <w:rPr/>
        <w:t>]，我方愿参与投标。</w:t>
      </w:r>
    </w:p>
    <w:p>
      <w:pPr>
        <w:ind w:firstLine="480"/>
      </w:pPr>
      <w:r>
        <w:rPr/>
        <w:t>我方确认收到贵方提供的</w:t>
      </w:r>
      <w:r>
        <w:rPr>
          <w:u w:val="single"/>
        </w:rPr>
        <w:t>“</w:t>
      </w:r>
      <w:r>
        <w:rPr>
          <w:u w:val="single"/>
        </w:rPr>
        <w:t>飞秒激光高精度直写一体化系统采购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飞秒激光高精度直写一体化系统采购</w:t>
      </w:r>
      <w:r>
        <w:rPr/>
        <w:t>”项目采购[采购项目编号为</w:t>
      </w:r>
      <w:r>
        <w:rPr/>
        <w:t>440001-2023-50062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广东工业大学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飞秒激光高精度直写一体化系统采购</w:t>
      </w:r>
      <w:r>
        <w:rPr/>
        <w:t>招标中获中标（采购项目编号：</w:t>
      </w:r>
      <w:r>
        <w:rPr/>
        <w:t>440001-2023-50062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飞秒激光高精度直写一体化系统采购</w:t>
      </w:r>
      <w:r>
        <w:rPr/>
        <w:t>”项目（采购项目编号：</w:t>
      </w:r>
      <w:r>
        <w:rPr/>
        <w:t>440001-2023-50062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