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440112-2023-06780</w:t>
      </w:r>
    </w:p>
    <w:p>
      <w:pPr>
        <w:jc w:val="center"/>
      </w:pPr>
      <w:r>
        <w:rPr>
          <w:b/>
          <w:sz w:val="24"/>
        </w:rPr>
        <w:t>采购项目编号：</w:t>
      </w:r>
      <w:r>
        <w:rPr>
          <w:b/>
          <w:sz w:val="24"/>
        </w:rPr>
        <w:t>440112-2023-06780</w:t>
      </w:r>
    </w:p>
    <w:p>
      <w:pPr>
        <w:jc w:val="center"/>
      </w:pPr>
      <w:r>
        <w:rPr>
          <w:b/>
          <w:sz w:val="24"/>
        </w:rPr>
        <w:t>项目名称：</w:t>
      </w:r>
      <w:r>
        <w:rPr>
          <w:b/>
          <w:sz w:val="24"/>
        </w:rPr>
        <w:t>广州市黄埔新龙镇禁毒专业社工服务项目</w:t>
      </w:r>
    </w:p>
    <w:p>
      <w:pPr>
        <w:jc w:val="center"/>
      </w:pPr>
      <w:r>
        <w:rPr>
          <w:b/>
          <w:sz w:val="24"/>
        </w:rPr>
        <w:t>采购人：</w:t>
      </w:r>
      <w:r>
        <w:rPr>
          <w:b/>
          <w:sz w:val="24"/>
        </w:rPr>
        <w:t>广州市黄埔区新龙镇人民政府</w:t>
      </w:r>
    </w:p>
    <w:p>
      <w:pPr>
        <w:jc w:val="center"/>
      </w:pPr>
      <w:r>
        <w:rPr>
          <w:b/>
          <w:sz w:val="24"/>
        </w:rPr>
        <w:t>采购代理机构：</w:t>
      </w:r>
      <w:r>
        <w:rPr>
          <w:b/>
          <w:sz w:val="24"/>
        </w:rPr>
        <w:t>广东志正招标有限公司</w:t>
      </w:r>
    </w:p>
    <w:p>
      <w:pPr>
        <w:ind w:firstLine="480"/>
      </w:pPr>
    </w:p>
    <w:p>
      <w:r>
        <w:rPr/>
        <w:t xml:space="preserve"> </w:t>
      </w:r>
    </w:p>
    <w:p/>
    <w:p>
      <w:pPr>
        <w:jc w:val="center"/>
      </w:pPr>
      <w:r>
        <w:rPr>
          <w:b/>
          <w:sz w:val="36"/>
        </w:rPr>
        <w:t>第一章 磋商邀请</w:t>
      </w:r>
    </w:p>
    <w:p>
      <w:pPr>
        <w:ind w:firstLine="480"/>
      </w:pPr>
      <w:r>
        <w:rPr/>
        <w:t>广东志正招标有限公司</w:t>
      </w:r>
      <w:r>
        <w:rPr/>
        <w:t>受</w:t>
      </w:r>
      <w:r>
        <w:rPr/>
        <w:t>广州市黄埔区新龙镇人民政府</w:t>
      </w:r>
      <w:r>
        <w:rPr/>
        <w:t>的委托，采用</w:t>
      </w:r>
      <w:r>
        <w:rPr/>
        <w:t>竞争性磋商</w:t>
      </w:r>
      <w:r>
        <w:rPr/>
        <w:t>方式组织采购</w:t>
      </w:r>
      <w:r>
        <w:rPr/>
        <w:t>广州市黄埔新龙镇禁毒专业社工服务项目</w:t>
      </w:r>
      <w:r>
        <w:rPr/>
        <w:t>。欢迎符合资格条件的供应商参加。</w:t>
      </w:r>
    </w:p>
    <w:p>
      <w:r>
        <w:rPr>
          <w:b/>
          <w:sz w:val="28"/>
        </w:rPr>
        <w:t>一.项目概述</w:t>
      </w:r>
    </w:p>
    <w:p>
      <w:r>
        <w:rPr>
          <w:b/>
          <w:sz w:val="24"/>
        </w:rPr>
        <w:t>1.名称与编号</w:t>
      </w:r>
    </w:p>
    <w:p>
      <w:pPr>
        <w:ind w:firstLine="480"/>
      </w:pPr>
      <w:r>
        <w:rPr/>
        <w:t>采购项目名称：</w:t>
      </w:r>
      <w:r>
        <w:rPr/>
        <w:t>广州市黄埔新龙镇禁毒专业社工服务项目</w:t>
      </w:r>
    </w:p>
    <w:p>
      <w:pPr>
        <w:ind w:firstLine="480"/>
      </w:pPr>
      <w:r>
        <w:rPr/>
        <w:t>采购计划编号：</w:t>
      </w:r>
      <w:r>
        <w:rPr/>
        <w:t>440112-2023-06780</w:t>
      </w:r>
    </w:p>
    <w:p>
      <w:pPr>
        <w:ind w:firstLine="480"/>
      </w:pPr>
      <w:r>
        <w:rPr/>
        <w:t>采购项目编号：</w:t>
      </w:r>
      <w:r>
        <w:rPr/>
        <w:t>440112-2023-06780</w:t>
      </w:r>
    </w:p>
    <w:p>
      <w:pPr>
        <w:ind w:firstLine="480"/>
      </w:pPr>
      <w:r>
        <w:rPr/>
        <w:t>采购方式：</w:t>
      </w:r>
      <w:r>
        <w:rPr/>
        <w:t>竞争性磋商</w:t>
      </w:r>
    </w:p>
    <w:p>
      <w:pPr>
        <w:ind w:firstLine="480"/>
      </w:pPr>
      <w:r>
        <w:rPr/>
        <w:t>预算金额：</w:t>
      </w:r>
      <w:r>
        <w:rPr/>
        <w:t>2,880,000.00</w:t>
      </w:r>
      <w:r>
        <w:rPr/>
        <w:t>元</w:t>
      </w:r>
    </w:p>
    <w:p>
      <w:r>
        <w:rPr>
          <w:b/>
          <w:sz w:val="24"/>
        </w:rPr>
        <w:t>2.项目内容及需求情况（采购项目技术规格、参数及要求）</w:t>
      </w:r>
    </w:p>
    <w:p>
      <w:pPr>
        <w:ind w:firstLine="480"/>
      </w:pPr>
    </w:p>
    <w:p/>
    <w:p>
      <w:r>
        <w:rPr/>
        <w:t>采购包1(广州市黄埔区新龙镇禁毒专业社工服务采购项目):</w:t>
      </w:r>
    </w:p>
    <w:p>
      <w:r>
        <w:rPr/>
        <w:t>采购包预算金额：2,880,000.00元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其他社会服务</w:t>
            </w:r>
          </w:p>
        </w:tc>
        <w:tc>
          <w:tcPr>
            <w:tcW w:type="dxa" w:w="2136"/>
          </w:tcPr>
          <w:p>
            <w:r>
              <w:rPr/>
              <w:t>新龙镇禁毒专业社工服务项目</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合同履行期限：自合同签订之日起三年。（合同一年签一次，以当年考核合格作为下一年逐签的依据，若当年考核不合格，采购单位有权终止合同执行及取消成交单位以后年度续签合同的权利。）</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具有独立承担民事责任的能力，提供最新的参与磋商的供应商营业执照副本复印件，若以不具有独立承担民事责任能力的分支机构投标，须取得具有法人资格的总公司的授权书，并提供总公司营业执照副本复印件。</w:t>
      </w:r>
    </w:p>
    <w:p/>
    <w:p>
      <w:r>
        <w:rPr/>
        <w:t>2）有依法缴纳税收和社会保障资金的良好记录：有依法缴纳税收和社会保障资金的良好记录，提供签署及盖章合格的响应承诺函。</w:t>
      </w:r>
    </w:p>
    <w:p/>
    <w:p>
      <w:r>
        <w:rPr/>
        <w:t>3）具有良好的商业信誉和健全的财务会计制度：具有良好的商业信誉和健全的财务会计制度，提供签署及盖章合格的响应承诺函。</w:t>
      </w:r>
    </w:p>
    <w:p/>
    <w:p>
      <w:r>
        <w:rPr/>
        <w:t>4）履行合同所必需的设备和专业技术能力：具有履行合同所必需的设备和专业技术能力，提供签署及盖章合格的响应承诺函。</w:t>
      </w:r>
    </w:p>
    <w:p/>
    <w:p>
      <w:r>
        <w:rPr/>
        <w:t>5）参加采购活动前3年内，在经营活动中没有重大违法记录：参加采购活动前3年内，在经营活动中没有重大违法记录：参加政府采购活动前三年内，在经营活动中没有重大违法记录，提供签署及盖章合格的响应承诺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p/>
    <w:p>
      <w:r>
        <w:rPr>
          <w:b/>
          <w:sz w:val="24"/>
        </w:rPr>
        <w:t>2.落实政府采购政策需满足的资格要求：</w:t>
      </w:r>
    </w:p>
    <w:p>
      <w:pPr>
        <w:ind w:firstLine="480"/>
      </w:pPr>
    </w:p>
    <w:p>
      <w:pPr>
        <w:jc w:val="left"/>
      </w:pPr>
    </w:p>
    <w:p>
      <w:r>
        <w:rPr/>
        <w:t>采购包1（广州市黄埔区新龙镇禁毒专业社工服务采购项目）：</w:t>
      </w:r>
      <w:r>
        <w:rPr/>
        <w:t>无</w:t>
      </w:r>
    </w:p>
    <w:p/>
    <w:p>
      <w:r>
        <w:rPr>
          <w:b/>
          <w:sz w:val="24"/>
        </w:rPr>
        <w:t>3.本项目特定的资格要求：</w:t>
      </w:r>
    </w:p>
    <w:p>
      <w:pPr>
        <w:ind w:firstLine="480"/>
      </w:pPr>
    </w:p>
    <w:p/>
    <w:p>
      <w:r>
        <w:rPr/>
        <w:t>采购包1（广州市黄埔区新龙镇禁毒专业社工服务采购项目）：</w:t>
      </w:r>
    </w:p>
    <w:p/>
    <w:p>
      <w:r>
        <w:rPr/>
        <w:t>1)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供应商具有分公司的，其所属分公司有上述不良信用记录的，视同该供应商存在不良信用记录。③若供应商为分公司的，其所属总公司（总所）存在上述不良信用记录的，视同该分公司存在不良信用记录。</w:t>
      </w:r>
    </w:p>
    <w:p/>
    <w:p>
      <w:r>
        <w:rPr/>
        <w:t>2)不得参与同一采购项目竞争的供应商（提供签署及盖章合格的响应承诺函）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p/>
    <w:p>
      <w:r>
        <w:rPr/>
        <w:t>3)符合国家有关政事分开、政社分开、政企分开的要求；【供应商提供声明函，格式自拟，并对声明函的真实性负责】</w:t>
      </w:r>
    </w:p>
    <w:p/>
    <w:p>
      <w:r>
        <w:rPr/>
        <w:t>4)本项目不接受联合体参与磋商。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广东志正招标有限公司（https:https://www.zztender.com/）</w:t>
      </w:r>
      <w:r>
        <w:rPr/>
        <w:t>。</w:t>
      </w:r>
    </w:p>
    <w:p>
      <w:r>
        <w:rPr>
          <w:b/>
          <w:sz w:val="28"/>
        </w:rPr>
        <w:t>六.本项目联系方式：</w:t>
      </w:r>
    </w:p>
    <w:p>
      <w:r>
        <w:rPr>
          <w:b/>
          <w:sz w:val="24"/>
        </w:rPr>
        <w:t>1.采购人信息</w:t>
      </w:r>
    </w:p>
    <w:p>
      <w:pPr>
        <w:ind w:firstLine="480"/>
      </w:pPr>
      <w:r>
        <w:rPr/>
        <w:t>名称：</w:t>
      </w:r>
      <w:r>
        <w:rPr/>
        <w:t>广州市黄埔区新龙镇人民政府</w:t>
      </w:r>
    </w:p>
    <w:p>
      <w:pPr>
        <w:ind w:firstLine="480"/>
      </w:pPr>
      <w:r>
        <w:rPr/>
        <w:t>地址：</w:t>
      </w:r>
      <w:r>
        <w:rPr/>
        <w:t>广州市黄埔区新龙镇广汕八路333号</w:t>
      </w:r>
    </w:p>
    <w:p>
      <w:pPr>
        <w:ind w:firstLine="480"/>
      </w:pPr>
      <w:r>
        <w:rPr/>
        <w:t>联系方式：</w:t>
      </w:r>
      <w:r>
        <w:rPr/>
        <w:t>020-31601847</w:t>
      </w:r>
    </w:p>
    <w:p>
      <w:r>
        <w:rPr>
          <w:b/>
          <w:sz w:val="24"/>
        </w:rPr>
        <w:t>2.采购代理机构信息</w:t>
      </w:r>
    </w:p>
    <w:p>
      <w:pPr>
        <w:ind w:firstLine="480"/>
      </w:pPr>
      <w:r>
        <w:rPr/>
        <w:t>名称：</w:t>
      </w:r>
      <w:r>
        <w:rPr/>
        <w:t>广东志正招标有限公司</w:t>
      </w:r>
    </w:p>
    <w:p>
      <w:pPr>
        <w:ind w:firstLine="480"/>
      </w:pPr>
      <w:r>
        <w:rPr/>
        <w:t>地址：</w:t>
      </w:r>
      <w:r>
        <w:rPr/>
        <w:t>广东省广州市天河区龙怡路117号501、503、504、505、506房</w:t>
      </w:r>
    </w:p>
    <w:p>
      <w:pPr>
        <w:ind w:firstLine="480"/>
      </w:pPr>
      <w:r>
        <w:rPr/>
        <w:t>联系方式：</w:t>
      </w:r>
      <w:r>
        <w:rPr/>
        <w:t>020-87554038</w:t>
      </w:r>
    </w:p>
    <w:p>
      <w:r>
        <w:rPr>
          <w:b/>
          <w:sz w:val="24"/>
        </w:rPr>
        <w:t>3.项目联系方式</w:t>
      </w:r>
    </w:p>
    <w:p>
      <w:pPr>
        <w:ind w:firstLine="480"/>
      </w:pPr>
      <w:r>
        <w:rPr/>
        <w:t>项目联系人：</w:t>
      </w:r>
      <w:r>
        <w:rPr/>
        <w:t>周小姐、魏先生</w:t>
      </w:r>
    </w:p>
    <w:p>
      <w:pPr>
        <w:ind w:firstLine="480"/>
      </w:pPr>
      <w:r>
        <w:rPr/>
        <w:t>电话：</w:t>
      </w:r>
      <w:r>
        <w:rPr/>
        <w:t>020-87554038</w:t>
      </w:r>
    </w:p>
    <w:p>
      <w:r>
        <w:rPr>
          <w:b/>
          <w:sz w:val="24"/>
        </w:rPr>
        <w:t>4.技术支持联系方式</w:t>
      </w:r>
    </w:p>
    <w:p>
      <w:pPr>
        <w:ind w:firstLine="480"/>
      </w:pPr>
      <w:r>
        <w:rPr/>
        <w:t>云平台联系方式：020-88696588</w:t>
      </w:r>
    </w:p>
    <w:p>
      <w:r>
        <w:rPr/>
        <w:t>采购代理机构：</w:t>
      </w:r>
      <w:r>
        <w:rPr/>
        <w:t>广东志正招标有限公司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r>
        <w:rPr>
          <w:b/>
          <w:color w:val="000000"/>
          <w:sz w:val="21"/>
        </w:rPr>
        <w:t xml:space="preserve">    1</w:t>
      </w:r>
      <w:r>
        <w:rPr>
          <w:b/>
          <w:color w:val="000000"/>
          <w:sz w:val="21"/>
        </w:rPr>
        <w:t>、</w:t>
      </w:r>
      <w:r>
        <w:rPr>
          <w:color w:val="000000"/>
          <w:sz w:val="21"/>
        </w:rPr>
        <w:t>供应商须对本项目为单位（有划分包组的，则以包组为单位）的标的物进行整体响应，任何只对其中一部分内容进行的投标都被视为无效响应。</w:t>
      </w:r>
    </w:p>
    <w:p>
      <w:pPr>
        <w:ind w:firstLine="480"/>
        <w:jc w:val="both"/>
      </w:pPr>
      <w:r>
        <w:rPr>
          <w:b/>
          <w:color w:val="000000"/>
          <w:sz w:val="21"/>
        </w:rPr>
        <w:t>2</w:t>
      </w:r>
      <w:r>
        <w:rPr>
          <w:b/>
          <w:color w:val="000000"/>
          <w:sz w:val="21"/>
        </w:rPr>
        <w:t>、</w:t>
      </w:r>
      <w:r>
        <w:rPr>
          <w:color w:val="000000"/>
          <w:sz w:val="21"/>
        </w:rPr>
        <w:t>磋商文件中，凡标有“★”的地方均为实质性响应条款，供应商若有一项带“★”的条款未响应或不满足，将按无效响应处理。</w:t>
      </w:r>
    </w:p>
    <w:p>
      <w:pPr>
        <w:ind w:firstLine="480"/>
        <w:jc w:val="both"/>
      </w:pPr>
      <w:r>
        <w:rPr>
          <w:b/>
          <w:color w:val="000000"/>
          <w:sz w:val="21"/>
        </w:rPr>
        <w:t>3</w:t>
      </w:r>
      <w:r>
        <w:rPr>
          <w:b/>
          <w:color w:val="000000"/>
          <w:sz w:val="21"/>
        </w:rPr>
        <w:t>、</w:t>
      </w:r>
      <w:r>
        <w:rPr>
          <w:color w:val="000000"/>
          <w:sz w:val="21"/>
        </w:rPr>
        <w:t>中小企业声明函中，本项目</w:t>
      </w:r>
      <w:r>
        <w:rPr>
          <w:b/>
          <w:color w:val="000000"/>
          <w:sz w:val="21"/>
          <w:u w:val="single"/>
        </w:rPr>
        <w:t>广州市黄埔区新龙镇禁毒专业社工服务采购项目</w:t>
      </w:r>
      <w:r>
        <w:rPr>
          <w:color w:val="000000"/>
          <w:sz w:val="21"/>
        </w:rPr>
        <w:t>属于</w:t>
      </w:r>
      <w:r>
        <w:rPr>
          <w:b/>
          <w:color w:val="000000"/>
          <w:sz w:val="21"/>
          <w:u w:val="single"/>
        </w:rPr>
        <w:t>其他未列明行业</w:t>
      </w:r>
      <w:r>
        <w:rPr>
          <w:color w:val="000000"/>
          <w:sz w:val="21"/>
        </w:rPr>
        <w:t>行业。</w:t>
      </w:r>
    </w:p>
    <w:p>
      <w:pPr>
        <w:ind w:firstLine="480"/>
        <w:jc w:val="both"/>
      </w:pPr>
      <w:r>
        <w:rPr>
          <w:b/>
          <w:color w:val="000000"/>
          <w:sz w:val="21"/>
        </w:rPr>
        <w:t>4</w:t>
      </w:r>
      <w:r>
        <w:rPr>
          <w:b/>
          <w:color w:val="000000"/>
          <w:sz w:val="21"/>
        </w:rPr>
        <w:t>、</w:t>
      </w:r>
      <w:r>
        <w:rPr>
          <w:b/>
          <w:color w:val="000000"/>
          <w:sz w:val="21"/>
        </w:rPr>
        <w:t>服务范围：</w:t>
      </w:r>
      <w:r>
        <w:rPr>
          <w:color w:val="000000"/>
          <w:sz w:val="21"/>
        </w:rPr>
        <w:t>新龙镇。</w:t>
      </w:r>
    </w:p>
    <w:p>
      <w:pPr>
        <w:ind w:firstLine="480"/>
        <w:jc w:val="both"/>
      </w:pPr>
      <w:r>
        <w:rPr>
          <w:b/>
          <w:color w:val="000000"/>
          <w:sz w:val="21"/>
        </w:rPr>
        <w:t>5</w:t>
      </w:r>
      <w:r>
        <w:rPr>
          <w:b/>
          <w:color w:val="000000"/>
          <w:sz w:val="21"/>
        </w:rPr>
        <w:t>、</w:t>
      </w:r>
      <w:r>
        <w:rPr>
          <w:b/>
          <w:color w:val="000000"/>
          <w:sz w:val="21"/>
        </w:rPr>
        <w:t>服务对象：</w:t>
      </w:r>
      <w:r>
        <w:rPr>
          <w:color w:val="000000"/>
          <w:sz w:val="21"/>
        </w:rPr>
        <w:t>新龙镇</w:t>
      </w:r>
      <w:r>
        <w:rPr>
          <w:color w:val="000000"/>
          <w:sz w:val="21"/>
        </w:rPr>
        <w:t>吸毒人员，包含本地户籍、外市户籍吸毒人员。以及</w:t>
      </w:r>
      <w:r>
        <w:rPr>
          <w:color w:val="000000"/>
          <w:sz w:val="21"/>
        </w:rPr>
        <w:t>符合接受社区戒毒社区康复条件的戒毒人员家属，辖区内在校学生、机关企事业单位和场所从业人员以及社区居民等禁毒宣传教育主要对象。</w:t>
      </w:r>
    </w:p>
    <w:p>
      <w:pPr>
        <w:ind w:firstLine="480"/>
        <w:jc w:val="both"/>
      </w:pPr>
      <w:r>
        <w:rPr>
          <w:b/>
          <w:color w:val="000000"/>
          <w:sz w:val="21"/>
        </w:rPr>
        <w:t>6</w:t>
      </w:r>
      <w:r>
        <w:rPr>
          <w:b/>
          <w:color w:val="000000"/>
          <w:sz w:val="21"/>
        </w:rPr>
        <w:t>、服务要求：</w:t>
      </w:r>
      <w:r>
        <w:rPr>
          <w:color w:val="000000"/>
          <w:sz w:val="21"/>
        </w:rPr>
        <w:t>禁毒社会工作者运用禁毒社会工作的理念、方法和技巧，开展身体脱毒、心理辅导、家庭关系修复、社会人际支持网络修复、就业辅导、医疗干预等“六位一体”的专业服务模式，从身体、心灵、家庭、就业、人际支持等方面系统帮助和扶持，改善康复条件，实现真正戒毒和康复，探索出基础牢固、机制完善、亮点突出、特色鲜明的黄埔禁毒社会工作服务模式，积极帮助吸毒人员戒除毒瘾、恢复健康、回归社会，最大限度减少毒品社会危害，更好地促进法治、平安黄埔的建设。</w:t>
      </w:r>
    </w:p>
    <w:p>
      <w:pPr>
        <w:ind w:firstLine="480"/>
        <w:jc w:val="both"/>
      </w:pPr>
      <w:r>
        <w:rPr>
          <w:b/>
          <w:color w:val="000000"/>
          <w:sz w:val="21"/>
        </w:rPr>
        <w:t>7</w:t>
      </w:r>
      <w:r>
        <w:rPr>
          <w:b/>
          <w:color w:val="000000"/>
          <w:sz w:val="21"/>
        </w:rPr>
        <w:t>、服务时间（履行期限）：</w:t>
      </w:r>
      <w:r>
        <w:rPr>
          <w:color w:val="000000"/>
          <w:sz w:val="21"/>
        </w:rPr>
        <w:t>自合同签订之日起三年。</w:t>
      </w:r>
      <w:r>
        <w:rPr>
          <w:sz w:val="21"/>
        </w:rPr>
        <w:t>（合同一年签一次，以当年考核合格作为下一年逐签的依据，若当年考核不合格，采购单位有权终止合同执行及取消成交单位以后年度续签合同的权利。）</w:t>
      </w:r>
    </w:p>
    <w:p>
      <w:pPr>
        <w:ind w:firstLine="480"/>
        <w:jc w:val="both"/>
      </w:pPr>
      <w:r>
        <w:rPr>
          <w:b/>
          <w:color w:val="000000"/>
          <w:sz w:val="21"/>
        </w:rPr>
        <w:t>8</w:t>
      </w:r>
      <w:r>
        <w:rPr>
          <w:b/>
          <w:color w:val="000000"/>
          <w:sz w:val="21"/>
        </w:rPr>
        <w:t>、服务标准：</w:t>
      </w:r>
      <w:r>
        <w:rPr>
          <w:color w:val="000000"/>
          <w:sz w:val="21"/>
        </w:rPr>
        <w:t>社工要在职责范围内服从采购人的工作安排，遵照执行采购人制定的街道禁毒专职和禁毒专业社工管理等各项规章制度。</w:t>
      </w:r>
    </w:p>
    <w:p/>
    <w:p>
      <w:pPr>
        <w:ind w:firstLine="480"/>
      </w:pPr>
    </w:p>
    <w:p/>
    <w:p>
      <w:r>
        <w:rPr/>
        <w:t>采购包1（广州市黄埔区新龙镇禁毒专业社工服务采购项目）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自合同签订之日起三年；（合同一年签一次，以当年考核合格作为下一年逐签的依据，若当年考核不合格，采购单位有权终止合同执行及取消成交人以后年度续签合同的权利。）</w:t>
            </w:r>
          </w:p>
        </w:tc>
      </w:tr>
      <w:tr>
        <w:tc>
          <w:tcPr>
            <w:tcW w:type="dxa" w:w="4153"/>
          </w:tcPr>
          <w:p>
            <w:r>
              <w:rPr/>
              <w:t>标的提供的地点</w:t>
            </w:r>
          </w:p>
        </w:tc>
        <w:tc>
          <w:tcPr>
            <w:tcW w:type="dxa" w:w="4153"/>
          </w:tcPr>
          <w:p/>
          <w:p>
            <w:r>
              <w:rPr/>
              <w:t>广州市黄埔区新龙镇</w:t>
            </w:r>
          </w:p>
        </w:tc>
      </w:tr>
      <w:tr>
        <w:tc>
          <w:tcPr>
            <w:tcW w:type="dxa" w:w="4153"/>
          </w:tcPr>
          <w:p>
            <w:r>
              <w:rPr/>
              <w:t>付款方式</w:t>
            </w:r>
          </w:p>
        </w:tc>
        <w:tc>
          <w:tcPr>
            <w:tcW w:type="dxa" w:w="4153"/>
          </w:tcPr>
          <w:p/>
          <w:p/>
          <w:p>
            <w:r>
              <w:rPr/>
              <w:t>1期：支付比例50%,项目服务费每年96万元，该费用包括人员薪酬经费、督导培训经费、服务活动经费、办公经费、税费、项目管理费等费用。项目每年服务费分3期支付,首期项目经费为合同总额的50%，应在合同签订生效并收到成交人提交的等额发票后5个工作日内支付；</w:t>
            </w:r>
          </w:p>
          <w:p/>
          <w:p>
            <w:r>
              <w:rPr/>
              <w:t>2期：支付比例30%,合同签订起服务时间满3个月，采购人在收到成交人提交的等额发票后5个工作日内办理拨付合同总额的30%手续；</w:t>
            </w:r>
          </w:p>
          <w:p/>
          <w:p>
            <w:r>
              <w:rPr/>
              <w:t>3期：支付比例20%,合同签订起服务时间满5个月，采购人在收到成交人提交的等额发票后5个工作日内办理拨付合同总额的20%手续； 1.本项目费用由财政集中支付，采购人在前款规定的付款时间为向政府支付部门提出办理财政集中支付申请时间（不含财政支付部门审核的时间），采购人在规定时间内提出办理支付申请后即视为采购人已经按时支付。因财政拨款延误而导致采购人逾期付款的，采购人不承担违约责任，成交人不得以此为由拒绝和暂停服务。 2.成交人须在采购方办理集中支付手续前5个工作日内携带以下材料办理支付手续：成交通知书、采购合同书、项目评估通知书、正式发票。</w:t>
            </w:r>
          </w:p>
        </w:tc>
      </w:tr>
      <w:tr>
        <w:tc>
          <w:tcPr>
            <w:tcW w:type="dxa" w:w="4153"/>
          </w:tcPr>
          <w:p>
            <w:r>
              <w:rPr/>
              <w:t>验收要求</w:t>
            </w:r>
          </w:p>
        </w:tc>
        <w:tc>
          <w:tcPr>
            <w:tcW w:type="dxa" w:w="4153"/>
          </w:tcPr>
          <w:p/>
          <w:p/>
          <w:p/>
          <w:p>
            <w:r>
              <w:rPr/>
              <w:t>1期：采购人收到供应商项目验收建议之日起7个工作日内按照合同的约定对履约情况进行验收，委托第三方进行评估验收，对每一项技术、服务、安全标准的履约情况进行确认；验收标准主要以“项目评估考核”要求为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其他，1.采购人有权在签订合同时与成交人进行项目实施方案友好协商，可设当修改调整或对服务指标作适量增减。 2.成交人应以采购人的中心工作为主，严禁在项目服务过程中利用采购人所在地区的资源、价值等变相包装、推介成交人的机构品牌，以及开展与黄埔禁毒无关的活动。 3.成交人定期向采购人如实反映本项目的执行情况及成效，每月向采购人提交工作人员配备情况，如变更的应立即报备；每季度最后1个月30日前向采购人提交服务开展总体情况、服务指标完成进度、资金使用情况及明细等材料；根据采购人要求，配合做好查阅机构专业服务工作记录、财务管理资料的查阅工作，配合好审计部门检查。 4.合同一年签一次，以当年考核合格作为下一年逐签的依据，若当年考核不合格，采购单位有 权终止合同执行及取消成交供应商以后年度续签合同的权利。</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其他社会服务</w:t>
            </w:r>
          </w:p>
        </w:tc>
        <w:tc>
          <w:tcPr>
            <w:tcW w:type="dxa" w:w="933"/>
          </w:tcPr>
          <w:p>
            <w:pPr>
              <w:jc w:val="left"/>
            </w:pPr>
            <w:r>
              <w:rPr/>
              <w:t>新龙镇禁毒专业社工服务项目</w:t>
            </w:r>
          </w:p>
        </w:tc>
        <w:tc>
          <w:tcPr>
            <w:tcW w:type="dxa" w:w="933"/>
          </w:tcPr>
          <w:p>
            <w:pPr>
              <w:jc w:val="left"/>
            </w:pPr>
            <w:r>
              <w:rPr/>
              <w:t>项</w:t>
            </w:r>
          </w:p>
        </w:tc>
        <w:tc>
          <w:tcPr>
            <w:tcW w:type="dxa" w:w="933"/>
          </w:tcPr>
          <w:p>
            <w:pPr>
              <w:jc w:val="right"/>
            </w:pPr>
            <w:r>
              <w:rPr/>
              <w:t>1.00</w:t>
            </w:r>
          </w:p>
        </w:tc>
        <w:tc>
          <w:tcPr>
            <w:tcW w:type="dxa" w:w="933"/>
          </w:tcPr>
          <w:p>
            <w:pPr>
              <w:jc w:val="right"/>
            </w:pPr>
            <w:r>
              <w:rPr/>
              <w:t>2,880,000.00</w:t>
            </w:r>
          </w:p>
        </w:tc>
        <w:tc>
          <w:tcPr>
            <w:tcW w:type="dxa" w:w="933"/>
          </w:tcPr>
          <w:p>
            <w:pPr>
              <w:jc w:val="right"/>
            </w:pPr>
            <w:r>
              <w:rPr/>
              <w:t>2,880,000.00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新龙镇禁毒专业社工服务项目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22"/>
              <w:jc w:val="both"/>
            </w:pPr>
            <w:r>
              <w:rPr>
                <w:b/>
                <w:sz w:val="21"/>
              </w:rPr>
              <w:t>一、项目服务内容及要求</w:t>
            </w:r>
          </w:p>
          <w:p>
            <w:pPr>
              <w:ind w:firstLine="422"/>
              <w:jc w:val="both"/>
            </w:pPr>
            <w:r>
              <w:rPr>
                <w:b/>
                <w:sz w:val="21"/>
              </w:rPr>
              <w:t>（一）项目服务内容</w:t>
            </w:r>
          </w:p>
          <w:p>
            <w:pPr>
              <w:ind w:firstLine="420"/>
              <w:jc w:val="both"/>
            </w:pPr>
            <w:r>
              <w:rPr>
                <w:sz w:val="21"/>
              </w:rPr>
              <w:t>参照《社区戒毒社区康复社会工作服务规范》（DB44T 2296-2021）要求，落实服务工作。包括：</w:t>
            </w:r>
          </w:p>
          <w:p>
            <w:pPr>
              <w:ind w:firstLine="422"/>
              <w:jc w:val="both"/>
            </w:pPr>
            <w:r>
              <w:rPr>
                <w:b/>
                <w:sz w:val="21"/>
              </w:rPr>
              <w:t>1.</w:t>
            </w:r>
            <w:r>
              <w:rPr>
                <w:b/>
                <w:sz w:val="21"/>
              </w:rPr>
              <w:t>无缝衔接</w:t>
            </w:r>
          </w:p>
          <w:p>
            <w:pPr>
              <w:ind w:firstLine="420"/>
              <w:jc w:val="both"/>
            </w:pPr>
            <w:r>
              <w:rPr>
                <w:sz w:val="21"/>
              </w:rPr>
              <w:t>禁毒社会工作者应对被责令社区戒毒社区康复人员开展无缝衔接工作，实现社区戒毒社区康复人员从拘留所或强制隔离戒毒场所到执行地社区戒毒社区康复工作站的顺利转变。服务包括但不限于以下内容：</w:t>
            </w:r>
          </w:p>
          <w:p>
            <w:pPr>
              <w:ind w:firstLine="420"/>
              <w:jc w:val="both"/>
            </w:pPr>
            <w:r>
              <w:rPr>
                <w:sz w:val="21"/>
              </w:rPr>
              <w:t>（1）应做好出所对接准备，向当地派出所、社区及家属了解被责令社区戒毒社区康复人员基本信息；</w:t>
            </w:r>
          </w:p>
          <w:p>
            <w:pPr>
              <w:ind w:firstLine="420"/>
              <w:jc w:val="both"/>
            </w:pPr>
            <w:r>
              <w:rPr>
                <w:sz w:val="21"/>
              </w:rPr>
              <w:t>（2）条件具备，应提前进入拘留所或强制隔离戒毒场所进行社区戒毒社区康复政策及知识宣讲，解答疑问，并与被责令社区戒毒社区康复人员建立关系；</w:t>
            </w:r>
          </w:p>
          <w:p>
            <w:pPr>
              <w:ind w:firstLine="420"/>
              <w:jc w:val="both"/>
            </w:pPr>
            <w:r>
              <w:rPr>
                <w:sz w:val="21"/>
              </w:rPr>
              <w:t>（3）应与被责令社区戒毒社区康复人员家属沟通共同接其出所意愿，与社区民警确定其出所对接日期，做好无缝衔接准备工作；</w:t>
            </w:r>
          </w:p>
          <w:p>
            <w:pPr>
              <w:ind w:firstLine="420"/>
              <w:jc w:val="both"/>
            </w:pPr>
            <w:r>
              <w:rPr>
                <w:sz w:val="21"/>
              </w:rPr>
              <w:t>（4）应参与被责令社区戒毒社区康复人员出所对接工作。</w:t>
            </w:r>
          </w:p>
          <w:p>
            <w:pPr>
              <w:ind w:firstLine="422"/>
              <w:jc w:val="both"/>
            </w:pPr>
            <w:r>
              <w:rPr>
                <w:b/>
                <w:sz w:val="21"/>
              </w:rPr>
              <w:t>2.</w:t>
            </w:r>
            <w:r>
              <w:rPr>
                <w:b/>
                <w:sz w:val="21"/>
              </w:rPr>
              <w:t>报到建档</w:t>
            </w:r>
          </w:p>
          <w:p>
            <w:pPr>
              <w:ind w:firstLine="420"/>
              <w:jc w:val="both"/>
            </w:pPr>
            <w:r>
              <w:rPr>
                <w:sz w:val="21"/>
              </w:rPr>
              <w:t xml:space="preserve"> </w:t>
            </w:r>
            <w:r>
              <w:rPr>
                <w:sz w:val="21"/>
              </w:rPr>
              <w:t>吸毒成瘾人员被责令社区戒毒社区康复按规定时间到执行地报到后，禁毒社会工作者开展的工作包括但不限于以下内容：</w:t>
            </w:r>
          </w:p>
          <w:p>
            <w:pPr>
              <w:ind w:firstLine="420"/>
              <w:jc w:val="both"/>
            </w:pPr>
            <w:r>
              <w:rPr>
                <w:sz w:val="21"/>
              </w:rPr>
              <w:t>（1）应了解被责令社区戒毒社区康复人员基本信息；</w:t>
            </w:r>
          </w:p>
          <w:p>
            <w:pPr>
              <w:ind w:firstLine="420"/>
              <w:jc w:val="both"/>
            </w:pPr>
            <w:r>
              <w:rPr>
                <w:sz w:val="21"/>
              </w:rPr>
              <w:t>（2）应向社区戒毒社区康复人员宣传社区戒毒社区康复的相关法律、法规、政策规定；</w:t>
            </w:r>
          </w:p>
          <w:p>
            <w:pPr>
              <w:ind w:firstLine="420"/>
              <w:jc w:val="both"/>
            </w:pPr>
            <w:r>
              <w:rPr>
                <w:sz w:val="21"/>
              </w:rPr>
              <w:t>（3）协助社区戒毒社区康复人员签订社区戒毒社区康复协议书、权利义务告知书；</w:t>
            </w:r>
          </w:p>
          <w:p>
            <w:pPr>
              <w:ind w:firstLine="420"/>
              <w:jc w:val="both"/>
            </w:pPr>
            <w:r>
              <w:rPr>
                <w:sz w:val="21"/>
              </w:rPr>
              <w:t>（4）应为社区戒毒社区康复人员建立档案。</w:t>
            </w:r>
          </w:p>
          <w:p>
            <w:pPr>
              <w:ind w:firstLine="422"/>
              <w:jc w:val="both"/>
            </w:pPr>
            <w:r>
              <w:rPr>
                <w:b/>
                <w:sz w:val="21"/>
              </w:rPr>
              <w:t>3.</w:t>
            </w:r>
            <w:r>
              <w:rPr>
                <w:b/>
                <w:sz w:val="21"/>
              </w:rPr>
              <w:t>评估</w:t>
            </w:r>
          </w:p>
          <w:p>
            <w:pPr>
              <w:ind w:firstLine="420"/>
              <w:jc w:val="both"/>
            </w:pPr>
            <w:r>
              <w:rPr>
                <w:sz w:val="21"/>
              </w:rPr>
              <w:t>禁毒社会工作者对社区戒毒社区康复人员应开展评估工作，了解其面临的问题及需求，工作包括但不限于以下内容：</w:t>
            </w:r>
          </w:p>
          <w:p>
            <w:pPr>
              <w:ind w:firstLine="420"/>
              <w:jc w:val="both"/>
            </w:pPr>
            <w:r>
              <w:rPr>
                <w:sz w:val="21"/>
              </w:rPr>
              <w:t>（1）报到初期对社区戒毒社区康复人员表现出的生理、心理、社会等问题和需求进行预估；</w:t>
            </w:r>
          </w:p>
          <w:p>
            <w:pPr>
              <w:ind w:firstLine="420"/>
              <w:jc w:val="both"/>
            </w:pPr>
            <w:r>
              <w:rPr>
                <w:sz w:val="21"/>
              </w:rPr>
              <w:t>（2）对社区戒毒社区康复人员进行危机评估，包括评估威胁戒毒人员生命的危机因素、复吸的危机因素、对社会的危害等；</w:t>
            </w:r>
          </w:p>
          <w:p>
            <w:pPr>
              <w:ind w:firstLine="420"/>
              <w:jc w:val="both"/>
            </w:pPr>
            <w:r>
              <w:rPr>
                <w:sz w:val="21"/>
              </w:rPr>
              <w:t>（3）对社区戒毒社区康复人员进行心理社会发展需求评估；</w:t>
            </w:r>
          </w:p>
          <w:p>
            <w:pPr>
              <w:ind w:firstLine="420"/>
              <w:jc w:val="both"/>
            </w:pPr>
            <w:r>
              <w:rPr>
                <w:sz w:val="21"/>
              </w:rPr>
              <w:t>（4）对社区戒毒社区康复人员进行社会支持系统评估，包括评估社会、家庭、朋辈等各种正面和负面因素；</w:t>
            </w:r>
          </w:p>
          <w:p>
            <w:pPr>
              <w:ind w:firstLine="420"/>
              <w:jc w:val="both"/>
            </w:pPr>
            <w:r>
              <w:rPr>
                <w:sz w:val="21"/>
              </w:rPr>
              <w:t>（5）定期进行社区戒毒社区康复人员的戒毒康复评估；</w:t>
            </w:r>
          </w:p>
          <w:p>
            <w:pPr>
              <w:ind w:firstLine="420"/>
              <w:jc w:val="both"/>
            </w:pPr>
            <w:r>
              <w:rPr>
                <w:sz w:val="21"/>
              </w:rPr>
              <w:t xml:space="preserve">（6）以上评估内容应根据需要记录、归档。 </w:t>
            </w:r>
          </w:p>
          <w:p>
            <w:pPr>
              <w:ind w:firstLine="422"/>
              <w:jc w:val="both"/>
            </w:pPr>
            <w:r>
              <w:rPr>
                <w:b/>
                <w:sz w:val="21"/>
              </w:rPr>
              <w:t>4.</w:t>
            </w:r>
            <w:r>
              <w:rPr>
                <w:b/>
                <w:sz w:val="21"/>
              </w:rPr>
              <w:t>戒毒康复服务</w:t>
            </w:r>
          </w:p>
          <w:p>
            <w:pPr>
              <w:ind w:firstLine="420"/>
              <w:jc w:val="both"/>
            </w:pPr>
            <w:r>
              <w:rPr>
                <w:sz w:val="21"/>
              </w:rPr>
              <w:t>禁毒社会工作者根据问题及需求评估情况对社区戒毒社区康复人员开展戒毒康复服务，服务包括但不限于以下内容：</w:t>
            </w:r>
          </w:p>
          <w:p>
            <w:pPr>
              <w:ind w:firstLine="420"/>
              <w:jc w:val="both"/>
            </w:pPr>
            <w:r>
              <w:rPr>
                <w:sz w:val="21"/>
              </w:rPr>
              <w:t>（1）应对有需要的社区戒毒社区康复人员开展心理咨询和情绪疏导；</w:t>
            </w:r>
          </w:p>
          <w:p>
            <w:pPr>
              <w:ind w:firstLine="420"/>
              <w:jc w:val="both"/>
            </w:pPr>
            <w:r>
              <w:rPr>
                <w:sz w:val="21"/>
              </w:rPr>
              <w:t>（2）应对有需要的社区戒毒社区康复人员进行人际关系辅导，包括婚恋、夫妻、亲子、同事、邻里关系等；</w:t>
            </w:r>
          </w:p>
          <w:p>
            <w:pPr>
              <w:ind w:firstLine="420"/>
              <w:jc w:val="both"/>
            </w:pPr>
            <w:r>
              <w:rPr>
                <w:sz w:val="21"/>
              </w:rPr>
              <w:t>（3）应对有需要的社区戒毒社区康复人员提供自我管理能力和社会交往能力提升服务，预防复吸；</w:t>
            </w:r>
          </w:p>
          <w:p>
            <w:pPr>
              <w:ind w:firstLine="420"/>
              <w:jc w:val="both"/>
            </w:pPr>
            <w:r>
              <w:rPr>
                <w:sz w:val="21"/>
              </w:rPr>
              <w:t>（4）宜组织志愿者和社会力量开展有利于戒毒康复人员戒除毒瘾、回归社会的志愿服务；</w:t>
            </w:r>
          </w:p>
          <w:p>
            <w:pPr>
              <w:ind w:firstLine="420"/>
              <w:jc w:val="both"/>
            </w:pPr>
            <w:r>
              <w:rPr>
                <w:sz w:val="21"/>
              </w:rPr>
              <w:t>（5）宜开展有利于社区戒毒社区康复人员社会功能修复的其他专业服务。</w:t>
            </w:r>
          </w:p>
          <w:p>
            <w:pPr>
              <w:ind w:firstLine="422"/>
              <w:jc w:val="both"/>
            </w:pPr>
            <w:r>
              <w:rPr>
                <w:b/>
                <w:sz w:val="21"/>
              </w:rPr>
              <w:t>5.</w:t>
            </w:r>
            <w:r>
              <w:rPr>
                <w:b/>
                <w:sz w:val="21"/>
              </w:rPr>
              <w:t>帮扶救助服务</w:t>
            </w:r>
          </w:p>
          <w:p>
            <w:pPr>
              <w:ind w:firstLine="420"/>
              <w:jc w:val="both"/>
            </w:pPr>
            <w:r>
              <w:rPr>
                <w:sz w:val="21"/>
              </w:rPr>
              <w:t>禁毒社会工作者根据评估问题及需求对社区戒毒社区康复人员开展帮扶救助服务，服务包括但不限于以下内容：</w:t>
            </w:r>
          </w:p>
          <w:p>
            <w:pPr>
              <w:ind w:firstLine="420"/>
              <w:jc w:val="both"/>
            </w:pPr>
            <w:r>
              <w:rPr>
                <w:sz w:val="21"/>
              </w:rPr>
              <w:t>（1）应协助有需要的社区戒毒社区康复人员申请最低生活保障、医疗救助和临时救助等帮扶救助服务；</w:t>
            </w:r>
          </w:p>
          <w:p>
            <w:pPr>
              <w:ind w:firstLine="420"/>
              <w:jc w:val="both"/>
            </w:pPr>
            <w:r>
              <w:rPr>
                <w:sz w:val="21"/>
              </w:rPr>
              <w:t>（2）应为有需要的社区戒毒社区康复人员开展生涯规划和就业指导，链接就业、职业培训等方面的政府资源与社会资源，促进其就业；</w:t>
            </w:r>
          </w:p>
          <w:p>
            <w:pPr>
              <w:ind w:firstLine="420"/>
              <w:jc w:val="both"/>
            </w:pPr>
            <w:r>
              <w:rPr>
                <w:sz w:val="21"/>
              </w:rPr>
              <w:t>（3）应为有需要的社区戒毒社区康复人员链接就学就业资源，其他政府资源与社会资源，提升生计发展能力；</w:t>
            </w:r>
          </w:p>
          <w:p>
            <w:pPr>
              <w:ind w:firstLine="420"/>
              <w:jc w:val="both"/>
            </w:pPr>
            <w:r>
              <w:rPr>
                <w:sz w:val="21"/>
              </w:rPr>
              <w:t>（4）应组织志愿者和社会力量开展社区戒毒社区康复人员帮扶救助志愿服务。</w:t>
            </w:r>
          </w:p>
          <w:p>
            <w:pPr>
              <w:ind w:firstLine="422"/>
              <w:jc w:val="both"/>
            </w:pPr>
            <w:r>
              <w:rPr>
                <w:b/>
                <w:sz w:val="21"/>
              </w:rPr>
              <w:t>6.</w:t>
            </w:r>
            <w:r>
              <w:rPr>
                <w:b/>
                <w:sz w:val="21"/>
              </w:rPr>
              <w:t>行为干预服务</w:t>
            </w:r>
          </w:p>
          <w:p>
            <w:pPr>
              <w:ind w:firstLine="420"/>
              <w:jc w:val="both"/>
            </w:pPr>
            <w:r>
              <w:rPr>
                <w:sz w:val="21"/>
              </w:rPr>
              <w:t>禁毒社会工作者根据问题及需求评估情况对社区戒毒社区康复人员开展社会心理行为干预工作， 服务包括但不限于以下内容：</w:t>
            </w:r>
          </w:p>
          <w:p>
            <w:pPr>
              <w:ind w:firstLine="420"/>
              <w:jc w:val="both"/>
            </w:pPr>
            <w:r>
              <w:rPr>
                <w:sz w:val="21"/>
              </w:rPr>
              <w:t>（1）应为有需要的社区戒毒社区康复人员开展以循证为基础的社会心理行为干预；</w:t>
            </w:r>
          </w:p>
          <w:p>
            <w:pPr>
              <w:ind w:firstLine="420"/>
              <w:jc w:val="both"/>
            </w:pPr>
            <w:r>
              <w:rPr>
                <w:sz w:val="21"/>
              </w:rPr>
              <w:t>（2）应对可能有复吸及危害社会行为的社区戒毒社区康复人员进行必要的行为干预；</w:t>
            </w:r>
          </w:p>
          <w:p>
            <w:pPr>
              <w:ind w:firstLine="420"/>
              <w:jc w:val="both"/>
            </w:pPr>
            <w:r>
              <w:rPr>
                <w:sz w:val="21"/>
              </w:rPr>
              <w:t>（3）应对有需要的社区戒毒社区康复人员提供医疗治疗转介，包括戒毒医疗机构、药物维持治疗机构、专科医疗机构；</w:t>
            </w:r>
          </w:p>
          <w:p>
            <w:pPr>
              <w:ind w:firstLine="420"/>
              <w:jc w:val="both"/>
            </w:pPr>
            <w:r>
              <w:rPr>
                <w:sz w:val="21"/>
              </w:rPr>
              <w:t>（4）可借鉴动机强化治疗、认知治疗、行为治疗、集体治疗、家庭治疗等专业工作技术，为有需要的社区戒毒社区康复人员开展社会心理行为干预。</w:t>
            </w:r>
          </w:p>
          <w:p>
            <w:pPr>
              <w:ind w:firstLine="422"/>
              <w:jc w:val="both"/>
            </w:pPr>
            <w:r>
              <w:rPr>
                <w:b/>
                <w:sz w:val="21"/>
              </w:rPr>
              <w:t>7.</w:t>
            </w:r>
            <w:r>
              <w:rPr>
                <w:b/>
                <w:sz w:val="21"/>
              </w:rPr>
              <w:t>宣传教育工作</w:t>
            </w:r>
          </w:p>
          <w:p>
            <w:pPr>
              <w:ind w:firstLine="420"/>
              <w:jc w:val="both"/>
            </w:pPr>
            <w:r>
              <w:rPr>
                <w:sz w:val="21"/>
              </w:rPr>
              <w:t>禁毒社会工作者应根据社区戒毒社区康复人员和家属需求，社区、社会需求，开展戒毒禁毒宣传和教育工作，服务包括但不限于以下内容：</w:t>
            </w:r>
          </w:p>
          <w:p>
            <w:pPr>
              <w:ind w:firstLine="420"/>
              <w:jc w:val="both"/>
            </w:pPr>
            <w:r>
              <w:rPr>
                <w:sz w:val="21"/>
              </w:rPr>
              <w:t>（1）应对社区戒毒社区康复人员及其家属开展社区戒毒社区康复法律法规、戒毒康复资源、社会工作服务等信息和资源的宣传工作；</w:t>
            </w:r>
          </w:p>
          <w:p>
            <w:pPr>
              <w:ind w:firstLine="420"/>
              <w:jc w:val="both"/>
            </w:pPr>
            <w:r>
              <w:rPr>
                <w:sz w:val="21"/>
              </w:rPr>
              <w:t>（2）应开展调适社区戒毒社区康复人员与社区及社会关系的宣传教育服务，构建社区支持网络，营造有利于社区戒毒的社会环境；</w:t>
            </w:r>
          </w:p>
          <w:p>
            <w:pPr>
              <w:ind w:firstLine="420"/>
              <w:jc w:val="both"/>
            </w:pPr>
            <w:r>
              <w:rPr>
                <w:sz w:val="21"/>
              </w:rPr>
              <w:t>（3）应开展禁毒法律法规、政策、毒品知识、防治艾滋病和传染病、药物维持治疗等相关政策和知识的宣传，增强全民禁毒意识，提高全民自觉抵制毒品的能力；</w:t>
            </w:r>
          </w:p>
          <w:p>
            <w:pPr>
              <w:ind w:firstLine="420"/>
              <w:jc w:val="both"/>
            </w:pPr>
            <w:r>
              <w:rPr>
                <w:sz w:val="21"/>
              </w:rPr>
              <w:t>（4）应向社区戒毒社区康复人员及社区民众宣传关于尿检及毛发检测的相关知识；</w:t>
            </w:r>
          </w:p>
          <w:p>
            <w:pPr>
              <w:ind w:firstLine="420"/>
              <w:jc w:val="both"/>
            </w:pPr>
            <w:r>
              <w:rPr>
                <w:sz w:val="21"/>
              </w:rPr>
              <w:t xml:space="preserve">（5）应组织有意愿的社区戒毒社区康复人员参与社区志愿活动，鼓励参与社区协商，为社区发展出谋划策，参加社区组织的各类公益倡导活动，增强社区融入。 </w:t>
            </w:r>
          </w:p>
          <w:p>
            <w:pPr>
              <w:ind w:firstLine="422"/>
              <w:jc w:val="both"/>
            </w:pPr>
            <w:r>
              <w:rPr>
                <w:b/>
                <w:sz w:val="21"/>
              </w:rPr>
              <w:t>8.</w:t>
            </w:r>
            <w:r>
              <w:rPr>
                <w:b/>
                <w:sz w:val="21"/>
              </w:rPr>
              <w:t>协助禁毒管理事务</w:t>
            </w:r>
          </w:p>
          <w:p>
            <w:pPr>
              <w:ind w:firstLine="420"/>
              <w:jc w:val="both"/>
            </w:pPr>
            <w:r>
              <w:rPr>
                <w:sz w:val="21"/>
              </w:rPr>
              <w:t>禁毒社会工作者应根据禁毒管理部门要求，协助开展有关禁毒管理事务，工作包括但不限于以下内容：</w:t>
            </w:r>
          </w:p>
          <w:p>
            <w:pPr>
              <w:ind w:firstLine="420"/>
              <w:jc w:val="both"/>
            </w:pPr>
            <w:r>
              <w:rPr>
                <w:sz w:val="21"/>
              </w:rPr>
              <w:t>（1）进行社区戒毒社区康复人员动态管控、动态跟踪；</w:t>
            </w:r>
          </w:p>
          <w:p>
            <w:pPr>
              <w:ind w:firstLine="420"/>
              <w:jc w:val="both"/>
            </w:pPr>
            <w:r>
              <w:rPr>
                <w:sz w:val="21"/>
              </w:rPr>
              <w:t>（2）对社区戒毒社区康复人员排查登记、信息采集；</w:t>
            </w:r>
          </w:p>
          <w:p>
            <w:pPr>
              <w:ind w:firstLine="420"/>
              <w:jc w:val="both"/>
            </w:pPr>
            <w:r>
              <w:rPr>
                <w:sz w:val="21"/>
              </w:rPr>
              <w:t>（3）督促、帮助社区戒毒社区康复人员履行协议；</w:t>
            </w:r>
          </w:p>
          <w:p>
            <w:pPr>
              <w:ind w:firstLine="420"/>
              <w:jc w:val="both"/>
            </w:pPr>
            <w:r>
              <w:rPr>
                <w:sz w:val="21"/>
              </w:rPr>
              <w:t>（4）收集及报告拒绝报到及严重违反社区戒毒社区康复协议的社区戒毒社区康复人员资料；</w:t>
            </w:r>
          </w:p>
          <w:p>
            <w:pPr>
              <w:ind w:firstLine="420"/>
              <w:jc w:val="both"/>
            </w:pPr>
            <w:r>
              <w:rPr>
                <w:sz w:val="21"/>
              </w:rPr>
              <w:t>（5）在进行吸毒检测过程中，对社区戒毒社区康复人员提供建档、面谈、结果归档等工作；</w:t>
            </w:r>
          </w:p>
          <w:p>
            <w:pPr>
              <w:ind w:firstLine="420"/>
              <w:jc w:val="both"/>
            </w:pPr>
            <w:r>
              <w:rPr>
                <w:sz w:val="21"/>
              </w:rPr>
              <w:t>（6）根据风险分类评估对社区戒毒社区康复人员开展支持性谈话服务。</w:t>
            </w:r>
          </w:p>
          <w:p>
            <w:pPr>
              <w:ind w:firstLine="422"/>
              <w:jc w:val="both"/>
            </w:pPr>
            <w:r>
              <w:rPr>
                <w:b/>
                <w:sz w:val="21"/>
              </w:rPr>
              <w:t>9.</w:t>
            </w:r>
            <w:r>
              <w:rPr>
                <w:b/>
                <w:sz w:val="21"/>
              </w:rPr>
              <w:t>跟踪回访</w:t>
            </w:r>
          </w:p>
          <w:p>
            <w:pPr>
              <w:ind w:firstLine="420"/>
              <w:jc w:val="both"/>
            </w:pPr>
            <w:r>
              <w:rPr>
                <w:sz w:val="21"/>
              </w:rPr>
              <w:t>禁毒社会工作者应对社区戒毒社区康复人员和解除责令后 2 年内的吸毒人员进行定期跟踪回访，了解其社会心理发展情况，提供专业服务。对解除责令 2 年或以上的社区戒毒社区康复人员进行不定期回访和跟踪服务。</w:t>
            </w:r>
          </w:p>
          <w:p>
            <w:pPr>
              <w:ind w:firstLine="422"/>
              <w:jc w:val="both"/>
            </w:pPr>
            <w:r>
              <w:rPr>
                <w:b/>
                <w:sz w:val="21"/>
              </w:rPr>
              <w:t>10.</w:t>
            </w:r>
            <w:r>
              <w:rPr>
                <w:b/>
                <w:sz w:val="21"/>
              </w:rPr>
              <w:t>政策倡导</w:t>
            </w:r>
          </w:p>
          <w:p>
            <w:pPr>
              <w:ind w:firstLine="420"/>
              <w:jc w:val="both"/>
            </w:pPr>
            <w:r>
              <w:rPr>
                <w:sz w:val="21"/>
              </w:rPr>
              <w:t>禁毒社会工作者宜研究、分析与吸毒人员相关的法律、法规及政策的不完善内容，向有关职能部门提出完善建议。</w:t>
            </w:r>
          </w:p>
          <w:p>
            <w:pPr>
              <w:ind w:firstLine="422"/>
              <w:jc w:val="both"/>
            </w:pPr>
            <w:r>
              <w:rPr>
                <w:b/>
                <w:sz w:val="21"/>
              </w:rPr>
              <w:t>11.</w:t>
            </w:r>
            <w:r>
              <w:rPr>
                <w:b/>
                <w:sz w:val="21"/>
              </w:rPr>
              <w:t>其他吸毒人员服务</w:t>
            </w:r>
          </w:p>
          <w:p>
            <w:pPr>
              <w:ind w:firstLine="420"/>
              <w:jc w:val="both"/>
            </w:pPr>
            <w:r>
              <w:rPr>
                <w:sz w:val="21"/>
              </w:rPr>
              <w:t>禁毒社会工作者应为其他吸毒人员建立档案，开展跟踪回访和评估工作，在戒毒康复、帮扶救助、宣传教育等方面提供社会工作专业服务，包括但不限于以下内容：</w:t>
            </w:r>
          </w:p>
          <w:p>
            <w:pPr>
              <w:ind w:firstLine="420"/>
              <w:jc w:val="both"/>
            </w:pPr>
            <w:r>
              <w:rPr>
                <w:sz w:val="21"/>
              </w:rPr>
              <w:t>（1）定期跟踪回访，进行帮教谈话，并记录、归档；</w:t>
            </w:r>
          </w:p>
          <w:p>
            <w:pPr>
              <w:ind w:firstLine="420"/>
              <w:jc w:val="both"/>
            </w:pPr>
            <w:r>
              <w:rPr>
                <w:sz w:val="21"/>
              </w:rPr>
              <w:t>（2）对其问题及需求提供专业服务，并记录、归档；</w:t>
            </w:r>
          </w:p>
          <w:p>
            <w:pPr>
              <w:ind w:firstLine="420"/>
              <w:jc w:val="both"/>
            </w:pPr>
            <w:r>
              <w:rPr>
                <w:sz w:val="21"/>
              </w:rPr>
              <w:t>（3）对其进行危机评估，包括评估威胁吸毒人员生命的危机因素、复吸的危机因素、对社会的危害等，并记录、归档；</w:t>
            </w:r>
          </w:p>
          <w:p>
            <w:pPr>
              <w:ind w:firstLine="420"/>
              <w:jc w:val="both"/>
            </w:pPr>
            <w:r>
              <w:rPr>
                <w:sz w:val="21"/>
              </w:rPr>
              <w:t>（4）协助开展吸毒检测和对检测结果进行记录、归档；</w:t>
            </w:r>
          </w:p>
          <w:p>
            <w:pPr>
              <w:ind w:firstLine="420"/>
              <w:jc w:val="both"/>
            </w:pPr>
            <w:r>
              <w:rPr>
                <w:sz w:val="21"/>
              </w:rPr>
              <w:t>（5）协助禁毒管理部门按档案要求建立吸毒人员档案；</w:t>
            </w:r>
          </w:p>
          <w:p>
            <w:pPr>
              <w:ind w:firstLine="420"/>
              <w:jc w:val="both"/>
            </w:pPr>
            <w:r>
              <w:rPr>
                <w:sz w:val="21"/>
              </w:rPr>
              <w:t>（6）禁毒社会工作者宜研究、分析与其他社会面吸毒人员相关的法律、法规及政策的不完善内容，向有关职能部门提出完善建议。</w:t>
            </w:r>
          </w:p>
          <w:p>
            <w:pPr>
              <w:ind w:firstLine="422"/>
              <w:jc w:val="both"/>
            </w:pPr>
            <w:r>
              <w:rPr>
                <w:b/>
                <w:sz w:val="21"/>
              </w:rPr>
              <w:t>12.</w:t>
            </w:r>
            <w:r>
              <w:rPr>
                <w:b/>
                <w:sz w:val="21"/>
              </w:rPr>
              <w:t>媒体宣传</w:t>
            </w:r>
          </w:p>
          <w:p>
            <w:pPr>
              <w:ind w:firstLine="420"/>
              <w:jc w:val="both"/>
            </w:pPr>
            <w:r>
              <w:rPr>
                <w:sz w:val="21"/>
              </w:rPr>
              <w:t>加强新媒体运用，持续创作并推出一批禁毒主题微视频、微动漫、微电影等新媒体作品，并通过中央省市等各类媒体平台进行报道，提升辖区禁毒宣传的生动性和影响力。</w:t>
            </w:r>
          </w:p>
          <w:p>
            <w:pPr>
              <w:ind w:firstLine="422"/>
              <w:jc w:val="both"/>
            </w:pPr>
            <w:r>
              <w:rPr>
                <w:b/>
                <w:sz w:val="21"/>
              </w:rPr>
              <w:t>13.</w:t>
            </w:r>
            <w:r>
              <w:rPr>
                <w:b/>
                <w:sz w:val="21"/>
              </w:rPr>
              <w:t>其他工作</w:t>
            </w:r>
          </w:p>
          <w:p>
            <w:pPr>
              <w:ind w:firstLine="420"/>
              <w:jc w:val="both"/>
            </w:pPr>
            <w:r>
              <w:rPr>
                <w:sz w:val="21"/>
              </w:rPr>
              <w:t>按照区、街镇禁毒办工作要求，配合街镇禁毒办开展禁毒工作；完成区禁毒办交办的其他禁毒相关工作任务。</w:t>
            </w:r>
          </w:p>
          <w:p>
            <w:pPr>
              <w:ind w:firstLine="422"/>
              <w:jc w:val="both"/>
            </w:pPr>
          </w:p>
          <w:p>
            <w:pPr>
              <w:ind w:firstLine="422"/>
              <w:jc w:val="both"/>
            </w:pPr>
            <w:r>
              <w:rPr>
                <w:b/>
                <w:sz w:val="21"/>
              </w:rPr>
              <w:t>（</w:t>
            </w:r>
            <w:r>
              <w:rPr>
                <w:b/>
                <w:sz w:val="21"/>
              </w:rPr>
              <w:t>二</w:t>
            </w:r>
            <w:r>
              <w:rPr>
                <w:b/>
                <w:sz w:val="21"/>
              </w:rPr>
              <w:t>）年度服务主要指标和绩效评价</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408"/>
              <w:gridCol w:w="408"/>
              <w:gridCol w:w="408"/>
              <w:gridCol w:w="699"/>
              <w:gridCol w:w="874"/>
              <w:gridCol w:w="2273"/>
            </w:tblGrid>
            <w:tr>
              <w:tc>
                <w:tcPr>
                  <w:tcW w:type="dxa" w:w="525"/>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1224"/>
                  <w:gridSpan w:val="3"/>
                  <w:tcBorders>
                    <w:top w:val="single" w:color="000000" w:sz="4"/>
                    <w:left w:val="none" w:color="000000" w:sz="4"/>
                    <w:bottom w:val="single" w:color="000000" w:sz="4"/>
                    <w:right w:val="single" w:color="000000" w:sz="4"/>
                  </w:tcBorders>
                </w:tcPr>
                <w:p>
                  <w:pPr>
                    <w:jc w:val="center"/>
                  </w:pPr>
                  <w:r>
                    <w:rPr>
                      <w:b/>
                      <w:color w:val="000000"/>
                      <w:sz w:val="21"/>
                    </w:rPr>
                    <w:t>项目分类</w:t>
                  </w:r>
                </w:p>
              </w:tc>
              <w:tc>
                <w:tcPr>
                  <w:tcW w:type="dxa" w:w="699"/>
                  <w:tcBorders>
                    <w:top w:val="single" w:color="000000" w:sz="4"/>
                    <w:left w:val="none" w:color="000000" w:sz="4"/>
                    <w:bottom w:val="none" w:color="000000" w:sz="4"/>
                    <w:right w:val="single" w:color="000000" w:sz="4"/>
                  </w:tcBorders>
                </w:tcPr>
                <w:p>
                  <w:pPr>
                    <w:jc w:val="center"/>
                  </w:pPr>
                  <w:r>
                    <w:rPr>
                      <w:b/>
                      <w:color w:val="000000"/>
                      <w:sz w:val="21"/>
                    </w:rPr>
                    <w:t>量度数据</w:t>
                  </w:r>
                </w:p>
              </w:tc>
              <w:tc>
                <w:tcPr>
                  <w:tcW w:type="dxa" w:w="874"/>
                  <w:tcBorders>
                    <w:top w:val="single" w:color="000000" w:sz="4"/>
                    <w:left w:val="none" w:color="000000" w:sz="4"/>
                    <w:bottom w:val="none" w:color="000000" w:sz="4"/>
                    <w:right w:val="single" w:color="000000" w:sz="4"/>
                  </w:tcBorders>
                </w:tcPr>
                <w:p>
                  <w:pPr>
                    <w:jc w:val="center"/>
                  </w:pPr>
                  <w:r>
                    <w:rPr>
                      <w:b/>
                      <w:color w:val="000000"/>
                      <w:sz w:val="21"/>
                    </w:rPr>
                    <w:t>评估方法</w:t>
                  </w:r>
                </w:p>
              </w:tc>
              <w:tc>
                <w:tcPr>
                  <w:tcW w:type="dxa" w:w="2273"/>
                  <w:tcBorders>
                    <w:top w:val="single" w:color="000000" w:sz="4"/>
                    <w:left w:val="none" w:color="000000" w:sz="4"/>
                    <w:bottom w:val="none" w:color="000000" w:sz="4"/>
                    <w:right w:val="single" w:color="000000" w:sz="4"/>
                  </w:tcBorders>
                </w:tcPr>
                <w:p>
                  <w:pPr>
                    <w:jc w:val="center"/>
                  </w:pPr>
                  <w:r>
                    <w:rPr>
                      <w:b/>
                      <w:color w:val="000000"/>
                      <w:sz w:val="21"/>
                    </w:rPr>
                    <w:t>备注</w:t>
                  </w:r>
                </w:p>
              </w:tc>
            </w:tr>
            <w:tr>
              <w:tc>
                <w:tcPr>
                  <w:tcW w:type="dxa" w:w="525"/>
                  <w:vMerge w:val="restart"/>
                  <w:tcBorders>
                    <w:top w:val="none" w:color="000000" w:sz="4"/>
                    <w:left w:val="single" w:color="000000" w:sz="4"/>
                    <w:bottom w:val="single" w:color="000000" w:sz="4"/>
                    <w:right w:val="single" w:color="000000" w:sz="4"/>
                  </w:tcBorders>
                </w:tcPr>
                <w:p>
                  <w:pPr>
                    <w:jc w:val="center"/>
                  </w:pPr>
                  <w:r>
                    <w:rPr>
                      <w:color w:val="000000"/>
                      <w:sz w:val="21"/>
                    </w:rPr>
                    <w:t>（一）</w:t>
                  </w:r>
                </w:p>
              </w:tc>
              <w:tc>
                <w:tcPr>
                  <w:tcW w:type="dxa" w:w="408"/>
                  <w:vMerge w:val="restart"/>
                  <w:tcBorders>
                    <w:top w:val="none" w:color="000000" w:sz="4"/>
                    <w:left w:val="none" w:color="000000" w:sz="4"/>
                    <w:bottom w:val="single" w:color="000000" w:sz="4"/>
                    <w:right w:val="single" w:color="000000" w:sz="4"/>
                  </w:tcBorders>
                </w:tcPr>
                <w:p>
                  <w:pPr>
                    <w:jc w:val="center"/>
                  </w:pPr>
                  <w:r>
                    <w:rPr>
                      <w:color w:val="000000"/>
                      <w:sz w:val="21"/>
                    </w:rPr>
                    <w:t>制度建设</w:t>
                  </w: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机制建设</w:t>
                  </w:r>
                </w:p>
              </w:tc>
              <w:tc>
                <w:tcPr>
                  <w:tcW w:type="dxa" w:w="699"/>
                  <w:tcBorders>
                    <w:top w:val="single" w:color="000000" w:sz="4"/>
                    <w:left w:val="none" w:color="000000" w:sz="4"/>
                    <w:bottom w:val="none" w:color="000000" w:sz="4"/>
                    <w:right w:val="single" w:color="000000" w:sz="4"/>
                  </w:tcBorders>
                </w:tcPr>
                <w:p>
                  <w:pPr>
                    <w:jc w:val="center"/>
                  </w:pPr>
                  <w:r>
                    <w:rPr>
                      <w:sz w:val="21"/>
                    </w:rPr>
                    <w:t>不少于1套</w:t>
                  </w:r>
                </w:p>
              </w:tc>
              <w:tc>
                <w:tcPr>
                  <w:tcW w:type="dxa" w:w="874"/>
                  <w:tcBorders>
                    <w:top w:val="single" w:color="000000" w:sz="4"/>
                    <w:left w:val="none" w:color="000000" w:sz="4"/>
                    <w:bottom w:val="none" w:color="000000" w:sz="4"/>
                    <w:right w:val="single" w:color="000000" w:sz="4"/>
                  </w:tcBorders>
                </w:tcPr>
                <w:p>
                  <w:pPr>
                    <w:jc w:val="center"/>
                  </w:pPr>
                  <w:r>
                    <w:rPr>
                      <w:color w:val="000000"/>
                      <w:sz w:val="21"/>
                    </w:rPr>
                    <w:t>审阅材料、抽查等方式</w:t>
                  </w:r>
                </w:p>
              </w:tc>
              <w:tc>
                <w:tcPr>
                  <w:tcW w:type="dxa" w:w="2273"/>
                  <w:tcBorders>
                    <w:top w:val="single" w:color="000000" w:sz="4"/>
                    <w:left w:val="none" w:color="000000" w:sz="4"/>
                    <w:bottom w:val="none" w:color="000000" w:sz="4"/>
                    <w:right w:val="single" w:color="000000" w:sz="4"/>
                  </w:tcBorders>
                </w:tcPr>
                <w:p>
                  <w:pPr>
                    <w:jc w:val="both"/>
                  </w:pPr>
                  <w:r>
                    <w:rPr>
                      <w:sz w:val="21"/>
                    </w:rPr>
                    <w:t>建立项目财务管理、风险管理、信息化管理机制。</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工作流程</w:t>
                  </w:r>
                </w:p>
              </w:tc>
              <w:tc>
                <w:tcPr>
                  <w:tcW w:type="dxa" w:w="699"/>
                  <w:tcBorders>
                    <w:top w:val="single" w:color="000000" w:sz="4"/>
                    <w:left w:val="none" w:color="000000" w:sz="4"/>
                    <w:bottom w:val="single" w:color="000000" w:sz="4"/>
                    <w:right w:val="single" w:color="000000" w:sz="4"/>
                  </w:tcBorders>
                </w:tcPr>
                <w:p>
                  <w:pPr>
                    <w:jc w:val="center"/>
                  </w:pPr>
                  <w:r>
                    <w:rPr>
                      <w:sz w:val="21"/>
                    </w:rPr>
                    <w:t>不少于1套</w:t>
                  </w:r>
                </w:p>
              </w:tc>
              <w:tc>
                <w:tcPr>
                  <w:tcW w:type="dxa" w:w="874"/>
                  <w:tcBorders>
                    <w:top w:val="single" w:color="000000" w:sz="4"/>
                    <w:left w:val="none" w:color="000000" w:sz="4"/>
                    <w:bottom w:val="single" w:color="000000" w:sz="4"/>
                    <w:right w:val="single" w:color="000000" w:sz="4"/>
                  </w:tcBorders>
                </w:tcPr>
                <w:p>
                  <w:pPr>
                    <w:jc w:val="center"/>
                  </w:pPr>
                  <w:r>
                    <w:rPr>
                      <w:color w:val="000000"/>
                      <w:sz w:val="21"/>
                    </w:rPr>
                    <w:t>审阅材料、抽查等方式</w:t>
                  </w:r>
                </w:p>
              </w:tc>
              <w:tc>
                <w:tcPr>
                  <w:tcW w:type="dxa" w:w="2273"/>
                  <w:tcBorders>
                    <w:top w:val="single" w:color="000000" w:sz="4"/>
                    <w:left w:val="none" w:color="000000" w:sz="4"/>
                    <w:bottom w:val="single" w:color="000000" w:sz="4"/>
                    <w:right w:val="single" w:color="000000" w:sz="4"/>
                  </w:tcBorders>
                </w:tcPr>
                <w:p>
                  <w:pPr>
                    <w:jc w:val="both"/>
                  </w:pPr>
                  <w:r>
                    <w:rPr>
                      <w:sz w:val="21"/>
                    </w:rPr>
                    <w:t>建立项目内社会工作者职责清单，督导制度以及主要工作流程。</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考核考勤</w:t>
                  </w:r>
                </w:p>
              </w:tc>
              <w:tc>
                <w:tcPr>
                  <w:tcW w:type="dxa" w:w="699"/>
                  <w:tcBorders>
                    <w:top w:val="none" w:color="000000" w:sz="4"/>
                    <w:left w:val="none" w:color="000000" w:sz="4"/>
                    <w:bottom w:val="single" w:color="000000" w:sz="4"/>
                    <w:right w:val="single" w:color="000000" w:sz="4"/>
                  </w:tcBorders>
                </w:tcPr>
                <w:p>
                  <w:pPr>
                    <w:jc w:val="center"/>
                  </w:pPr>
                  <w:r>
                    <w:rPr>
                      <w:sz w:val="21"/>
                    </w:rPr>
                    <w:t>不少于1套</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审阅材料、抽查等方式</w:t>
                  </w:r>
                </w:p>
              </w:tc>
              <w:tc>
                <w:tcPr>
                  <w:tcW w:type="dxa" w:w="2273"/>
                  <w:tcBorders>
                    <w:top w:val="none" w:color="000000" w:sz="4"/>
                    <w:left w:val="none" w:color="000000" w:sz="4"/>
                    <w:bottom w:val="single" w:color="000000" w:sz="4"/>
                    <w:right w:val="single" w:color="000000" w:sz="4"/>
                  </w:tcBorders>
                </w:tcPr>
                <w:p>
                  <w:pPr>
                    <w:jc w:val="both"/>
                  </w:pPr>
                  <w:r>
                    <w:rPr>
                      <w:sz w:val="21"/>
                    </w:rPr>
                    <w:t>建立日常考勤制度，日常考核、绩效考核方案。</w:t>
                  </w:r>
                </w:p>
              </w:tc>
            </w:tr>
            <w:tr>
              <w:tc>
                <w:tcPr>
                  <w:tcW w:type="dxa" w:w="525"/>
                  <w:vMerge w:val="restart"/>
                  <w:tcBorders>
                    <w:top w:val="none" w:color="000000" w:sz="4"/>
                    <w:left w:val="single" w:color="000000" w:sz="4"/>
                    <w:bottom w:val="single" w:color="000000" w:sz="4"/>
                    <w:right w:val="single" w:color="000000" w:sz="4"/>
                  </w:tcBorders>
                </w:tcPr>
                <w:p>
                  <w:pPr>
                    <w:jc w:val="center"/>
                  </w:pPr>
                  <w:r>
                    <w:rPr>
                      <w:color w:val="000000"/>
                      <w:sz w:val="21"/>
                    </w:rPr>
                    <w:t>（二）</w:t>
                  </w:r>
                </w:p>
              </w:tc>
              <w:tc>
                <w:tcPr>
                  <w:tcW w:type="dxa" w:w="408"/>
                  <w:vMerge w:val="restart"/>
                  <w:tcBorders>
                    <w:top w:val="none" w:color="000000" w:sz="4"/>
                    <w:left w:val="none" w:color="000000" w:sz="4"/>
                    <w:bottom w:val="single" w:color="000000" w:sz="4"/>
                    <w:right w:val="single" w:color="000000" w:sz="4"/>
                  </w:tcBorders>
                </w:tcPr>
                <w:p>
                  <w:pPr>
                    <w:jc w:val="center"/>
                  </w:pPr>
                  <w:r>
                    <w:rPr>
                      <w:color w:val="000000"/>
                      <w:sz w:val="21"/>
                    </w:rPr>
                    <w:t>接触服务对象</w:t>
                  </w:r>
                </w:p>
              </w:tc>
              <w:tc>
                <w:tcPr>
                  <w:tcW w:type="dxa" w:w="408"/>
                  <w:vMerge w:val="restart"/>
                  <w:tcBorders>
                    <w:top w:val="none" w:color="000000" w:sz="4"/>
                    <w:left w:val="none" w:color="000000" w:sz="4"/>
                    <w:bottom w:val="single" w:color="000000" w:sz="4"/>
                    <w:right w:val="single" w:color="000000" w:sz="4"/>
                  </w:tcBorders>
                </w:tcPr>
                <w:p>
                  <w:pPr>
                    <w:jc w:val="center"/>
                  </w:pPr>
                  <w:r>
                    <w:rPr>
                      <w:color w:val="000000"/>
                      <w:sz w:val="21"/>
                    </w:rPr>
                    <w:t>在册吸毒人员</w:t>
                  </w:r>
                </w:p>
              </w:tc>
              <w:tc>
                <w:tcPr>
                  <w:tcW w:type="dxa" w:w="408"/>
                  <w:tcBorders>
                    <w:top w:val="none" w:color="000000" w:sz="4"/>
                    <w:left w:val="none" w:color="000000" w:sz="4"/>
                    <w:bottom w:val="single" w:color="000000" w:sz="4"/>
                    <w:right w:val="single" w:color="000000" w:sz="4"/>
                  </w:tcBorders>
                </w:tcPr>
                <w:p>
                  <w:pPr>
                    <w:jc w:val="center"/>
                  </w:pPr>
                  <w:r>
                    <w:rPr>
                      <w:color w:val="000000"/>
                      <w:sz w:val="21"/>
                    </w:rPr>
                    <w:t>核查率</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对本地户籍在册吸毒人员和外市户籍在册吸毒人员开展</w:t>
                  </w:r>
                  <w:r>
                    <w:rPr>
                      <w:sz w:val="21"/>
                    </w:rPr>
                    <w:t>排查登记，采集基本信息，做到底数清、情况明、信息准。</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tcBorders>
                    <w:top w:val="none" w:color="000000" w:sz="4"/>
                    <w:left w:val="none" w:color="000000" w:sz="4"/>
                    <w:bottom w:val="single" w:color="000000" w:sz="4"/>
                    <w:right w:val="single" w:color="000000" w:sz="4"/>
                  </w:tcBorders>
                </w:tcPr>
                <w:p>
                  <w:pPr>
                    <w:jc w:val="center"/>
                  </w:pPr>
                  <w:r>
                    <w:rPr>
                      <w:color w:val="000000"/>
                      <w:sz w:val="21"/>
                    </w:rPr>
                    <w:t>建档率</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了解登记吸毒人员现实表现情况，按照分级分类管控要求对吸毒人员建立“一人一档”，做到档案规范完整。</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tcBorders>
                    <w:top w:val="none" w:color="000000" w:sz="4"/>
                    <w:left w:val="none" w:color="000000" w:sz="4"/>
                    <w:bottom w:val="single" w:color="000000" w:sz="4"/>
                    <w:right w:val="single" w:color="000000" w:sz="4"/>
                  </w:tcBorders>
                </w:tcPr>
                <w:p>
                  <w:pPr>
                    <w:jc w:val="center"/>
                  </w:pPr>
                  <w:r>
                    <w:rPr>
                      <w:color w:val="000000"/>
                      <w:sz w:val="21"/>
                    </w:rPr>
                    <w:t>档案跟进</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对已建档的吸毒人员采取分级分类管理机制，制定相对应的服务计划，了解其情况，按照管控工作要求定期进行评估，服务跟踪、协助吸毒检测、开展联系见面谈话家访等工作，落实三个关系修复以及其他帮扶救助措施，</w:t>
                  </w:r>
                  <w:r>
                    <w:rPr>
                      <w:sz w:val="21"/>
                    </w:rPr>
                    <w:t>并记录归档。</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vMerge w:val="restart"/>
                  <w:tcBorders>
                    <w:top w:val="none" w:color="000000" w:sz="4"/>
                    <w:left w:val="none" w:color="000000" w:sz="4"/>
                    <w:bottom w:val="single" w:color="000000" w:sz="4"/>
                    <w:right w:val="single" w:color="000000" w:sz="4"/>
                  </w:tcBorders>
                </w:tcPr>
                <w:p>
                  <w:pPr>
                    <w:jc w:val="center"/>
                  </w:pPr>
                  <w:r>
                    <w:rPr>
                      <w:color w:val="000000"/>
                      <w:sz w:val="21"/>
                    </w:rPr>
                    <w:t>在册吸毒人员</w:t>
                  </w:r>
                </w:p>
              </w:tc>
              <w:tc>
                <w:tcPr>
                  <w:tcW w:type="dxa" w:w="408"/>
                  <w:tcBorders>
                    <w:top w:val="none" w:color="000000" w:sz="4"/>
                    <w:left w:val="none" w:color="000000" w:sz="4"/>
                    <w:bottom w:val="single" w:color="000000" w:sz="4"/>
                    <w:right w:val="single" w:color="000000" w:sz="4"/>
                  </w:tcBorders>
                </w:tcPr>
                <w:p>
                  <w:pPr>
                    <w:jc w:val="center"/>
                  </w:pPr>
                  <w:r>
                    <w:rPr>
                      <w:color w:val="000000"/>
                      <w:sz w:val="21"/>
                    </w:rPr>
                    <w:t>吸毒检测</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审阅材料、系统统计等方式</w:t>
                  </w:r>
                </w:p>
              </w:tc>
              <w:tc>
                <w:tcPr>
                  <w:tcW w:type="dxa" w:w="2273"/>
                  <w:tcBorders>
                    <w:top w:val="none" w:color="000000" w:sz="4"/>
                    <w:left w:val="none" w:color="000000" w:sz="4"/>
                    <w:bottom w:val="single" w:color="000000" w:sz="4"/>
                    <w:right w:val="single" w:color="000000" w:sz="4"/>
                  </w:tcBorders>
                </w:tcPr>
                <w:p>
                  <w:pPr>
                    <w:jc w:val="both"/>
                  </w:pPr>
                  <w:r>
                    <w:rPr>
                      <w:sz w:val="21"/>
                    </w:rPr>
                    <w:t>协助完成吸毒人员和重点行业从业人员的吸毒检测工作。</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tcBorders>
                    <w:top w:val="none" w:color="000000" w:sz="4"/>
                    <w:left w:val="none" w:color="000000" w:sz="4"/>
                    <w:bottom w:val="single" w:color="000000" w:sz="4"/>
                    <w:right w:val="single" w:color="000000" w:sz="4"/>
                  </w:tcBorders>
                </w:tcPr>
                <w:p>
                  <w:pPr>
                    <w:jc w:val="center"/>
                  </w:pPr>
                  <w:r>
                    <w:rPr>
                      <w:color w:val="000000"/>
                      <w:sz w:val="21"/>
                    </w:rPr>
                    <w:t>帮教谈话</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审阅材料、面谈观察、抽查、系统统计等方式</w:t>
                  </w:r>
                </w:p>
              </w:tc>
              <w:tc>
                <w:tcPr>
                  <w:tcW w:type="dxa" w:w="2273"/>
                  <w:tcBorders>
                    <w:top w:val="none" w:color="000000" w:sz="4"/>
                    <w:left w:val="none" w:color="000000" w:sz="4"/>
                    <w:bottom w:val="single" w:color="000000" w:sz="4"/>
                    <w:right w:val="single" w:color="000000" w:sz="4"/>
                  </w:tcBorders>
                  <w:vAlign w:val="top"/>
                </w:tcPr>
                <w:p>
                  <w:pPr>
                    <w:jc w:val="both"/>
                  </w:pPr>
                  <w:r>
                    <w:rPr>
                      <w:sz w:val="21"/>
                    </w:rPr>
                    <w:t>按照</w:t>
                  </w:r>
                  <w:r>
                    <w:rPr>
                      <w:color w:val="000000"/>
                      <w:sz w:val="21"/>
                    </w:rPr>
                    <w:t>相关工作相关要求</w:t>
                  </w:r>
                  <w:r>
                    <w:rPr>
                      <w:sz w:val="21"/>
                    </w:rPr>
                    <w:t>的跟进频次，以面访、走访、电访、家访等形式，开展以增强支持性系统，恢复正常社会功能为目的的帮教谈话，并记录归档。</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tcBorders>
                    <w:top w:val="none" w:color="000000" w:sz="4"/>
                    <w:left w:val="none" w:color="000000" w:sz="4"/>
                    <w:bottom w:val="single" w:color="000000" w:sz="4"/>
                    <w:right w:val="single" w:color="000000" w:sz="4"/>
                  </w:tcBorders>
                </w:tcPr>
                <w:p>
                  <w:pPr>
                    <w:jc w:val="center"/>
                  </w:pPr>
                  <w:r>
                    <w:rPr>
                      <w:sz w:val="21"/>
                    </w:rPr>
                    <w:t>风险评估</w:t>
                  </w:r>
                </w:p>
              </w:tc>
              <w:tc>
                <w:tcPr>
                  <w:tcW w:type="dxa" w:w="699"/>
                  <w:tcBorders>
                    <w:top w:val="none" w:color="000000" w:sz="4"/>
                    <w:left w:val="none" w:color="000000" w:sz="4"/>
                    <w:bottom w:val="single" w:color="000000" w:sz="4"/>
                    <w:right w:val="single" w:color="000000" w:sz="4"/>
                  </w:tcBorders>
                </w:tcPr>
                <w:p>
                  <w:pPr>
                    <w:jc w:val="center"/>
                  </w:pPr>
                  <w:r>
                    <w:rPr>
                      <w:sz w:val="21"/>
                    </w:rPr>
                    <w:t>100%</w:t>
                  </w:r>
                </w:p>
              </w:tc>
              <w:tc>
                <w:tcPr>
                  <w:tcW w:type="dxa" w:w="874"/>
                  <w:tcBorders>
                    <w:top w:val="none" w:color="000000" w:sz="4"/>
                    <w:left w:val="none" w:color="000000" w:sz="4"/>
                    <w:bottom w:val="single" w:color="000000" w:sz="4"/>
                    <w:right w:val="single" w:color="000000" w:sz="4"/>
                  </w:tcBorders>
                </w:tcPr>
                <w:p>
                  <w:pPr>
                    <w:jc w:val="both"/>
                  </w:pPr>
                  <w:r>
                    <w:rPr>
                      <w:sz w:val="21"/>
                    </w:rPr>
                    <w:t>审阅材料、面谈观察、抽查、系统统计等方式</w:t>
                  </w:r>
                </w:p>
              </w:tc>
              <w:tc>
                <w:tcPr>
                  <w:tcW w:type="dxa" w:w="2273"/>
                  <w:tcBorders>
                    <w:top w:val="none" w:color="000000" w:sz="4"/>
                    <w:left w:val="none" w:color="000000" w:sz="4"/>
                    <w:bottom w:val="single" w:color="000000" w:sz="4"/>
                    <w:right w:val="single" w:color="000000" w:sz="4"/>
                  </w:tcBorders>
                  <w:vAlign w:val="top"/>
                </w:tcPr>
                <w:p>
                  <w:pPr>
                    <w:jc w:val="both"/>
                  </w:pPr>
                  <w:r>
                    <w:rPr>
                      <w:sz w:val="21"/>
                    </w:rPr>
                    <w:t>按照相关工作要求的跟进频次，根据吸毒人员生理、心理、社会表现，结合其染毒情况、行为特征、处置状态、社会危害性等，作出风险评估。</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vMerge w:val="restart"/>
                  <w:tcBorders>
                    <w:top w:val="none" w:color="000000" w:sz="4"/>
                    <w:left w:val="none" w:color="000000" w:sz="4"/>
                    <w:bottom w:val="single" w:color="000000" w:sz="4"/>
                    <w:right w:val="single" w:color="000000" w:sz="4"/>
                  </w:tcBorders>
                </w:tcPr>
                <w:p>
                  <w:pPr>
                    <w:jc w:val="center"/>
                  </w:pPr>
                  <w:r>
                    <w:rPr>
                      <w:color w:val="000000"/>
                      <w:sz w:val="21"/>
                    </w:rPr>
                    <w:t>服用美沙酮人员</w:t>
                  </w:r>
                </w:p>
              </w:tc>
              <w:tc>
                <w:tcPr>
                  <w:tcW w:type="dxa" w:w="408"/>
                  <w:tcBorders>
                    <w:top w:val="none" w:color="000000" w:sz="4"/>
                    <w:left w:val="none" w:color="000000" w:sz="4"/>
                    <w:bottom w:val="single" w:color="000000" w:sz="4"/>
                    <w:right w:val="single" w:color="000000" w:sz="4"/>
                  </w:tcBorders>
                </w:tcPr>
                <w:p>
                  <w:pPr>
                    <w:jc w:val="center"/>
                  </w:pPr>
                  <w:r>
                    <w:rPr>
                      <w:color w:val="000000"/>
                      <w:sz w:val="21"/>
                    </w:rPr>
                    <w:t>接触率</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通过美沙酮门诊等方式接触联系正在服用美沙酮药物维持治疗人员，了解现实表现情况。</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tcBorders>
                    <w:top w:val="none" w:color="000000" w:sz="4"/>
                    <w:left w:val="none" w:color="000000" w:sz="4"/>
                    <w:bottom w:val="single" w:color="000000" w:sz="4"/>
                    <w:right w:val="single" w:color="000000" w:sz="4"/>
                  </w:tcBorders>
                </w:tcPr>
                <w:p>
                  <w:pPr>
                    <w:jc w:val="center"/>
                  </w:pPr>
                  <w:r>
                    <w:rPr>
                      <w:color w:val="000000"/>
                      <w:sz w:val="21"/>
                    </w:rPr>
                    <w:t>建档率</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通过民警、居委、家访等方式，了解其现实表现情况，建立相应档案，服用美沙酮的情况。</w:t>
                  </w:r>
                </w:p>
              </w:tc>
            </w:tr>
            <w:tr>
              <w:tc>
                <w:tcPr>
                  <w:tcW w:type="dxa" w:w="525"/>
                  <w:vMerge w:val="restart"/>
                  <w:tcBorders>
                    <w:top w:val="none" w:color="000000" w:sz="4"/>
                    <w:left w:val="single" w:color="000000" w:sz="4"/>
                    <w:bottom w:val="single" w:color="000000" w:sz="4"/>
                    <w:right w:val="single" w:color="000000" w:sz="4"/>
                  </w:tcBorders>
                </w:tcPr>
                <w:p>
                  <w:pPr>
                    <w:jc w:val="center"/>
                  </w:pPr>
                  <w:r>
                    <w:rPr>
                      <w:color w:val="000000"/>
                      <w:sz w:val="21"/>
                    </w:rPr>
                    <w:t>（三）</w:t>
                  </w:r>
                </w:p>
              </w:tc>
              <w:tc>
                <w:tcPr>
                  <w:tcW w:type="dxa" w:w="408"/>
                  <w:vMerge w:val="restart"/>
                  <w:tcBorders>
                    <w:top w:val="none" w:color="000000" w:sz="4"/>
                    <w:left w:val="none" w:color="000000" w:sz="4"/>
                    <w:bottom w:val="single" w:color="000000" w:sz="4"/>
                    <w:right w:val="single" w:color="000000" w:sz="4"/>
                  </w:tcBorders>
                </w:tcPr>
                <w:p>
                  <w:pPr>
                    <w:jc w:val="center"/>
                  </w:pPr>
                  <w:r>
                    <w:rPr>
                      <w:color w:val="000000"/>
                      <w:sz w:val="21"/>
                    </w:rPr>
                    <w:t>出所衔接</w:t>
                  </w:r>
                </w:p>
              </w:tc>
              <w:tc>
                <w:tcPr>
                  <w:tcW w:type="dxa" w:w="408"/>
                  <w:tcBorders>
                    <w:top w:val="none" w:color="000000" w:sz="4"/>
                    <w:left w:val="none" w:color="000000" w:sz="4"/>
                    <w:bottom w:val="single" w:color="000000" w:sz="4"/>
                    <w:right w:val="single" w:color="000000" w:sz="4"/>
                  </w:tcBorders>
                </w:tcPr>
                <w:p>
                  <w:pPr>
                    <w:jc w:val="center"/>
                  </w:pPr>
                  <w:r>
                    <w:rPr>
                      <w:color w:val="000000"/>
                      <w:sz w:val="21"/>
                    </w:rPr>
                    <w:t>提前介入</w:t>
                  </w:r>
                </w:p>
              </w:tc>
              <w:tc>
                <w:tcPr>
                  <w:tcW w:type="dxa" w:w="408"/>
                  <w:tcBorders>
                    <w:top w:val="none" w:color="000000" w:sz="4"/>
                    <w:left w:val="none" w:color="000000" w:sz="4"/>
                    <w:bottom w:val="single" w:color="000000" w:sz="4"/>
                    <w:right w:val="single" w:color="000000" w:sz="4"/>
                  </w:tcBorders>
                </w:tcPr>
                <w:p>
                  <w:pPr>
                    <w:jc w:val="center"/>
                  </w:pPr>
                  <w:r>
                    <w:rPr>
                      <w:color w:val="000000"/>
                      <w:sz w:val="21"/>
                    </w:rPr>
                    <w:t>衔接率</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通过进入拘留所对户籍吸毒人员提前进行接触，协助人员及其家属做好出所前的心理、资讯等准备，并初步建立信任关系。</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tcBorders>
                    <w:top w:val="none" w:color="000000" w:sz="4"/>
                    <w:left w:val="none" w:color="000000" w:sz="4"/>
                    <w:bottom w:val="single" w:color="000000" w:sz="4"/>
                    <w:right w:val="single" w:color="000000" w:sz="4"/>
                  </w:tcBorders>
                </w:tcPr>
                <w:p>
                  <w:pPr>
                    <w:jc w:val="center"/>
                  </w:pPr>
                  <w:r>
                    <w:rPr>
                      <w:color w:val="000000"/>
                      <w:sz w:val="21"/>
                    </w:rPr>
                    <w:t>出所衔接</w:t>
                  </w:r>
                </w:p>
              </w:tc>
              <w:tc>
                <w:tcPr>
                  <w:tcW w:type="dxa" w:w="408"/>
                  <w:tcBorders>
                    <w:top w:val="none" w:color="000000" w:sz="4"/>
                    <w:left w:val="none" w:color="000000" w:sz="4"/>
                    <w:bottom w:val="single" w:color="000000" w:sz="4"/>
                    <w:right w:val="single" w:color="000000" w:sz="4"/>
                  </w:tcBorders>
                </w:tcPr>
                <w:p>
                  <w:pPr>
                    <w:jc w:val="center"/>
                  </w:pPr>
                  <w:r>
                    <w:rPr>
                      <w:color w:val="000000"/>
                      <w:sz w:val="21"/>
                    </w:rPr>
                    <w:t>衔接率</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戒毒人员出所（戒毒所、拘留所）当天，送至街镇服务站点后，会同街镇、派出所、家属等完成交接手续，实现戒毒人员出所无缝对接，并在24小时内开展第一次面谈工作，初步建立专业关系。</w:t>
                  </w:r>
                </w:p>
              </w:tc>
            </w:tr>
            <w:tr>
              <w:tc>
                <w:tcPr>
                  <w:tcW w:type="dxa" w:w="525"/>
                  <w:tcBorders>
                    <w:top w:val="none" w:color="000000" w:sz="4"/>
                    <w:left w:val="single" w:color="000000" w:sz="4"/>
                    <w:bottom w:val="single" w:color="000000" w:sz="4"/>
                    <w:right w:val="single" w:color="000000" w:sz="4"/>
                  </w:tcBorders>
                </w:tcPr>
                <w:p>
                  <w:pPr>
                    <w:jc w:val="center"/>
                  </w:pPr>
                  <w:r>
                    <w:rPr>
                      <w:color w:val="000000"/>
                      <w:sz w:val="21"/>
                    </w:rPr>
                    <w:t>（四）</w:t>
                  </w:r>
                </w:p>
              </w:tc>
              <w:tc>
                <w:tcPr>
                  <w:tcW w:type="dxa" w:w="1224"/>
                  <w:gridSpan w:val="3"/>
                  <w:tcBorders>
                    <w:top w:val="none" w:color="000000" w:sz="4"/>
                    <w:left w:val="none" w:color="000000" w:sz="4"/>
                    <w:bottom w:val="single" w:color="000000" w:sz="4"/>
                    <w:right w:val="single" w:color="000000" w:sz="4"/>
                  </w:tcBorders>
                </w:tcPr>
                <w:p>
                  <w:pPr>
                    <w:jc w:val="center"/>
                  </w:pPr>
                  <w:r>
                    <w:rPr>
                      <w:color w:val="000000"/>
                      <w:sz w:val="21"/>
                    </w:rPr>
                    <w:t>调研</w:t>
                  </w:r>
                </w:p>
              </w:tc>
              <w:tc>
                <w:tcPr>
                  <w:tcW w:type="dxa" w:w="699"/>
                  <w:tcBorders>
                    <w:top w:val="none" w:color="000000" w:sz="4"/>
                    <w:left w:val="none" w:color="000000" w:sz="4"/>
                    <w:bottom w:val="single" w:color="000000" w:sz="4"/>
                    <w:right w:val="single" w:color="000000" w:sz="4"/>
                  </w:tcBorders>
                </w:tcPr>
                <w:p>
                  <w:pPr>
                    <w:jc w:val="center"/>
                  </w:pPr>
                  <w:r>
                    <w:rPr>
                      <w:color w:val="FF0000"/>
                      <w:sz w:val="21"/>
                    </w:rPr>
                    <w:t>1</w:t>
                  </w:r>
                  <w:r>
                    <w:rPr>
                      <w:color w:val="000000"/>
                      <w:sz w:val="21"/>
                    </w:rPr>
                    <w:t>份/年</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合同签订2个月内，对在册吸毒人员的现状和面临问题及需求进行调研，提出相应帮扶服务建议，形成调研报告。</w:t>
                  </w:r>
                </w:p>
                <w:p>
                  <w:pPr>
                    <w:jc w:val="both"/>
                  </w:pPr>
                  <w:r>
                    <w:rPr>
                      <w:color w:val="000000"/>
                      <w:sz w:val="21"/>
                    </w:rPr>
                    <w:t>2.</w:t>
                  </w:r>
                  <w:r>
                    <w:rPr>
                      <w:color w:val="000000"/>
                      <w:sz w:val="21"/>
                    </w:rPr>
                    <w:t>项目服务过程中，针对工作存在的短板，深入分析原因，提出前瞻性解决对策，形成调研报告。</w:t>
                  </w:r>
                </w:p>
              </w:tc>
            </w:tr>
            <w:tr>
              <w:tc>
                <w:tcPr>
                  <w:tcW w:type="dxa" w:w="525"/>
                  <w:vMerge w:val="restart"/>
                  <w:tcBorders>
                    <w:top w:val="none" w:color="000000" w:sz="4"/>
                    <w:left w:val="single" w:color="000000" w:sz="4"/>
                    <w:bottom w:val="single" w:color="000000" w:sz="4"/>
                    <w:right w:val="single" w:color="000000" w:sz="4"/>
                  </w:tcBorders>
                </w:tcPr>
                <w:p>
                  <w:pPr>
                    <w:jc w:val="center"/>
                  </w:pPr>
                  <w:r>
                    <w:rPr>
                      <w:color w:val="000000"/>
                      <w:sz w:val="21"/>
                    </w:rPr>
                    <w:t>（五）</w:t>
                  </w:r>
                </w:p>
              </w:tc>
              <w:tc>
                <w:tcPr>
                  <w:tcW w:type="dxa" w:w="408"/>
                  <w:vMerge w:val="restart"/>
                  <w:tcBorders>
                    <w:top w:val="none" w:color="000000" w:sz="4"/>
                    <w:left w:val="none" w:color="000000" w:sz="4"/>
                    <w:bottom w:val="single" w:color="000000" w:sz="4"/>
                    <w:right w:val="single" w:color="000000" w:sz="4"/>
                  </w:tcBorders>
                </w:tcPr>
                <w:p>
                  <w:pPr>
                    <w:jc w:val="center"/>
                  </w:pPr>
                  <w:r>
                    <w:rPr>
                      <w:color w:val="000000"/>
                      <w:sz w:val="21"/>
                    </w:rPr>
                    <w:t>个案服务</w:t>
                  </w: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个案服务</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社区戒毒、社区康复、及高风险以上人员100%开案，共至少服务600节</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numPr>
                      <w:ilvl w:val="0"/>
                      <w:numId w:val="1"/>
                    </w:numPr>
                    <w:jc w:val="both"/>
                  </w:pPr>
                  <w:r>
                    <w:rPr>
                      <w:color w:val="000000"/>
                      <w:sz w:val="21"/>
                    </w:rPr>
                    <w:t>重点个案服务量：指社工在接触评估之后，发现服务对象存在需求服务，需要社工长期的跟进，增强其戒毒动机、拒毒能力和自我效能感，协助其能力提升、问题解决、资源链 接等服务。达到三个修复：心理关系修复、家庭关系修复、社会关系修复。</w:t>
                  </w:r>
                </w:p>
                <w:p>
                  <w:pPr>
                    <w:numPr>
                      <w:ilvl w:val="0"/>
                      <w:numId w:val="1"/>
                    </w:numPr>
                    <w:jc w:val="both"/>
                  </w:pPr>
                  <w:r>
                    <w:rPr>
                      <w:color w:val="000000"/>
                      <w:sz w:val="21"/>
                    </w:rPr>
                    <w:t>每一个个案除相关服务对象资料外，工作人员需要制定完备的个案评估、工作计划、工作记录、个案结案或转介报告。</w:t>
                  </w:r>
                </w:p>
                <w:p>
                  <w:pPr>
                    <w:numPr>
                      <w:ilvl w:val="0"/>
                      <w:numId w:val="1"/>
                    </w:numPr>
                    <w:jc w:val="both"/>
                  </w:pPr>
                  <w:r>
                    <w:rPr>
                      <w:color w:val="000000"/>
                      <w:sz w:val="21"/>
                    </w:rPr>
                    <w:t>个案结案：指服务对象达到个案计划设定目标。</w:t>
                  </w:r>
                </w:p>
                <w:p>
                  <w:pPr>
                    <w:numPr>
                      <w:ilvl w:val="0"/>
                      <w:numId w:val="1"/>
                    </w:numPr>
                    <w:jc w:val="both"/>
                  </w:pPr>
                  <w:r>
                    <w:rPr>
                      <w:color w:val="000000"/>
                      <w:sz w:val="21"/>
                    </w:rPr>
                    <w:t>每个个案服务每半年进行一次操守评估。</w:t>
                  </w:r>
                </w:p>
                <w:p>
                  <w:pPr>
                    <w:numPr>
                      <w:ilvl w:val="0"/>
                      <w:numId w:val="1"/>
                    </w:numPr>
                    <w:jc w:val="both"/>
                  </w:pPr>
                  <w:r>
                    <w:rPr>
                      <w:color w:val="000000"/>
                      <w:sz w:val="21"/>
                    </w:rPr>
                    <w:t>外市户籍吸毒人员结合实际服务需求开案。</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跟踪回访服务</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对解除责令的社区戒毒社区康复人员，在其解除责令后2年内进行定期跟踪回访，其中社区戒毒人员第一年每季度至少一次，第二年每半年至少一次，社区康复人员每半年至少一次。</w:t>
                  </w:r>
                </w:p>
                <w:p>
                  <w:pPr>
                    <w:jc w:val="both"/>
                  </w:pPr>
                  <w:r>
                    <w:rPr>
                      <w:color w:val="000000"/>
                      <w:sz w:val="21"/>
                    </w:rPr>
                    <w:t>2.</w:t>
                  </w:r>
                  <w:r>
                    <w:rPr>
                      <w:color w:val="000000"/>
                      <w:sz w:val="21"/>
                    </w:rPr>
                    <w:t>对解除责令2年以上的进行不定期回访和跟踪服务。</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吸毒人员复吸原因分析</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对复吸人员（15个工作日内）逐人进行复吸原因分析，全面复盘个案服务工作，深入查找人员复吸原因及帮扶工作存在的问题，提出下一步工作措施，形成报告报区禁毒办。</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vAlign w:val="top"/>
                </w:tcPr>
                <w:p>
                  <w:pPr>
                    <w:jc w:val="center"/>
                  </w:pPr>
                  <w:r>
                    <w:rPr>
                      <w:color w:val="000000"/>
                      <w:sz w:val="21"/>
                    </w:rPr>
                    <w:t>个案会议</w:t>
                  </w:r>
                </w:p>
              </w:tc>
              <w:tc>
                <w:tcPr>
                  <w:tcW w:type="dxa" w:w="699"/>
                  <w:tcBorders>
                    <w:top w:val="none" w:color="000000" w:sz="4"/>
                    <w:left w:val="none" w:color="000000" w:sz="4"/>
                    <w:bottom w:val="single" w:color="000000" w:sz="4"/>
                    <w:right w:val="single" w:color="000000" w:sz="4"/>
                  </w:tcBorders>
                  <w:vAlign w:val="top"/>
                </w:tcPr>
                <w:p>
                  <w:pPr>
                    <w:jc w:val="center"/>
                  </w:pPr>
                  <w:r>
                    <w:rPr>
                      <w:color w:val="000000"/>
                      <w:sz w:val="21"/>
                    </w:rPr>
                    <w:t>1</w:t>
                  </w:r>
                  <w:r>
                    <w:rPr>
                      <w:color w:val="000000"/>
                      <w:sz w:val="21"/>
                    </w:rPr>
                    <w:t>次/月</w:t>
                  </w:r>
                </w:p>
              </w:tc>
              <w:tc>
                <w:tcPr>
                  <w:tcW w:type="dxa" w:w="874"/>
                  <w:tcBorders>
                    <w:top w:val="none" w:color="000000" w:sz="4"/>
                    <w:left w:val="none" w:color="000000" w:sz="4"/>
                    <w:bottom w:val="single" w:color="000000" w:sz="4"/>
                    <w:right w:val="single" w:color="000000" w:sz="4"/>
                  </w:tcBorders>
                  <w:vAlign w:val="top"/>
                </w:tcPr>
                <w:p>
                  <w:pPr>
                    <w:jc w:val="center"/>
                  </w:pPr>
                  <w:r>
                    <w:rPr>
                      <w:color w:val="000000"/>
                      <w:sz w:val="24"/>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个案会议：所有项目工作人员须透过联席会议等形式与社区及帮扶小组成员沟通每个个案服务的开展情况和进度，以及 制定下一步的工作计划。</w:t>
                  </w:r>
                </w:p>
              </w:tc>
            </w:tr>
            <w:tr>
              <w:tc>
                <w:tcPr>
                  <w:tcW w:type="dxa" w:w="525"/>
                  <w:vMerge w:val="restart"/>
                  <w:tcBorders>
                    <w:top w:val="none" w:color="000000" w:sz="4"/>
                    <w:left w:val="single" w:color="000000" w:sz="4"/>
                    <w:bottom w:val="single" w:color="000000" w:sz="4"/>
                    <w:right w:val="single" w:color="000000" w:sz="4"/>
                  </w:tcBorders>
                </w:tcPr>
                <w:p>
                  <w:pPr>
                    <w:jc w:val="center"/>
                  </w:pPr>
                  <w:r>
                    <w:rPr>
                      <w:color w:val="000000"/>
                      <w:sz w:val="21"/>
                    </w:rPr>
                    <w:t>（六）</w:t>
                  </w:r>
                </w:p>
              </w:tc>
              <w:tc>
                <w:tcPr>
                  <w:tcW w:type="dxa" w:w="408"/>
                  <w:vMerge w:val="restart"/>
                  <w:tcBorders>
                    <w:top w:val="none" w:color="000000" w:sz="4"/>
                    <w:left w:val="none" w:color="000000" w:sz="4"/>
                    <w:bottom w:val="single" w:color="000000" w:sz="4"/>
                    <w:right w:val="single" w:color="000000" w:sz="4"/>
                  </w:tcBorders>
                </w:tcPr>
                <w:p>
                  <w:pPr>
                    <w:jc w:val="both"/>
                  </w:pPr>
                  <w:r>
                    <w:rPr>
                      <w:color w:val="000000"/>
                      <w:sz w:val="21"/>
                    </w:rPr>
                    <w:t>帮扶救助服务</w:t>
                  </w: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精准帮扶</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审阅材料、抽查等方式</w:t>
                  </w:r>
                </w:p>
              </w:tc>
              <w:tc>
                <w:tcPr>
                  <w:tcW w:type="dxa" w:w="2273"/>
                  <w:tcBorders>
                    <w:top w:val="none" w:color="000000" w:sz="4"/>
                    <w:left w:val="none" w:color="000000" w:sz="4"/>
                    <w:bottom w:val="single" w:color="000000" w:sz="4"/>
                    <w:right w:val="single" w:color="000000" w:sz="4"/>
                  </w:tcBorders>
                </w:tcPr>
                <w:p>
                  <w:pPr>
                    <w:jc w:val="both"/>
                  </w:pPr>
                  <w:r>
                    <w:rPr>
                      <w:sz w:val="21"/>
                    </w:rPr>
                    <w:t>发动有意愿的企业、社区、社会组织，对吸毒人员实施精准帮扶，</w:t>
                  </w:r>
                  <w:r>
                    <w:rPr>
                      <w:color w:val="000000"/>
                      <w:sz w:val="21"/>
                    </w:rPr>
                    <w:t>重点做好因毒致孤致困、社区戒毒社区康复、病残人员等家庭帮扶，关爱未成年人子女，</w:t>
                  </w:r>
                  <w:r>
                    <w:rPr>
                      <w:sz w:val="21"/>
                    </w:rPr>
                    <w:t>为困难吸毒人员家庭链接爱心资金和物资。</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困难救助</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both"/>
                  </w:pPr>
                  <w:r>
                    <w:rPr>
                      <w:color w:val="000000"/>
                      <w:sz w:val="21"/>
                    </w:rPr>
                    <w:t>审阅材料、面抽查等方式</w:t>
                  </w:r>
                </w:p>
              </w:tc>
              <w:tc>
                <w:tcPr>
                  <w:tcW w:type="dxa" w:w="2273"/>
                  <w:tcBorders>
                    <w:top w:val="none" w:color="000000" w:sz="4"/>
                    <w:left w:val="none" w:color="000000" w:sz="4"/>
                    <w:bottom w:val="single" w:color="000000" w:sz="4"/>
                    <w:right w:val="single" w:color="000000" w:sz="4"/>
                  </w:tcBorders>
                </w:tcPr>
                <w:p>
                  <w:pPr>
                    <w:jc w:val="both"/>
                  </w:pPr>
                  <w:r>
                    <w:rPr>
                      <w:color w:val="000000"/>
                      <w:sz w:val="21"/>
                    </w:rPr>
                    <w:t>协助有需要的吸毒人员申请最低生活保障、失业保险、医疗保险、临时救助等帮扶救助。</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职业技能培训</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不少于2场次</w:t>
                  </w:r>
                </w:p>
              </w:tc>
              <w:tc>
                <w:tcPr>
                  <w:tcW w:type="dxa" w:w="874"/>
                  <w:tcBorders>
                    <w:top w:val="none" w:color="000000" w:sz="4"/>
                    <w:left w:val="none" w:color="000000" w:sz="4"/>
                    <w:bottom w:val="single" w:color="000000" w:sz="4"/>
                    <w:right w:val="single" w:color="000000" w:sz="4"/>
                  </w:tcBorders>
                </w:tcPr>
                <w:p>
                  <w:pPr>
                    <w:jc w:val="both"/>
                  </w:pPr>
                  <w:r>
                    <w:rPr>
                      <w:color w:val="000000"/>
                      <w:sz w:val="21"/>
                    </w:rPr>
                    <w:t>审阅材料、面抽查等方式</w:t>
                  </w:r>
                </w:p>
              </w:tc>
              <w:tc>
                <w:tcPr>
                  <w:tcW w:type="dxa" w:w="2273"/>
                  <w:tcBorders>
                    <w:top w:val="none" w:color="000000" w:sz="4"/>
                    <w:left w:val="none" w:color="000000" w:sz="4"/>
                    <w:bottom w:val="single" w:color="000000" w:sz="4"/>
                    <w:right w:val="single" w:color="000000" w:sz="4"/>
                  </w:tcBorders>
                </w:tcPr>
                <w:p>
                  <w:pPr>
                    <w:jc w:val="both"/>
                  </w:pPr>
                  <w:r>
                    <w:rPr>
                      <w:color w:val="000000"/>
                      <w:sz w:val="21"/>
                    </w:rPr>
                    <w:t>开展戒毒人员职业技能培训课程或技能培训不少于2场次。</w:t>
                  </w:r>
                </w:p>
                <w:p>
                  <w:pPr>
                    <w:jc w:val="both"/>
                  </w:pPr>
                </w:p>
              </w:tc>
            </w:tr>
            <w:tr>
              <w:tc>
                <w:tcPr>
                  <w:tcW w:type="dxa" w:w="525"/>
                  <w:vMerge w:val="restart"/>
                  <w:tcBorders>
                    <w:top w:val="none" w:color="000000" w:sz="4"/>
                    <w:left w:val="single" w:color="000000" w:sz="4"/>
                    <w:bottom w:val="single" w:color="000000" w:sz="4"/>
                    <w:right w:val="single" w:color="000000" w:sz="4"/>
                  </w:tcBorders>
                </w:tcPr>
                <w:p>
                  <w:pPr>
                    <w:jc w:val="center"/>
                  </w:pPr>
                  <w:r>
                    <w:rPr>
                      <w:color w:val="000000"/>
                      <w:sz w:val="21"/>
                    </w:rPr>
                    <w:t>（七）</w:t>
                  </w:r>
                </w:p>
              </w:tc>
              <w:tc>
                <w:tcPr>
                  <w:tcW w:type="dxa" w:w="408"/>
                  <w:vMerge w:val="restart"/>
                  <w:tcBorders>
                    <w:top w:val="none" w:color="000000" w:sz="4"/>
                    <w:left w:val="none" w:color="000000" w:sz="4"/>
                    <w:bottom w:val="single" w:color="000000" w:sz="4"/>
                    <w:right w:val="single" w:color="000000" w:sz="4"/>
                  </w:tcBorders>
                </w:tcPr>
                <w:p>
                  <w:pPr>
                    <w:jc w:val="center"/>
                  </w:pPr>
                  <w:r>
                    <w:rPr>
                      <w:color w:val="000000"/>
                      <w:sz w:val="21"/>
                    </w:rPr>
                    <w:t>禁毒宣传教育</w:t>
                  </w:r>
                </w:p>
              </w:tc>
              <w:tc>
                <w:tcPr>
                  <w:tcW w:type="dxa" w:w="408"/>
                  <w:vMerge w:val="restart"/>
                  <w:tcBorders>
                    <w:top w:val="none" w:color="000000" w:sz="4"/>
                    <w:left w:val="none" w:color="000000" w:sz="4"/>
                    <w:bottom w:val="single" w:color="000000" w:sz="4"/>
                    <w:right w:val="single" w:color="000000" w:sz="4"/>
                  </w:tcBorders>
                </w:tcPr>
                <w:p>
                  <w:pPr>
                    <w:jc w:val="center"/>
                  </w:pPr>
                  <w:r>
                    <w:rPr>
                      <w:color w:val="000000"/>
                      <w:sz w:val="21"/>
                    </w:rPr>
                    <w:t>社区宣传教育服务</w:t>
                  </w:r>
                </w:p>
              </w:tc>
              <w:tc>
                <w:tcPr>
                  <w:tcW w:type="dxa" w:w="408"/>
                  <w:tcBorders>
                    <w:top w:val="none" w:color="000000" w:sz="4"/>
                    <w:left w:val="none" w:color="000000" w:sz="4"/>
                    <w:bottom w:val="single" w:color="000000" w:sz="4"/>
                    <w:right w:val="single" w:color="000000" w:sz="4"/>
                  </w:tcBorders>
                </w:tcPr>
                <w:p>
                  <w:pPr>
                    <w:jc w:val="center"/>
                  </w:pPr>
                  <w:r>
                    <w:rPr>
                      <w:color w:val="000000"/>
                      <w:sz w:val="21"/>
                    </w:rPr>
                    <w:t>线下、线上宣传</w:t>
                  </w:r>
                </w:p>
              </w:tc>
              <w:tc>
                <w:tcPr>
                  <w:tcW w:type="dxa" w:w="699"/>
                  <w:tcBorders>
                    <w:top w:val="none" w:color="000000" w:sz="4"/>
                    <w:left w:val="none" w:color="000000" w:sz="4"/>
                    <w:bottom w:val="single" w:color="000000" w:sz="4"/>
                    <w:right w:val="single" w:color="000000" w:sz="4"/>
                  </w:tcBorders>
                </w:tcPr>
                <w:p>
                  <w:pPr>
                    <w:jc w:val="center"/>
                  </w:pPr>
                  <w:r>
                    <w:rPr>
                      <w:sz w:val="21"/>
                    </w:rPr>
                    <w:t>不少于12场次</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tcPr>
                <w:p>
                  <w:pPr>
                    <w:jc w:val="both"/>
                  </w:pPr>
                  <w:r>
                    <w:rPr>
                      <w:color w:val="000000"/>
                      <w:sz w:val="21"/>
                    </w:rPr>
                    <w:t>全年开展不少于12场次线上线下社区禁毒宣教育服务，每场参与人数不少于100人。每场活动制定完备的活动方案、活动总结、新闻稿等内容。</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tcBorders>
                    <w:top w:val="none" w:color="000000" w:sz="4"/>
                    <w:left w:val="none" w:color="000000" w:sz="4"/>
                    <w:bottom w:val="single" w:color="000000" w:sz="4"/>
                    <w:right w:val="single" w:color="000000" w:sz="4"/>
                  </w:tcBorders>
                </w:tcPr>
                <w:p>
                  <w:pPr>
                    <w:jc w:val="center"/>
                  </w:pPr>
                  <w:r>
                    <w:rPr>
                      <w:color w:val="000000"/>
                      <w:sz w:val="21"/>
                    </w:rPr>
                    <w:t>宣传品制作</w:t>
                  </w:r>
                </w:p>
              </w:tc>
              <w:tc>
                <w:tcPr>
                  <w:tcW w:type="dxa" w:w="699"/>
                  <w:tcBorders>
                    <w:top w:val="none" w:color="000000" w:sz="4"/>
                    <w:left w:val="none" w:color="000000" w:sz="4"/>
                    <w:bottom w:val="single" w:color="000000" w:sz="4"/>
                    <w:right w:val="single" w:color="000000" w:sz="4"/>
                  </w:tcBorders>
                </w:tcPr>
                <w:p>
                  <w:pPr>
                    <w:jc w:val="center"/>
                  </w:pPr>
                  <w:r>
                    <w:rPr>
                      <w:sz w:val="21"/>
                    </w:rPr>
                    <w:t>不少于3种，5000份</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tcPr>
                <w:p>
                  <w:pPr>
                    <w:jc w:val="both"/>
                  </w:pPr>
                  <w:r>
                    <w:rPr>
                      <w:color w:val="000000"/>
                      <w:sz w:val="21"/>
                    </w:rPr>
                    <w:t>根据服务内容、方式，制作有针对性的禁毒宣传单张、海报、小册子、杂事刊物等。</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vMerge w:val="restart"/>
                  <w:tcBorders>
                    <w:top w:val="none" w:color="000000" w:sz="4"/>
                    <w:left w:val="none" w:color="000000" w:sz="4"/>
                    <w:bottom w:val="single" w:color="000000" w:sz="4"/>
                    <w:right w:val="single" w:color="000000" w:sz="4"/>
                  </w:tcBorders>
                </w:tcPr>
                <w:p>
                  <w:pPr>
                    <w:jc w:val="center"/>
                  </w:pPr>
                  <w:r>
                    <w:rPr>
                      <w:color w:val="000000"/>
                      <w:sz w:val="21"/>
                    </w:rPr>
                    <w:t>媒体宣传服务</w:t>
                  </w:r>
                </w:p>
              </w:tc>
              <w:tc>
                <w:tcPr>
                  <w:tcW w:type="dxa" w:w="408"/>
                  <w:tcBorders>
                    <w:top w:val="none" w:color="000000" w:sz="4"/>
                    <w:left w:val="none" w:color="000000" w:sz="4"/>
                    <w:bottom w:val="single" w:color="000000" w:sz="4"/>
                    <w:right w:val="single" w:color="000000" w:sz="4"/>
                  </w:tcBorders>
                </w:tcPr>
                <w:p>
                  <w:pPr>
                    <w:jc w:val="center"/>
                  </w:pPr>
                  <w:r>
                    <w:rPr>
                      <w:color w:val="000000"/>
                      <w:sz w:val="21"/>
                    </w:rPr>
                    <w:t>宣传片条数</w:t>
                  </w:r>
                </w:p>
              </w:tc>
              <w:tc>
                <w:tcPr>
                  <w:tcW w:type="dxa" w:w="699"/>
                  <w:tcBorders>
                    <w:top w:val="none" w:color="000000" w:sz="4"/>
                    <w:left w:val="none" w:color="000000" w:sz="4"/>
                    <w:bottom w:val="single" w:color="000000" w:sz="4"/>
                    <w:right w:val="single" w:color="000000" w:sz="4"/>
                  </w:tcBorders>
                </w:tcPr>
                <w:p>
                  <w:pPr>
                    <w:jc w:val="center"/>
                  </w:pPr>
                  <w:r>
                    <w:rPr>
                      <w:sz w:val="21"/>
                    </w:rPr>
                    <w:t>2</w:t>
                  </w:r>
                  <w:r>
                    <w:rPr>
                      <w:sz w:val="21"/>
                    </w:rPr>
                    <w:t>条/年</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tcPr>
                <w:p>
                  <w:pPr>
                    <w:jc w:val="both"/>
                  </w:pPr>
                  <w:r>
                    <w:rPr>
                      <w:color w:val="000000"/>
                      <w:sz w:val="21"/>
                    </w:rPr>
                    <w:t>制作禁毒主题短视频、微动漫等新媒体作品。</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408"/>
                  <w:tcBorders>
                    <w:top w:val="none" w:color="000000" w:sz="4"/>
                    <w:left w:val="none" w:color="000000" w:sz="4"/>
                    <w:bottom w:val="single" w:color="000000" w:sz="4"/>
                    <w:right w:val="single" w:color="000000" w:sz="4"/>
                  </w:tcBorders>
                </w:tcPr>
                <w:p>
                  <w:pPr>
                    <w:jc w:val="center"/>
                  </w:pPr>
                  <w:r>
                    <w:rPr>
                      <w:color w:val="000000"/>
                      <w:sz w:val="21"/>
                    </w:rPr>
                    <w:t>媒体报道数</w:t>
                  </w:r>
                </w:p>
              </w:tc>
              <w:tc>
                <w:tcPr>
                  <w:tcW w:type="dxa" w:w="699"/>
                  <w:tcBorders>
                    <w:top w:val="none" w:color="000000" w:sz="4"/>
                    <w:left w:val="none" w:color="000000" w:sz="4"/>
                    <w:bottom w:val="single" w:color="000000" w:sz="4"/>
                    <w:right w:val="single" w:color="000000" w:sz="4"/>
                  </w:tcBorders>
                </w:tcPr>
                <w:p>
                  <w:pPr>
                    <w:jc w:val="center"/>
                  </w:pPr>
                  <w:r>
                    <w:rPr>
                      <w:sz w:val="21"/>
                    </w:rPr>
                    <w:t>不少于10次</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tcPr>
                <w:p>
                  <w:pPr>
                    <w:jc w:val="both"/>
                  </w:pPr>
                  <w:r>
                    <w:rPr>
                      <w:color w:val="000000"/>
                      <w:sz w:val="21"/>
                    </w:rPr>
                    <w:t>在市级以上媒体对黄埔区禁毒工作报道10次以上。</w:t>
                  </w:r>
                </w:p>
              </w:tc>
            </w:tr>
            <w:tr>
              <w:tc>
                <w:tcPr>
                  <w:tcW w:type="dxa" w:w="525"/>
                  <w:vMerge w:val="restart"/>
                  <w:tcBorders>
                    <w:top w:val="none" w:color="000000" w:sz="4"/>
                    <w:left w:val="single" w:color="000000" w:sz="4"/>
                    <w:bottom w:val="single" w:color="000000" w:sz="4"/>
                    <w:right w:val="single" w:color="000000" w:sz="4"/>
                  </w:tcBorders>
                </w:tcPr>
                <w:p>
                  <w:pPr>
                    <w:jc w:val="center"/>
                  </w:pPr>
                  <w:r>
                    <w:rPr>
                      <w:color w:val="000000"/>
                      <w:sz w:val="21"/>
                    </w:rPr>
                    <w:t>（八）</w:t>
                  </w:r>
                </w:p>
              </w:tc>
              <w:tc>
                <w:tcPr>
                  <w:tcW w:type="dxa" w:w="408"/>
                  <w:vMerge w:val="restart"/>
                  <w:tcBorders>
                    <w:top w:val="none" w:color="000000" w:sz="4"/>
                    <w:left w:val="none" w:color="000000" w:sz="4"/>
                    <w:bottom w:val="single" w:color="000000" w:sz="4"/>
                    <w:right w:val="single" w:color="000000" w:sz="4"/>
                  </w:tcBorders>
                </w:tcPr>
                <w:p>
                  <w:pPr>
                    <w:jc w:val="center"/>
                  </w:pPr>
                  <w:r>
                    <w:rPr>
                      <w:color w:val="000000"/>
                      <w:sz w:val="21"/>
                    </w:rPr>
                    <w:t>建立社区合作伙伴</w:t>
                  </w: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合作伙伴走访及工作知会</w:t>
                  </w:r>
                </w:p>
              </w:tc>
              <w:tc>
                <w:tcPr>
                  <w:tcW w:type="dxa" w:w="699"/>
                  <w:tcBorders>
                    <w:top w:val="none" w:color="000000" w:sz="4"/>
                    <w:left w:val="none" w:color="000000" w:sz="4"/>
                    <w:bottom w:val="single" w:color="000000" w:sz="4"/>
                    <w:right w:val="single" w:color="000000" w:sz="4"/>
                  </w:tcBorders>
                </w:tcPr>
                <w:p>
                  <w:pPr>
                    <w:jc w:val="center"/>
                  </w:pPr>
                  <w:r>
                    <w:rPr>
                      <w:sz w:val="21"/>
                    </w:rPr>
                    <w:t>每2个月不少于1次</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tcPr>
                <w:p>
                  <w:pPr>
                    <w:jc w:val="both"/>
                  </w:pPr>
                  <w:r>
                    <w:rPr>
                      <w:sz w:val="21"/>
                    </w:rPr>
                    <w:t>通过走访民警、医生、禁毒专职、村居干部等网格管理小组合作伙伴，了解和反馈吸毒人员的情况。</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合作伙伴满意度</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90%</w:t>
                  </w:r>
                  <w:r>
                    <w:rPr>
                      <w:color w:val="000000"/>
                      <w:sz w:val="21"/>
                    </w:rPr>
                    <w:t>以上（含本数）</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合作伙伴满意度指镇禁毒办及相关部门对执行方的综合评价。</w:t>
                  </w:r>
                </w:p>
              </w:tc>
            </w:tr>
            <w:tr>
              <w:tc>
                <w:tcPr>
                  <w:tcW w:type="dxa" w:w="525"/>
                  <w:vMerge w:val="restart"/>
                  <w:tcBorders>
                    <w:top w:val="none" w:color="000000" w:sz="4"/>
                    <w:left w:val="single" w:color="000000" w:sz="4"/>
                    <w:bottom w:val="single" w:color="000000" w:sz="4"/>
                    <w:right w:val="single" w:color="000000" w:sz="4"/>
                  </w:tcBorders>
                </w:tcPr>
                <w:p>
                  <w:pPr>
                    <w:jc w:val="center"/>
                  </w:pPr>
                  <w:r>
                    <w:rPr>
                      <w:color w:val="000000"/>
                      <w:sz w:val="21"/>
                    </w:rPr>
                    <w:t>（九）</w:t>
                  </w:r>
                </w:p>
              </w:tc>
              <w:tc>
                <w:tcPr>
                  <w:tcW w:type="dxa" w:w="408"/>
                  <w:vMerge w:val="restart"/>
                  <w:tcBorders>
                    <w:top w:val="none" w:color="000000" w:sz="4"/>
                    <w:left w:val="none" w:color="000000" w:sz="4"/>
                    <w:bottom w:val="single" w:color="000000" w:sz="4"/>
                    <w:right w:val="single" w:color="000000" w:sz="4"/>
                  </w:tcBorders>
                </w:tcPr>
                <w:p>
                  <w:pPr>
                    <w:jc w:val="center"/>
                  </w:pPr>
                  <w:r>
                    <w:rPr>
                      <w:color w:val="000000"/>
                      <w:sz w:val="21"/>
                    </w:rPr>
                    <w:t>服务质素监测</w:t>
                  </w: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禁毒专业培训</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不少于7天或42学时，新入职岗前训练不少于30小时</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tcPr>
                <w:p>
                  <w:pPr>
                    <w:jc w:val="both"/>
                  </w:pPr>
                  <w:r>
                    <w:rPr>
                      <w:color w:val="000000"/>
                      <w:sz w:val="21"/>
                    </w:rPr>
                    <w:t>1.</w:t>
                  </w:r>
                  <w:r>
                    <w:rPr>
                      <w:color w:val="000000"/>
                      <w:sz w:val="21"/>
                    </w:rPr>
                    <w:t>每年人均接受专业科目学习时间累计不少于7天或42学时，其中与戒毒康复相关的学时不少于1/3。</w:t>
                  </w:r>
                </w:p>
                <w:p>
                  <w:pPr>
                    <w:jc w:val="both"/>
                  </w:pPr>
                  <w:r>
                    <w:rPr>
                      <w:color w:val="000000"/>
                      <w:sz w:val="21"/>
                    </w:rPr>
                    <w:t>2.</w:t>
                  </w:r>
                  <w:r>
                    <w:rPr>
                      <w:color w:val="000000"/>
                      <w:sz w:val="21"/>
                    </w:rPr>
                    <w:t>新入职人员接受禁毒社会工作专业知识岗前训练不少于30个小时。</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专业督导</w:t>
                  </w:r>
                </w:p>
              </w:tc>
              <w:tc>
                <w:tcPr>
                  <w:tcW w:type="dxa" w:w="699"/>
                  <w:tcBorders>
                    <w:top w:val="none" w:color="000000" w:sz="4"/>
                    <w:left w:val="none" w:color="000000" w:sz="4"/>
                    <w:bottom w:val="single" w:color="000000" w:sz="4"/>
                    <w:right w:val="single" w:color="000000" w:sz="4"/>
                  </w:tcBorders>
                </w:tcPr>
                <w:p>
                  <w:pPr>
                    <w:jc w:val="center"/>
                  </w:pPr>
                  <w:r>
                    <w:rPr>
                      <w:sz w:val="21"/>
                    </w:rPr>
                    <w:t>36</w:t>
                  </w:r>
                  <w:r>
                    <w:rPr>
                      <w:sz w:val="21"/>
                    </w:rPr>
                    <w:t>小时/人/年</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禁毒社会工作者每人每月接受不少于2次督导，每次不少于1个小时，且至少有1次为面对面的个别督导，</w:t>
                  </w:r>
                  <w:r>
                    <w:rPr>
                      <w:color w:val="000000"/>
                      <w:sz w:val="21"/>
                    </w:rPr>
                    <w:t>每人每年个别督导不少于24小时。</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工作例会</w:t>
                  </w:r>
                </w:p>
              </w:tc>
              <w:tc>
                <w:tcPr>
                  <w:tcW w:type="dxa" w:w="699"/>
                  <w:tcBorders>
                    <w:top w:val="none" w:color="000000" w:sz="4"/>
                    <w:left w:val="none" w:color="000000" w:sz="4"/>
                    <w:bottom w:val="single" w:color="000000" w:sz="4"/>
                    <w:right w:val="single" w:color="000000" w:sz="4"/>
                  </w:tcBorders>
                </w:tcPr>
                <w:p>
                  <w:pPr>
                    <w:jc w:val="center"/>
                  </w:pPr>
                  <w:r>
                    <w:rPr>
                      <w:sz w:val="21"/>
                    </w:rPr>
                    <w:t>1</w:t>
                  </w:r>
                  <w:r>
                    <w:rPr>
                      <w:sz w:val="21"/>
                    </w:rPr>
                    <w:t>次/月</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通过例会制度，检视项目的整体实施情况，把控服务方向；反馈上月工作情况、上月工作改善情况及本月工作布置安排。</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计划总结</w:t>
                  </w:r>
                </w:p>
              </w:tc>
              <w:tc>
                <w:tcPr>
                  <w:tcW w:type="dxa" w:w="699"/>
                  <w:tcBorders>
                    <w:top w:val="none" w:color="000000" w:sz="4"/>
                    <w:left w:val="none" w:color="000000" w:sz="4"/>
                    <w:bottom w:val="single" w:color="000000" w:sz="4"/>
                    <w:right w:val="single" w:color="000000" w:sz="4"/>
                  </w:tcBorders>
                </w:tcPr>
                <w:p>
                  <w:pPr>
                    <w:jc w:val="center"/>
                  </w:pPr>
                  <w:r>
                    <w:rPr>
                      <w:sz w:val="21"/>
                    </w:rPr>
                    <w:t>不少于18份</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numPr>
                      <w:ilvl w:val="0"/>
                      <w:numId w:val="1"/>
                    </w:numPr>
                    <w:jc w:val="both"/>
                  </w:pPr>
                  <w:r>
                    <w:rPr>
                      <w:color w:val="000000"/>
                      <w:sz w:val="21"/>
                    </w:rPr>
                    <w:t>包括项目计划、每月总结和计划、半年总结、合同年度总结、中期评估整改计划，不少于14份。</w:t>
                  </w:r>
                </w:p>
                <w:p>
                  <w:pPr>
                    <w:numPr>
                      <w:ilvl w:val="0"/>
                      <w:numId w:val="1"/>
                    </w:numPr>
                    <w:jc w:val="both"/>
                  </w:pPr>
                  <w:r>
                    <w:rPr>
                      <w:color w:val="000000"/>
                      <w:sz w:val="21"/>
                    </w:rPr>
                    <w:t>定期总结提炼服务工作情况，每季度积极挖掘有质量素材形成综合性工作简报，不少于4份。</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系统维护</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系统统计</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根据业务系统工作情况配合新龙镇工作人员录入时限要求，按时完成对服务数据的录入工作。</w:t>
                  </w:r>
                </w:p>
              </w:tc>
            </w:tr>
            <w:tr>
              <w:tc>
                <w:tcPr>
                  <w:tcW w:type="dxa" w:w="525"/>
                  <w:vMerge w:val="restart"/>
                  <w:tcBorders>
                    <w:top w:val="none" w:color="000000" w:sz="4"/>
                    <w:left w:val="single" w:color="000000" w:sz="4"/>
                    <w:bottom w:val="single" w:color="000000" w:sz="4"/>
                    <w:right w:val="single" w:color="000000" w:sz="4"/>
                  </w:tcBorders>
                </w:tcPr>
                <w:p>
                  <w:pPr>
                    <w:jc w:val="center"/>
                  </w:pPr>
                  <w:r>
                    <w:rPr>
                      <w:color w:val="000000"/>
                      <w:sz w:val="21"/>
                    </w:rPr>
                    <w:t>（十）</w:t>
                  </w:r>
                </w:p>
              </w:tc>
              <w:tc>
                <w:tcPr>
                  <w:tcW w:type="dxa" w:w="408"/>
                  <w:vMerge w:val="restart"/>
                  <w:tcBorders>
                    <w:top w:val="none" w:color="000000" w:sz="4"/>
                    <w:left w:val="none" w:color="000000" w:sz="4"/>
                    <w:bottom w:val="single" w:color="000000" w:sz="4"/>
                    <w:right w:val="single" w:color="000000" w:sz="4"/>
                  </w:tcBorders>
                </w:tcPr>
                <w:p>
                  <w:pPr>
                    <w:jc w:val="center"/>
                  </w:pPr>
                  <w:r>
                    <w:rPr>
                      <w:color w:val="000000"/>
                      <w:sz w:val="21"/>
                    </w:rPr>
                    <w:t>服务目标成效</w:t>
                  </w: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社区戒毒执行巩固率</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高于上年度执行巩固率</w:t>
                  </w:r>
                </w:p>
              </w:tc>
              <w:tc>
                <w:tcPr>
                  <w:tcW w:type="dxa" w:w="874"/>
                  <w:tcBorders>
                    <w:top w:val="none" w:color="000000" w:sz="4"/>
                    <w:left w:val="none" w:color="000000" w:sz="4"/>
                    <w:bottom w:val="single" w:color="000000" w:sz="4"/>
                    <w:right w:val="single" w:color="000000" w:sz="4"/>
                  </w:tcBorders>
                </w:tcPr>
                <w:p>
                  <w:pPr>
                    <w:ind w:firstLine="210"/>
                    <w:jc w:val="both"/>
                  </w:pPr>
                  <w:r>
                    <w:rPr>
                      <w:color w:val="000000"/>
                      <w:sz w:val="21"/>
                    </w:rPr>
                    <w:t>系统统计</w:t>
                  </w:r>
                </w:p>
              </w:tc>
              <w:tc>
                <w:tcPr>
                  <w:tcW w:type="dxa" w:w="2273"/>
                  <w:tcBorders>
                    <w:top w:val="none" w:color="000000" w:sz="4"/>
                    <w:left w:val="none" w:color="000000" w:sz="4"/>
                    <w:bottom w:val="single" w:color="000000" w:sz="4"/>
                    <w:right w:val="single" w:color="000000" w:sz="4"/>
                  </w:tcBorders>
                </w:tcPr>
                <w:p>
                  <w:pPr>
                    <w:jc w:val="both"/>
                  </w:pPr>
                  <w:r>
                    <w:rPr>
                      <w:color w:val="000000"/>
                      <w:sz w:val="21"/>
                    </w:rPr>
                    <w:t>社区戒毒执行巩固率高于上年度执行巩固率。</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社区康复执行巩固率</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高于上年度执行巩固率</w:t>
                  </w:r>
                </w:p>
              </w:tc>
              <w:tc>
                <w:tcPr>
                  <w:tcW w:type="dxa" w:w="874"/>
                  <w:tcBorders>
                    <w:top w:val="none" w:color="000000" w:sz="4"/>
                    <w:left w:val="none" w:color="000000" w:sz="4"/>
                    <w:bottom w:val="single" w:color="000000" w:sz="4"/>
                    <w:right w:val="single" w:color="000000" w:sz="4"/>
                  </w:tcBorders>
                </w:tcPr>
                <w:p>
                  <w:pPr>
                    <w:ind w:firstLine="210"/>
                    <w:jc w:val="both"/>
                  </w:pPr>
                  <w:r>
                    <w:rPr>
                      <w:color w:val="000000"/>
                      <w:sz w:val="21"/>
                    </w:rPr>
                    <w:t>系统统计</w:t>
                  </w:r>
                </w:p>
              </w:tc>
              <w:tc>
                <w:tcPr>
                  <w:tcW w:type="dxa" w:w="2273"/>
                  <w:tcBorders>
                    <w:top w:val="none" w:color="000000" w:sz="4"/>
                    <w:left w:val="none" w:color="000000" w:sz="4"/>
                    <w:bottom w:val="single" w:color="000000" w:sz="4"/>
                    <w:right w:val="single" w:color="000000" w:sz="4"/>
                  </w:tcBorders>
                </w:tcPr>
                <w:p>
                  <w:pPr>
                    <w:jc w:val="both"/>
                  </w:pPr>
                  <w:r>
                    <w:rPr>
                      <w:color w:val="000000"/>
                      <w:sz w:val="21"/>
                    </w:rPr>
                    <w:t>社区康复执行巩固率高于上年度执行巩固率。</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吸毒人员入网格率</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系统统计、台账统计</w:t>
                  </w:r>
                </w:p>
              </w:tc>
              <w:tc>
                <w:tcPr>
                  <w:tcW w:type="dxa" w:w="2273"/>
                  <w:tcBorders>
                    <w:top w:val="none" w:color="000000" w:sz="4"/>
                    <w:left w:val="none" w:color="000000" w:sz="4"/>
                    <w:bottom w:val="single" w:color="000000" w:sz="4"/>
                    <w:right w:val="single" w:color="000000" w:sz="4"/>
                  </w:tcBorders>
                </w:tcPr>
                <w:p>
                  <w:pPr>
                    <w:jc w:val="both"/>
                  </w:pPr>
                  <w:r>
                    <w:rPr>
                      <w:color w:val="000000"/>
                      <w:sz w:val="21"/>
                    </w:rPr>
                    <w:t>吸毒人员入网格率达100%。</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吸毒人员分类定级率</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系统统计、台账统计</w:t>
                  </w:r>
                </w:p>
              </w:tc>
              <w:tc>
                <w:tcPr>
                  <w:tcW w:type="dxa" w:w="2273"/>
                  <w:tcBorders>
                    <w:top w:val="none" w:color="000000" w:sz="4"/>
                    <w:left w:val="none" w:color="000000" w:sz="4"/>
                    <w:bottom w:val="single" w:color="000000" w:sz="4"/>
                    <w:right w:val="single" w:color="000000" w:sz="4"/>
                  </w:tcBorders>
                </w:tcPr>
                <w:p>
                  <w:pPr>
                    <w:jc w:val="both"/>
                  </w:pPr>
                  <w:r>
                    <w:rPr>
                      <w:color w:val="000000"/>
                      <w:sz w:val="21"/>
                    </w:rPr>
                    <w:t>吸毒人员分类定级率达100%。</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户籍吸毒人员复吸率</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3%</w:t>
                  </w:r>
                  <w:r>
                    <w:rPr>
                      <w:color w:val="000000"/>
                      <w:sz w:val="21"/>
                    </w:rPr>
                    <w:t>以下（含本数）</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系统统计</w:t>
                  </w:r>
                </w:p>
              </w:tc>
              <w:tc>
                <w:tcPr>
                  <w:tcW w:type="dxa" w:w="2273"/>
                  <w:tcBorders>
                    <w:top w:val="none" w:color="000000" w:sz="4"/>
                    <w:left w:val="none" w:color="000000" w:sz="4"/>
                    <w:bottom w:val="single" w:color="000000" w:sz="4"/>
                    <w:right w:val="single" w:color="000000" w:sz="4"/>
                  </w:tcBorders>
                </w:tcPr>
                <w:p>
                  <w:pPr>
                    <w:jc w:val="both"/>
                  </w:pPr>
                  <w:r>
                    <w:rPr>
                      <w:color w:val="000000"/>
                      <w:sz w:val="21"/>
                    </w:rPr>
                    <w:t>户籍吸毒人员复吸率控制在3%以下。</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就业安置率</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80%</w:t>
                  </w:r>
                  <w:r>
                    <w:rPr>
                      <w:color w:val="000000"/>
                      <w:sz w:val="21"/>
                    </w:rPr>
                    <w:t>以上（含本数）</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p>
                <w:p>
                  <w:pPr>
                    <w:jc w:val="both"/>
                  </w:pPr>
                  <w:r>
                    <w:rPr>
                      <w:color w:val="000000"/>
                      <w:sz w:val="21"/>
                    </w:rPr>
                    <w:t>社会面本地户籍吸毒人员就业安置率保持在80%以上。</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操守率</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80%</w:t>
                  </w:r>
                  <w:r>
                    <w:rPr>
                      <w:color w:val="000000"/>
                      <w:sz w:val="21"/>
                    </w:rPr>
                    <w:t>以上（含本数）</w:t>
                  </w:r>
                </w:p>
              </w:tc>
              <w:tc>
                <w:tcPr>
                  <w:tcW w:type="dxa" w:w="874"/>
                  <w:tcBorders>
                    <w:top w:val="none" w:color="000000" w:sz="4"/>
                    <w:left w:val="none" w:color="000000" w:sz="4"/>
                    <w:bottom w:val="single" w:color="000000" w:sz="4"/>
                    <w:right w:val="single" w:color="000000" w:sz="4"/>
                  </w:tcBorders>
                </w:tcPr>
                <w:p>
                  <w:pPr>
                    <w:jc w:val="both"/>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tcPr>
                <w:p>
                  <w:pPr>
                    <w:jc w:val="both"/>
                  </w:pPr>
                  <w:r>
                    <w:rPr>
                      <w:color w:val="000000"/>
                      <w:sz w:val="21"/>
                    </w:rPr>
                    <w:t>户籍强戒出所人员1年操守率达到70%以上。</w:t>
                  </w:r>
                </w:p>
              </w:tc>
            </w:tr>
            <w:tr>
              <w:tc>
                <w:tcPr>
                  <w:tcW w:type="dxa" w:w="525"/>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Pr>
                <w:p>
                  <w:pPr>
                    <w:jc w:val="center"/>
                  </w:pPr>
                  <w:r>
                    <w:rPr>
                      <w:color w:val="000000"/>
                      <w:sz w:val="21"/>
                    </w:rPr>
                    <w:t>个案成功率</w:t>
                  </w:r>
                </w:p>
              </w:tc>
              <w:tc>
                <w:tcPr>
                  <w:tcW w:type="dxa" w:w="699"/>
                  <w:tcBorders>
                    <w:top w:val="none" w:color="000000" w:sz="4"/>
                    <w:left w:val="none" w:color="000000" w:sz="4"/>
                    <w:bottom w:val="single" w:color="000000" w:sz="4"/>
                    <w:right w:val="single" w:color="000000" w:sz="4"/>
                  </w:tcBorders>
                </w:tcPr>
                <w:p>
                  <w:pPr>
                    <w:jc w:val="center"/>
                  </w:pPr>
                  <w:r>
                    <w:rPr>
                      <w:color w:val="000000"/>
                      <w:sz w:val="21"/>
                    </w:rPr>
                    <w:t>70%</w:t>
                  </w:r>
                  <w:r>
                    <w:rPr>
                      <w:color w:val="000000"/>
                      <w:sz w:val="21"/>
                    </w:rPr>
                    <w:t>以上（含本数）</w:t>
                  </w:r>
                </w:p>
              </w:tc>
              <w:tc>
                <w:tcPr>
                  <w:tcW w:type="dxa" w:w="874"/>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2273"/>
                  <w:tcBorders>
                    <w:top w:val="none" w:color="000000" w:sz="4"/>
                    <w:left w:val="none" w:color="000000" w:sz="4"/>
                    <w:bottom w:val="single" w:color="000000" w:sz="4"/>
                    <w:right w:val="single" w:color="000000" w:sz="4"/>
                  </w:tcBorders>
                  <w:vAlign w:val="top"/>
                </w:tcPr>
                <w:p>
                  <w:pPr>
                    <w:jc w:val="both"/>
                  </w:pPr>
                  <w:r>
                    <w:rPr>
                      <w:color w:val="000000"/>
                      <w:sz w:val="21"/>
                    </w:rPr>
                    <w:t>个案成功率=服务成功个案/开案个案数量，服务目标得到解决。</w:t>
                  </w:r>
                </w:p>
              </w:tc>
            </w:tr>
          </w:tbl>
          <w:p>
            <w:pPr>
              <w:jc w:val="both"/>
            </w:pPr>
          </w:p>
          <w:p>
            <w:pPr>
              <w:jc w:val="both"/>
            </w:pPr>
            <w:r>
              <w:rPr>
                <w:b/>
                <w:sz w:val="21"/>
              </w:rPr>
              <w:t>（三）人员配置要求</w:t>
            </w:r>
          </w:p>
          <w:p>
            <w:pPr>
              <w:ind w:firstLine="422"/>
              <w:jc w:val="both"/>
            </w:pPr>
            <w:r>
              <w:rPr>
                <w:b/>
                <w:sz w:val="21"/>
              </w:rPr>
              <w:t>1.社工数量</w:t>
            </w:r>
          </w:p>
          <w:p>
            <w:pPr>
              <w:ind w:firstLine="420"/>
              <w:jc w:val="both"/>
            </w:pPr>
            <w:r>
              <w:rPr>
                <w:sz w:val="21"/>
              </w:rPr>
              <w:t>成交人需配置8名专业禁毒社会工作者开展服务工作，配置人员中项目主任1名、社工7名。 服务总工时下限为 12000 小时/年，上限为 13200 小时/年。</w:t>
            </w:r>
          </w:p>
          <w:p>
            <w:pPr>
              <w:ind w:firstLine="422"/>
              <w:jc w:val="both"/>
            </w:pPr>
            <w:r>
              <w:rPr>
                <w:b/>
                <w:sz w:val="21"/>
              </w:rPr>
              <w:t>2.社工基本要求</w:t>
            </w:r>
          </w:p>
          <w:p>
            <w:pPr>
              <w:ind w:firstLine="420"/>
              <w:jc w:val="both"/>
            </w:pPr>
            <w:r>
              <w:rPr>
                <w:sz w:val="21"/>
              </w:rPr>
              <w:t>（1）</w:t>
            </w:r>
            <w:r>
              <w:rPr>
                <w:sz w:val="21"/>
              </w:rPr>
              <w:t>社工基本要求</w:t>
            </w:r>
            <w:r>
              <w:rPr>
                <w:sz w:val="21"/>
              </w:rPr>
              <w:t>项目中心主任具有5年以上社会工作服务经验，3年及以上禁毒社会工作项目管理经验，社会工作、社会学等相关专业本科或以上专业毕业并持有中级或以上社会工作师证书</w:t>
            </w:r>
            <w:r>
              <w:rPr>
                <w:sz w:val="21"/>
              </w:rPr>
              <w:t>。8名禁毒社工团队工作人员（含主任）中，持有社工证、心理咨询师证或社会工作、社会学、社区管理与服务、心理学、法学等相关专业毕业证书人员不少于 5 人。</w:t>
            </w:r>
          </w:p>
          <w:p>
            <w:pPr>
              <w:ind w:firstLine="420"/>
              <w:jc w:val="both"/>
            </w:pPr>
            <w:r>
              <w:rPr>
                <w:sz w:val="21"/>
              </w:rPr>
              <w:t>（2）新入职人员应接受禁毒社会工作专业知识岗前训练30小时，岗前培训内容可参考广东省《社区戒毒社区康复社会工作服务规范》（DB44/T 2296-2021）要求。</w:t>
            </w:r>
          </w:p>
          <w:p>
            <w:pPr>
              <w:ind w:firstLine="420"/>
              <w:jc w:val="both"/>
            </w:pPr>
            <w:r>
              <w:rPr>
                <w:sz w:val="21"/>
              </w:rPr>
              <w:t>（3）禁毒社会工作者应为专职，成交人不得派遣兼职人员、实习生等非专职人员到本项目，不得安排社工从事非本项目的工作。</w:t>
            </w:r>
          </w:p>
          <w:p>
            <w:pPr>
              <w:ind w:firstLine="422"/>
              <w:jc w:val="both"/>
            </w:pPr>
            <w:r>
              <w:rPr>
                <w:b/>
                <w:sz w:val="21"/>
              </w:rPr>
              <w:t>3.人员上岗要求</w:t>
            </w:r>
          </w:p>
          <w:p>
            <w:pPr>
              <w:ind w:firstLine="420"/>
              <w:jc w:val="both"/>
            </w:pPr>
            <w:r>
              <w:rPr>
                <w:sz w:val="21"/>
              </w:rPr>
              <w:t>成交人须在成交后保证一半以上符合本需求所规定的社工基本要求条件的专业社工（即5人或以上）马上投入开展工作，其余人员须在成交一个月内配置，向采购人提交名单和相关材料证明，由采购人予以核对。成交人组织项目社工参加督导、培训以及成交人组织的其他活动时间，在工作日范围内每月不得超过2天。</w:t>
            </w:r>
          </w:p>
          <w:p>
            <w:pPr>
              <w:ind w:firstLine="422"/>
              <w:jc w:val="both"/>
            </w:pPr>
            <w:r>
              <w:rPr>
                <w:b/>
                <w:sz w:val="21"/>
              </w:rPr>
              <w:t>4.人员管理要求</w:t>
            </w:r>
          </w:p>
          <w:p>
            <w:pPr>
              <w:ind w:firstLine="420"/>
              <w:jc w:val="both"/>
            </w:pPr>
            <w:r>
              <w:rPr>
                <w:sz w:val="21"/>
              </w:rPr>
              <w:t>（1）成交人非因不可抗力，不得随意更换、调配派遣的禁毒社会工作者，要保持禁毒社会工作者队伍的稳定性，如需更换，需经报采购人同意后才能更换调配。</w:t>
            </w:r>
          </w:p>
          <w:p>
            <w:pPr>
              <w:ind w:firstLine="420"/>
              <w:jc w:val="both"/>
            </w:pPr>
            <w:r>
              <w:rPr>
                <w:sz w:val="21"/>
              </w:rPr>
              <w:t>（2）禁毒社会工作者离职、调离的，成交人在原禁毒社会工作者离职前一周应安排接替的禁毒社会工作者到岗，做好工作接替。</w:t>
            </w:r>
          </w:p>
          <w:p>
            <w:pPr>
              <w:jc w:val="both"/>
            </w:pPr>
            <w:r>
              <w:rPr>
                <w:b/>
                <w:sz w:val="21"/>
              </w:rPr>
              <w:t>（</w:t>
            </w:r>
            <w:r>
              <w:rPr>
                <w:b/>
                <w:sz w:val="21"/>
              </w:rPr>
              <w:t>四</w:t>
            </w:r>
            <w:r>
              <w:rPr>
                <w:b/>
                <w:sz w:val="21"/>
              </w:rPr>
              <w:t>）内部督导要求</w:t>
            </w:r>
          </w:p>
          <w:p>
            <w:pPr>
              <w:ind w:firstLine="420"/>
              <w:jc w:val="both"/>
            </w:pPr>
            <w:r>
              <w:rPr>
                <w:sz w:val="21"/>
              </w:rPr>
              <w:t>成交人应建立督导制度，包括但不限于以下内容：</w:t>
            </w:r>
          </w:p>
          <w:p>
            <w:pPr>
              <w:ind w:firstLine="420"/>
              <w:jc w:val="both"/>
            </w:pPr>
            <w:r>
              <w:rPr>
                <w:sz w:val="21"/>
              </w:rPr>
              <w:t>（1）建立机构内部督导培养制度；</w:t>
            </w:r>
          </w:p>
          <w:p>
            <w:pPr>
              <w:ind w:firstLine="420"/>
              <w:jc w:val="both"/>
            </w:pPr>
            <w:r>
              <w:rPr>
                <w:sz w:val="21"/>
              </w:rPr>
              <w:t>（2）督导人员应具备5年或以上社会工作领域工作经验，其中禁毒社会工作实务经验在2年或以上；</w:t>
            </w:r>
          </w:p>
          <w:p>
            <w:pPr>
              <w:ind w:firstLine="420"/>
              <w:jc w:val="both"/>
            </w:pPr>
            <w:r>
              <w:rPr>
                <w:sz w:val="21"/>
              </w:rPr>
              <w:t>（3）督导人员应取得中级或以上全国社会工作者职业水平证书，或获得全国、省市认可的督导学习证明；</w:t>
            </w:r>
          </w:p>
          <w:p>
            <w:pPr>
              <w:ind w:firstLine="420"/>
              <w:jc w:val="both"/>
            </w:pPr>
            <w:r>
              <w:rPr>
                <w:sz w:val="21"/>
              </w:rPr>
              <w:t>（4）禁毒社会工作者每人每月接受不少于2次督导，每次不少于1个小时，且至少有1次为面对面的个别督导；</w:t>
            </w:r>
          </w:p>
          <w:p>
            <w:pPr>
              <w:jc w:val="both"/>
            </w:pPr>
            <w:r>
              <w:rPr>
                <w:b/>
                <w:sz w:val="21"/>
              </w:rPr>
              <w:t>（</w:t>
            </w:r>
            <w:r>
              <w:rPr>
                <w:b/>
                <w:sz w:val="21"/>
              </w:rPr>
              <w:t>五</w:t>
            </w:r>
            <w:r>
              <w:rPr>
                <w:b/>
                <w:sz w:val="21"/>
              </w:rPr>
              <w:t>）财务管理要求</w:t>
            </w:r>
          </w:p>
          <w:p>
            <w:pPr>
              <w:ind w:firstLine="420"/>
              <w:jc w:val="both"/>
            </w:pPr>
            <w:r>
              <w:rPr>
                <w:sz w:val="21"/>
              </w:rPr>
              <w:t>1.成交人应在广州市黄埔区择一银行网点为本项目设立专户，用于项目资金接收和支付，实行专款专用，参照采购人提供经费预算明细表开展项目运营。本项目只设一个专户，与成交人其他项目分账管理。成交人需每月向采购人报送人员薪酬发放明细及银行相关凭证。</w:t>
            </w:r>
          </w:p>
          <w:p>
            <w:pPr>
              <w:ind w:firstLine="420"/>
              <w:jc w:val="both"/>
            </w:pPr>
            <w:r>
              <w:rPr>
                <w:sz w:val="21"/>
              </w:rPr>
              <w:t>2.成交人应当建立本次采购项目的台账，建立健全财务报告制度，按要求向采购人提供项目实施资金的使用情况、项目执行情况、成果总结等相关的材料，资金使用应履行相关报备手续。</w:t>
            </w:r>
          </w:p>
          <w:p>
            <w:pPr>
              <w:ind w:firstLine="420"/>
              <w:jc w:val="both"/>
            </w:pPr>
            <w:r>
              <w:rPr>
                <w:sz w:val="21"/>
              </w:rPr>
              <w:t>3.成交人应当严格遵守相关财务规定，规范管理和使用本次政府购买服务项目资金。</w:t>
            </w:r>
          </w:p>
          <w:p>
            <w:pPr>
              <w:ind w:firstLine="420"/>
              <w:jc w:val="both"/>
            </w:pPr>
            <w:r>
              <w:rPr>
                <w:sz w:val="21"/>
              </w:rPr>
              <w:t>4.成交人应当积极配合相关部门对资金使用情况进行监督检查与绩效评价。</w:t>
            </w:r>
          </w:p>
          <w:p>
            <w:pPr>
              <w:jc w:val="both"/>
            </w:pPr>
            <w:r>
              <w:rPr>
                <w:b/>
                <w:sz w:val="21"/>
              </w:rPr>
              <w:t>（</w:t>
            </w:r>
            <w:r>
              <w:rPr>
                <w:b/>
                <w:sz w:val="21"/>
              </w:rPr>
              <w:t>六</w:t>
            </w:r>
            <w:r>
              <w:rPr>
                <w:b/>
                <w:sz w:val="21"/>
              </w:rPr>
              <w:t>）供应商要求</w:t>
            </w:r>
          </w:p>
          <w:p>
            <w:pPr>
              <w:ind w:firstLine="420"/>
              <w:jc w:val="both"/>
            </w:pPr>
            <w:r>
              <w:rPr>
                <w:sz w:val="21"/>
              </w:rPr>
              <w:t>1.供应商具有社会工作服务经验，拥有专业服务支持性资源，能为项目提供理论咨询和实务指导。</w:t>
            </w:r>
          </w:p>
          <w:p>
            <w:pPr>
              <w:ind w:firstLine="420"/>
              <w:jc w:val="both"/>
            </w:pPr>
            <w:r>
              <w:rPr>
                <w:sz w:val="21"/>
              </w:rPr>
              <w:t>2.供应商应安排社工领域资深专业人士或高校专业教师担任督导，督导具有社会工作师资格证，具备开展社区教育和培训、研究社区问题、拓展社区服务项目能力。</w:t>
            </w:r>
          </w:p>
          <w:p>
            <w:pPr>
              <w:ind w:firstLine="420"/>
              <w:jc w:val="both"/>
            </w:pPr>
            <w:r>
              <w:rPr>
                <w:sz w:val="21"/>
              </w:rPr>
              <w:t>3.供应商承诺如若中标（成交），则保证做到及时发放社会工作者工资。（响应时须提供书面承诺函并加盖供应商公章）</w:t>
            </w:r>
          </w:p>
          <w:p>
            <w:pPr>
              <w:ind w:firstLine="420"/>
              <w:jc w:val="both"/>
            </w:pPr>
            <w:r>
              <w:rPr>
                <w:sz w:val="21"/>
              </w:rPr>
              <w:t>★4.成交人应按照《中华人民共和国劳动法》的相关规定发放工资，服务人员工资不得低于广州市企业职工最低工资标准（工资不含按国家规定供应商必须支付的社会保险及其他应付费用）（提供承诺函，格式自拟）。</w:t>
            </w:r>
          </w:p>
          <w:p>
            <w:pPr>
              <w:ind w:firstLine="420"/>
              <w:jc w:val="both"/>
            </w:pPr>
            <w:r>
              <w:rPr>
                <w:sz w:val="21"/>
              </w:rPr>
              <w:t>★5.成交人应按照《中华人民共和国社会保险法》和《住房公积金管理条例》的相关规定，支付国家规定必须购买的社会保险费用和缴存住房公积金（提供承诺函，格式自拟）。</w:t>
            </w:r>
          </w:p>
          <w:p>
            <w:pPr>
              <w:ind w:firstLine="420"/>
              <w:jc w:val="both"/>
            </w:pPr>
            <w:r>
              <w:rPr>
                <w:sz w:val="21"/>
              </w:rPr>
              <w:t>6.专业实务能力：供应商2018年1月1日以来，具有专业实务研究方面的成果资料；拟投入的团队人员中具有禁毒方面的相关奖项。</w:t>
            </w:r>
          </w:p>
          <w:p>
            <w:pPr>
              <w:jc w:val="both"/>
            </w:pPr>
            <w:r>
              <w:rPr>
                <w:b/>
                <w:sz w:val="21"/>
              </w:rPr>
              <w:t>（</w:t>
            </w:r>
            <w:r>
              <w:rPr>
                <w:b/>
                <w:sz w:val="21"/>
              </w:rPr>
              <w:t>七</w:t>
            </w:r>
            <w:r>
              <w:rPr>
                <w:b/>
                <w:sz w:val="21"/>
              </w:rPr>
              <w:t>）响应报价组成</w:t>
            </w:r>
          </w:p>
          <w:p>
            <w:pPr>
              <w:ind w:firstLine="420"/>
              <w:jc w:val="both"/>
            </w:pPr>
            <w:r>
              <w:rPr>
                <w:sz w:val="21"/>
              </w:rPr>
              <w:t>1.本项目响应报价，包含人员薪酬费用、服务质量保障费用、运营管理费用、税费、第三方评估费用等因项目开展而产生的一切费用。采购人不再另行支付其它任何费用。</w:t>
            </w:r>
          </w:p>
          <w:p>
            <w:pPr>
              <w:ind w:firstLine="420"/>
              <w:jc w:val="both"/>
            </w:pPr>
            <w:r>
              <w:rPr>
                <w:sz w:val="21"/>
              </w:rPr>
              <w:t>2.人员薪酬费用包括：工资、绩效、五险一金、个人所得税、商业保险、经济补（赔）偿金及各项福利等用于禁毒社工个人方面的费用开支。人员薪酬费应不低于项目报价的70%，其中绩效经费不低于总项目费用5%，以成交人名义，建立绩效考评专项经费，制定绩效考评办法，报采购人审查，会同采购人每月对社工进行考核，按照考核等级，分级进行绩效发放。</w:t>
            </w:r>
          </w:p>
          <w:p>
            <w:pPr>
              <w:ind w:firstLine="420"/>
              <w:jc w:val="both"/>
            </w:pPr>
            <w:r>
              <w:rPr>
                <w:sz w:val="21"/>
              </w:rPr>
              <w:t>3.服务质量保障费用包括：督导服务、社工交流学习、专业提升等专业支持费用；服务和活动产生的物料、交通、误餐等专业服务和活动费用；设备设施及办公耗材、保洁、安保、水电、交通等日常办公费用。</w:t>
            </w:r>
          </w:p>
          <w:p>
            <w:pPr>
              <w:ind w:firstLine="420"/>
              <w:jc w:val="both"/>
            </w:pPr>
            <w:r>
              <w:rPr>
                <w:sz w:val="21"/>
              </w:rPr>
              <w:t>4.采购人委托第三方进行服务评估，第三方评估费用在采购人应支付给成交人总项目费用中扣除，由采购人与第三方评估机构签订合同，向第三方评估机构支付不超过合同总价2%的费用（以实际评估费用为准）。</w:t>
            </w:r>
          </w:p>
          <w:p>
            <w:pPr>
              <w:ind w:firstLine="420"/>
              <w:jc w:val="both"/>
            </w:pPr>
            <w:r>
              <w:rPr>
                <w:sz w:val="21"/>
              </w:rPr>
              <w:t>5.项目期间，本项目经费不得用于支付各种形式的出国、出境交流学习等。</w:t>
            </w:r>
          </w:p>
          <w:p>
            <w:pPr>
              <w:ind w:firstLine="420"/>
              <w:jc w:val="both"/>
            </w:pPr>
            <w:r>
              <w:rPr>
                <w:sz w:val="21"/>
              </w:rPr>
              <w:t>6.不得将本项目经费用于支付成交人所在机构的其它项目的任何开支。</w:t>
            </w:r>
          </w:p>
          <w:p>
            <w:pPr>
              <w:ind w:firstLine="420"/>
              <w:jc w:val="both"/>
            </w:pPr>
            <w:r>
              <w:rPr>
                <w:sz w:val="21"/>
              </w:rPr>
              <w:t>7.项目报价：</w:t>
            </w:r>
          </w:p>
          <w:p>
            <w:pPr>
              <w:ind w:firstLine="420"/>
              <w:jc w:val="both"/>
            </w:pPr>
            <w:r>
              <w:rPr>
                <w:sz w:val="21"/>
              </w:rPr>
              <w:t>1. 服务总工时下限为 12000 小时/年，上限为 13200 小时/年。</w:t>
            </w:r>
          </w:p>
          <w:p>
            <w:pPr>
              <w:ind w:firstLine="420"/>
              <w:jc w:val="both"/>
            </w:pPr>
            <w:r>
              <w:rPr>
                <w:sz w:val="21"/>
              </w:rPr>
              <w:t>2.本项目为固定总价项目（即人民币2,880,000.00元），响应供应商按照此固定总价在响应文件中进行报价；本项目价格分按照下述填报的“计划投入年度服务总工时量（单位：小时/年）”进行计算。</w:t>
            </w:r>
          </w:p>
          <w:p>
            <w:pPr>
              <w:ind w:firstLine="420"/>
              <w:jc w:val="both"/>
            </w:pPr>
            <w:r>
              <w:rPr>
                <w:sz w:val="21"/>
              </w:rPr>
              <w:t>3.响应供应商应单独提供“服务工时量一览表”，并在表中进行服务工时填报并附在响应文件中，若响应供应商未提交“服务工时量一览表”，则按响应无效处理。后续磋商过程中要求进行报价时，供应商可参考此“服务工时量一览表”进行承诺填报“计划投入年度服务总工时量”。本项目价格分计算，以响应供应商最后报价时承诺填写的“计划投入年度服务总工时量”进行价格分的计算。</w:t>
            </w:r>
          </w:p>
          <w:p>
            <w:pPr>
              <w:ind w:firstLine="420"/>
              <w:jc w:val="both"/>
            </w:pPr>
            <w:r>
              <w:rPr>
                <w:sz w:val="21"/>
              </w:rPr>
              <w:t>4.“服务工时量一览表”中填报的“计划投入年度服务总工时量”不得低于本项目规定的年度最低服务总工时，也不得高于本项目规定的年度最高服务总工时量，否则视为无效响应。</w:t>
            </w:r>
          </w:p>
          <w:p>
            <w:pPr>
              <w:ind w:firstLine="422"/>
              <w:jc w:val="center"/>
            </w:pPr>
            <w:r>
              <w:rPr>
                <w:b/>
                <w:sz w:val="21"/>
              </w:rPr>
              <w:t>服务工时量一览表</w:t>
            </w:r>
          </w:p>
          <w:tbl>
            <w:tblPr>
              <w:tblInd w:type="dxa" w:w="135"/>
              <w:tblBorders>
                <w:top w:val="none" w:color="000000" w:sz="4"/>
                <w:left w:val="none" w:color="000000" w:sz="4"/>
                <w:bottom w:val="none" w:color="000000" w:sz="4"/>
                <w:right w:val="none" w:color="000000" w:sz="4"/>
                <w:insideH w:val="none"/>
                <w:insideV w:val="none"/>
              </w:tblBorders>
            </w:tblPr>
            <w:tblGrid>
              <w:gridCol w:w="1200"/>
              <w:gridCol w:w="1942"/>
              <w:gridCol w:w="2456"/>
            </w:tblGrid>
            <w:tr>
              <w:tc>
                <w:tcPr>
                  <w:tcW w:type="dxa" w:w="1200"/>
                  <w:tcBorders>
                    <w:top w:val="single" w:color="000000" w:sz="4"/>
                    <w:left w:val="single" w:color="000000" w:sz="4"/>
                    <w:bottom w:val="single" w:color="000000" w:sz="4"/>
                    <w:right w:val="single" w:color="000000" w:sz="4"/>
                  </w:tcBorders>
                  <w:shd w:fill="EDEBE0"/>
                </w:tcPr>
                <w:p>
                  <w:pPr>
                    <w:jc w:val="center"/>
                  </w:pPr>
                  <w:r>
                    <w:rPr>
                      <w:b/>
                      <w:sz w:val="21"/>
                    </w:rPr>
                    <w:t>服务项</w:t>
                  </w:r>
                  <w:r>
                    <w:rPr>
                      <w:b/>
                      <w:sz w:val="21"/>
                    </w:rPr>
                    <w:t>目</w:t>
                  </w:r>
                </w:p>
              </w:tc>
              <w:tc>
                <w:tcPr>
                  <w:tcW w:type="dxa" w:w="1942"/>
                  <w:tcBorders>
                    <w:top w:val="single" w:color="000000" w:sz="4"/>
                    <w:left w:val="none" w:color="000000" w:sz="4"/>
                    <w:bottom w:val="single" w:color="000000" w:sz="4"/>
                    <w:right w:val="single" w:color="000000" w:sz="4"/>
                  </w:tcBorders>
                  <w:shd w:fill="EDEBE0"/>
                </w:tcPr>
                <w:p>
                  <w:pPr>
                    <w:jc w:val="center"/>
                  </w:pPr>
                  <w:r>
                    <w:rPr>
                      <w:b/>
                      <w:sz w:val="21"/>
                    </w:rPr>
                    <w:t>计划投入年度服务总工时</w:t>
                  </w:r>
                  <w:r>
                    <w:rPr>
                      <w:b/>
                      <w:sz w:val="21"/>
                    </w:rPr>
                    <w:t>量</w:t>
                  </w:r>
                </w:p>
                <w:p>
                  <w:pPr>
                    <w:jc w:val="center"/>
                  </w:pPr>
                  <w:r>
                    <w:rPr>
                      <w:b/>
                      <w:sz w:val="21"/>
                    </w:rPr>
                    <w:t>（单位：小时/年）</w:t>
                  </w:r>
                </w:p>
              </w:tc>
              <w:tc>
                <w:tcPr>
                  <w:tcW w:type="dxa" w:w="2456"/>
                  <w:tcBorders>
                    <w:top w:val="single" w:color="000000" w:sz="4"/>
                    <w:left w:val="none" w:color="000000" w:sz="4"/>
                    <w:bottom w:val="single" w:color="000000" w:sz="4"/>
                    <w:right w:val="single" w:color="000000" w:sz="4"/>
                  </w:tcBorders>
                  <w:shd w:fill="EDEBE0"/>
                </w:tcPr>
                <w:p>
                  <w:pPr>
                    <w:jc w:val="center"/>
                  </w:pPr>
                  <w:r>
                    <w:rPr>
                      <w:b/>
                      <w:sz w:val="21"/>
                    </w:rPr>
                    <w:t>服务期限</w:t>
                  </w:r>
                </w:p>
              </w:tc>
            </w:tr>
            <w:tr>
              <w:tc>
                <w:tcPr>
                  <w:tcW w:type="dxa" w:w="1200"/>
                  <w:tcBorders>
                    <w:top w:val="none" w:color="000000" w:sz="4"/>
                    <w:left w:val="single" w:color="000000" w:sz="4"/>
                    <w:bottom w:val="single" w:color="000000" w:sz="4"/>
                    <w:right w:val="single" w:color="000000" w:sz="4"/>
                  </w:tcBorders>
                </w:tcPr>
                <w:p>
                  <w:pPr>
                    <w:jc w:val="center"/>
                  </w:pPr>
                  <w:r>
                    <w:rPr>
                      <w:sz w:val="21"/>
                    </w:rPr>
                    <w:t>广州市黄埔区新龙镇禁毒专业社工服务采购项目</w:t>
                  </w:r>
                </w:p>
              </w:tc>
              <w:tc>
                <w:tcPr>
                  <w:tcW w:type="dxa" w:w="1942"/>
                  <w:tcBorders>
                    <w:top w:val="none" w:color="000000" w:sz="4"/>
                    <w:left w:val="none" w:color="000000" w:sz="4"/>
                    <w:bottom w:val="single" w:color="000000" w:sz="4"/>
                    <w:right w:val="single" w:color="000000" w:sz="4"/>
                  </w:tcBorders>
                </w:tcPr>
                <w:p>
                  <w:pPr>
                    <w:jc w:val="center"/>
                  </w:pPr>
                  <w:r>
                    <w:rPr>
                      <w:sz w:val="21"/>
                    </w:rPr>
                    <w:t>小写</w:t>
                  </w:r>
                  <w:r>
                    <w:rPr>
                      <w:sz w:val="21"/>
                    </w:rPr>
                    <w:t>：</w:t>
                  </w:r>
                  <w:r>
                    <w:rPr>
                      <w:sz w:val="21"/>
                      <w:u w:val="single"/>
                    </w:rPr>
                    <w:t xml:space="preserve">            </w:t>
                  </w:r>
                  <w:r>
                    <w:rPr>
                      <w:sz w:val="21"/>
                    </w:rPr>
                    <w:t>小</w:t>
                  </w:r>
                  <w:r>
                    <w:rPr>
                      <w:sz w:val="21"/>
                    </w:rPr>
                    <w:t>时</w:t>
                  </w:r>
                </w:p>
              </w:tc>
              <w:tc>
                <w:tcPr>
                  <w:tcW w:type="dxa" w:w="2456"/>
                  <w:tcBorders>
                    <w:top w:val="none" w:color="000000" w:sz="4"/>
                    <w:left w:val="none" w:color="000000" w:sz="4"/>
                    <w:bottom w:val="single" w:color="000000" w:sz="4"/>
                    <w:right w:val="single" w:color="000000" w:sz="4"/>
                  </w:tcBorders>
                </w:tcPr>
                <w:p>
                  <w:pPr>
                    <w:jc w:val="center"/>
                  </w:pPr>
                  <w:r>
                    <w:rPr>
                      <w:sz w:val="21"/>
                    </w:rPr>
                    <w:t>自合同签订之日起三年；（合同一年签一次，以当年考核合格作为下一年逐签的依据，若当年考核不合格，采购单位有权终止合同执行及取消成交单位以后年度续签合同的权利。</w:t>
                  </w:r>
                  <w:r>
                    <w:rPr>
                      <w:sz w:val="21"/>
                    </w:rPr>
                    <w:t>）</w:t>
                  </w:r>
                </w:p>
              </w:tc>
            </w:tr>
          </w:tbl>
          <w:p>
            <w:pPr>
              <w:jc w:val="both"/>
            </w:pPr>
          </w:p>
          <w:p>
            <w:pPr>
              <w:jc w:val="both"/>
            </w:pPr>
            <w:r>
              <w:rPr>
                <w:b/>
                <w:sz w:val="21"/>
              </w:rPr>
              <w:t>（</w:t>
            </w:r>
            <w:r>
              <w:rPr>
                <w:b/>
                <w:sz w:val="21"/>
              </w:rPr>
              <w:t>八</w:t>
            </w:r>
            <w:r>
              <w:rPr>
                <w:b/>
                <w:sz w:val="21"/>
              </w:rPr>
              <w:t>）项目考核评估</w:t>
            </w:r>
          </w:p>
          <w:p>
            <w:pPr>
              <w:ind w:firstLine="420"/>
              <w:jc w:val="both"/>
            </w:pPr>
            <w:r>
              <w:rPr>
                <w:sz w:val="21"/>
              </w:rPr>
              <w:t>采购人委托第三方评估机构对项目的管理、服务成效、经费使用等进行中期、末期两次评估，评估包含专业服务评估和财务综合评估。成交人必须接受采购人的项目评估，并按采购人要求配合提供相关评估所需要的文件资料。</w:t>
            </w:r>
          </w:p>
          <w:p>
            <w:pPr>
              <w:ind w:firstLine="420"/>
              <w:jc w:val="both"/>
            </w:pPr>
            <w:r>
              <w:rPr>
                <w:sz w:val="21"/>
              </w:rPr>
              <w:t>1.评估标准和结果</w:t>
            </w:r>
          </w:p>
          <w:p>
            <w:pPr>
              <w:ind w:firstLine="420"/>
              <w:jc w:val="both"/>
            </w:pPr>
            <w:r>
              <w:rPr>
                <w:sz w:val="21"/>
              </w:rPr>
              <w:t>评估结果采用百分制，分优秀、良好、合格、基本合格、不合格五个等级， 90分或以上为优秀；80分至90分（不含90分）为良好；70分至80分（不含80分）为合格；60分至70分（不含70分）为基本合格；60分（不含60分）以下为不合格。项目开展期间，成交人因管理不到位被采购人连续或累计3次发出提醒函，限期内整改不及时、不到位的，评估结果不能评为优秀或良好。项目开展期间有以下情形之一的，评估结果评为不合格：</w:t>
            </w:r>
          </w:p>
          <w:p>
            <w:pPr>
              <w:ind w:firstLine="420"/>
              <w:jc w:val="both"/>
            </w:pPr>
            <w:r>
              <w:rPr>
                <w:sz w:val="21"/>
              </w:rPr>
              <w:t>①违反合同要求的；</w:t>
            </w:r>
          </w:p>
          <w:p>
            <w:pPr>
              <w:ind w:firstLine="420"/>
              <w:jc w:val="both"/>
            </w:pPr>
            <w:r>
              <w:rPr>
                <w:sz w:val="21"/>
              </w:rPr>
              <w:t>②严重违反禁毒社会工作专业守则，伪造服务档案的；</w:t>
            </w:r>
          </w:p>
          <w:p>
            <w:pPr>
              <w:ind w:firstLine="420"/>
              <w:jc w:val="both"/>
            </w:pPr>
            <w:r>
              <w:rPr>
                <w:sz w:val="21"/>
              </w:rPr>
              <w:t>③财务评估结果为不及格的；</w:t>
            </w:r>
          </w:p>
          <w:p>
            <w:pPr>
              <w:ind w:firstLine="420"/>
              <w:jc w:val="both"/>
            </w:pPr>
            <w:r>
              <w:rPr>
                <w:sz w:val="21"/>
              </w:rPr>
              <w:t>④违反国家法律法规及有关规定其他情形的。</w:t>
            </w:r>
          </w:p>
          <w:p>
            <w:pPr>
              <w:ind w:firstLine="420"/>
              <w:jc w:val="both"/>
            </w:pPr>
            <w:r>
              <w:rPr>
                <w:sz w:val="21"/>
              </w:rPr>
              <w:t>成交人应重视评估结果，按照评估反馈要求改进服务。</w:t>
            </w:r>
          </w:p>
          <w:p>
            <w:pPr>
              <w:ind w:firstLine="420"/>
              <w:jc w:val="both"/>
            </w:pPr>
            <w:r>
              <w:rPr>
                <w:sz w:val="21"/>
              </w:rPr>
              <w:t>2.评估结果应用</w:t>
            </w:r>
          </w:p>
          <w:p>
            <w:pPr>
              <w:ind w:firstLine="420"/>
              <w:jc w:val="both"/>
            </w:pPr>
            <w:r>
              <w:rPr>
                <w:sz w:val="21"/>
              </w:rPr>
              <w:t>成交人年度中期、末期服务项目评估结果为合格或以上的，不扣减项目总经费。如中期评估未达合格标准的，成交人应根据评估意见在采购人指定的期限内进行限期整改，整改后，评估结果为合格或以上的，方可向采购人申请办理款项手续；整改仍不合格的，项目经费不予支付，并终止合同；如末期评估未达合格标准的经整改仍不及格的，项目经费不予支付。</w:t>
            </w:r>
          </w:p>
          <w:p>
            <w:pPr>
              <w:ind w:firstLine="420"/>
              <w:jc w:val="both"/>
            </w:pPr>
            <w:r>
              <w:rPr>
                <w:sz w:val="21"/>
              </w:rPr>
              <w:t>成交人对与评估相关的服务及财务资料，应当保存5年或以上，以配合财政、审计等部门检查。</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1.采购代理机构：本项目是指广东志正招标有限公司，负责整个采购活动的组织，依法负责编制和发布磋商文件，对磋商文件拥有最终的解释权，不以任何身份出任磋商小组成员。</w:t>
      </w:r>
    </w:p>
    <w:p>
      <w:pPr>
        <w:ind w:firstLine="480"/>
      </w:pPr>
      <w:r>
        <w:rPr/>
        <w:t>2.采购人：本项目是指</w:t>
      </w:r>
      <w:r>
        <w:rPr/>
        <w:t>广州市黄埔区新龙镇人民政府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不收取。</w:t>
            </w:r>
          </w:p>
        </w:tc>
      </w:tr>
      <w:tr>
        <w:tc>
          <w:tcPr>
            <w:tcW w:type="dxa" w:w="1051"/>
          </w:tcPr>
          <w:p>
            <w:pPr>
              <w:jc w:val="center"/>
            </w:pPr>
            <w:r>
              <w:rPr/>
              <w:t>16</w:t>
            </w:r>
          </w:p>
        </w:tc>
        <w:tc>
          <w:tcPr>
            <w:tcW w:type="dxa" w:w="2252"/>
          </w:tcPr>
          <w:p>
            <w:r>
              <w:rPr/>
              <w:t>代理服务费收取方式</w:t>
            </w:r>
          </w:p>
        </w:tc>
        <w:tc>
          <w:tcPr>
            <w:tcW w:type="dxa" w:w="5004"/>
          </w:tcPr>
          <w:p>
            <w:r>
              <w:rPr/>
              <w:t>不收取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4"/>
        </w:rPr>
        <w:t>11.关于分支机构</w:t>
      </w:r>
    </w:p>
    <w:p>
      <w:pPr>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本项目不收取磋商保证金。</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广东志正招标有限公司（https:https://www.zztender.com/）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广东志正招标有限公司（https:https://www.zztender.com/）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内控部</w:t>
      </w:r>
    </w:p>
    <w:p>
      <w:pPr>
        <w:ind w:firstLine="480"/>
      </w:pPr>
      <w:r>
        <w:rPr/>
        <w:t>电话：</w:t>
      </w:r>
      <w:r>
        <w:rPr/>
        <w:t>02087512543</w:t>
      </w:r>
    </w:p>
    <w:p>
      <w:pPr>
        <w:ind w:firstLine="480"/>
      </w:pPr>
      <w:r>
        <w:rPr/>
        <w:t>传真：</w:t>
      </w:r>
      <w:r>
        <w:rPr/>
        <w:t>87554028</w:t>
      </w:r>
    </w:p>
    <w:p>
      <w:pPr>
        <w:ind w:firstLine="480"/>
      </w:pPr>
      <w:r>
        <w:rPr/>
        <w:t>邮箱：</w:t>
      </w:r>
      <w:r>
        <w:rPr/>
        <w:t>nkb@zztender.com</w:t>
      </w:r>
    </w:p>
    <w:p>
      <w:pPr>
        <w:ind w:firstLine="480"/>
      </w:pPr>
      <w:r>
        <w:rPr/>
        <w:t>地址：</w:t>
      </w:r>
      <w:r>
        <w:rPr/>
        <w:t>广东省广州市天河区龙怡路117号银汇大厦5楼</w:t>
      </w:r>
    </w:p>
    <w:p>
      <w:pPr>
        <w:ind w:firstLine="480"/>
      </w:pPr>
      <w:r>
        <w:rPr/>
        <w:t>邮编：</w:t>
      </w:r>
      <w:r>
        <w:rPr/>
        <w:t>510640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政府采购监督管理机构名称：广州市黄埔区财政局债务和采购管理处</w:t>
      </w:r>
    </w:p>
    <w:p>
      <w:r>
        <w:rPr/>
        <w:t>地  址：广州市黄埔区香雪三路1号行政中心E座123室</w:t>
      </w:r>
    </w:p>
    <w:p>
      <w:r>
        <w:rPr/>
        <w:t>电  话：020-82376610</w:t>
      </w:r>
    </w:p>
    <w:p>
      <w:r>
        <w:rPr/>
        <w:t>邮  编：510700</w:t>
      </w:r>
    </w:p>
    <w:p>
      <w:r>
        <w:rPr/>
        <w:t>传  真：020-82118411</w:t>
      </w:r>
    </w:p>
    <w:p/>
    <w:p>
      <w:r>
        <w:rPr>
          <w:b/>
          <w:sz w:val="28"/>
        </w:rPr>
        <w:t>八、合同签订和履行</w:t>
      </w:r>
    </w:p>
    <w:p>
      <w:r>
        <w:rPr>
          <w:b/>
          <w:sz w:val="24"/>
        </w:rPr>
        <w:t>1.合同签订</w:t>
      </w:r>
    </w:p>
    <w:p>
      <w:pPr>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2.3有融资要求的成交供应商可根据自身情况，在广东省政府采购网上自行选择金融机构及其融资产品，凭政府采购成交通知书或政府采购合同向金融机构提出融资申请。</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广州市黄埔区新龙镇禁毒专业社工服务采购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广东志正招标有限公司</w:t>
      </w:r>
      <w:r>
        <w:rPr/>
        <w:t>统一对外发布。</w:t>
      </w:r>
    </w:p>
    <w:p>
      <w:pPr>
        <w:ind w:firstLine="480"/>
      </w:pPr>
      <w:r>
        <w:rPr/>
        <w:t>（2）对</w:t>
      </w:r>
      <w:r>
        <w:rPr/>
        <w:t>广东志正招标有限公司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（4）因重大变故，采购任务取消的。</w:t>
      </w:r>
    </w:p>
    <w:p>
      <w:pPr>
        <w:ind w:firstLine="480"/>
      </w:pPr>
      <w:r>
        <w:rPr/>
        <w:t>（5）法律、法规以及磋商文件规定其他情形。</w:t>
      </w:r>
    </w:p>
    <w:p>
      <w:pPr>
        <w:ind w:firstLine="480"/>
      </w:pPr>
      <w:r>
        <w:rPr/>
        <w:t>对终止采购的项目，磋商小组应出具采购文件是否存在不合理条款的论证意见。</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pPr>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采购包1（广州市黄埔区新龙镇禁毒专业社工服务采购项目）：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ind w:firstLine="480"/>
      </w:pPr>
      <w:r>
        <w:rPr/>
        <w:t>表一资格性审查表：</w:t>
      </w:r>
    </w:p>
    <w:p>
      <w:pPr>
        <w:ind w:firstLine="480"/>
      </w:pPr>
    </w:p>
    <w:p/>
    <w:p>
      <w:r>
        <w:rPr/>
        <w:t>采购包1（广州市黄埔区新龙镇禁毒专业社工服务采购项目）：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具有独立承担民事责任的能力，提供最新的参与磋商的供应商营业执照副本复印件，若以不具有独立承担民事责任能力的分支机构投标，须取得具有法人资格的总公司的授权书，并提供总公司营业执照副本复印件。</w:t>
            </w:r>
          </w:p>
        </w:tc>
      </w:tr>
      <w:tr>
        <w:tc>
          <w:tcPr>
            <w:tcW w:type="dxa" w:w="890"/>
          </w:tcPr>
          <w:p>
            <w:r>
              <w:rPr/>
              <w:t>2</w:t>
            </w:r>
          </w:p>
        </w:tc>
        <w:tc>
          <w:tcPr>
            <w:tcW w:type="dxa" w:w="3178"/>
          </w:tcPr>
          <w:p>
            <w:r>
              <w:rPr/>
              <w:t>有依法缴纳税收和社会保障资金的良好记录</w:t>
            </w:r>
          </w:p>
        </w:tc>
        <w:tc>
          <w:tcPr>
            <w:tcW w:type="dxa" w:w="4238"/>
          </w:tcPr>
          <w:p>
            <w:r>
              <w:rPr/>
              <w:t>有依法缴纳税收和社会保障资金的良好记录，提供签署及盖章合格的响应承诺函。</w:t>
            </w:r>
          </w:p>
        </w:tc>
      </w:tr>
      <w:tr>
        <w:tc>
          <w:tcPr>
            <w:tcW w:type="dxa" w:w="890"/>
          </w:tcPr>
          <w:p>
            <w:r>
              <w:rPr/>
              <w:t>3</w:t>
            </w:r>
          </w:p>
        </w:tc>
        <w:tc>
          <w:tcPr>
            <w:tcW w:type="dxa" w:w="3178"/>
          </w:tcPr>
          <w:p>
            <w:r>
              <w:rPr/>
              <w:t>具有良好的商业信誉和健全的财务会计制度</w:t>
            </w:r>
          </w:p>
        </w:tc>
        <w:tc>
          <w:tcPr>
            <w:tcW w:type="dxa" w:w="4238"/>
          </w:tcPr>
          <w:p>
            <w:r>
              <w:rPr/>
              <w:t>具有良好的商业信誉和健全的财务会计制度，提供签署及盖章合格的响应承诺函。</w:t>
            </w:r>
          </w:p>
        </w:tc>
      </w:tr>
      <w:tr>
        <w:tc>
          <w:tcPr>
            <w:tcW w:type="dxa" w:w="890"/>
          </w:tcPr>
          <w:p>
            <w:r>
              <w:rPr/>
              <w:t>4</w:t>
            </w:r>
          </w:p>
        </w:tc>
        <w:tc>
          <w:tcPr>
            <w:tcW w:type="dxa" w:w="3178"/>
          </w:tcPr>
          <w:p>
            <w:r>
              <w:rPr/>
              <w:t>履行合同所必需的设备和专业技术能力</w:t>
            </w:r>
          </w:p>
        </w:tc>
        <w:tc>
          <w:tcPr>
            <w:tcW w:type="dxa" w:w="4238"/>
          </w:tcPr>
          <w:p>
            <w:r>
              <w:rPr/>
              <w:t>具有履行合同所必需的设备和专业技术能力，提供签署及盖章合格的响应承诺函。</w:t>
            </w:r>
          </w:p>
        </w:tc>
      </w:tr>
      <w:tr>
        <w:tc>
          <w:tcPr>
            <w:tcW w:type="dxa" w:w="890"/>
          </w:tcPr>
          <w:p>
            <w:r>
              <w:rPr/>
              <w:t>5</w:t>
            </w:r>
          </w:p>
        </w:tc>
        <w:tc>
          <w:tcPr>
            <w:tcW w:type="dxa" w:w="3178"/>
          </w:tcPr>
          <w:p>
            <w:r>
              <w:rPr/>
              <w:t>参加采购活动前3年内，在经营活动中没有重大违法记录</w:t>
            </w:r>
          </w:p>
        </w:tc>
        <w:tc>
          <w:tcPr>
            <w:tcW w:type="dxa" w:w="4238"/>
          </w:tcPr>
          <w:p>
            <w:r>
              <w:rPr/>
              <w:t>参加采购活动前3年内，在经营活动中没有重大违法记录：参加政府采购活动前三年内，在经营活动中没有重大违法记录，提供签署及盖章合格的响应承诺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tc>
      </w:tr>
      <w:tr>
        <w:tc>
          <w:tcPr>
            <w:tcW w:type="dxa" w:w="890"/>
          </w:tcPr>
          <w:p>
            <w:r>
              <w:rPr/>
              <w:t>6</w:t>
            </w:r>
          </w:p>
        </w:tc>
        <w:tc>
          <w:tcPr>
            <w:tcW w:type="dxa" w:w="3178"/>
          </w:tcPr>
          <w:p>
            <w:r>
              <w:rPr/>
              <w:t>信用记录</w:t>
            </w:r>
          </w:p>
        </w:tc>
        <w:tc>
          <w:tcPr>
            <w:tcW w:type="dxa" w:w="4238"/>
          </w:tcPr>
          <w:p>
            <w:r>
              <w:rPr/>
              <w:t>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供应商具有分公司的，其所属分公司有上述不良信用记录的，视同该供应商存在不良信用记录。③若供应商为分公司的，其所属总公司（总所）存在上述不良信用记录的，视同该分公司存在不良信用记录。</w:t>
            </w:r>
          </w:p>
        </w:tc>
      </w:tr>
      <w:tr>
        <w:tc>
          <w:tcPr>
            <w:tcW w:type="dxa" w:w="890"/>
          </w:tcPr>
          <w:p>
            <w:r>
              <w:rPr/>
              <w:t>7</w:t>
            </w:r>
          </w:p>
        </w:tc>
        <w:tc>
          <w:tcPr>
            <w:tcW w:type="dxa" w:w="3178"/>
          </w:tcPr>
          <w:p>
            <w:r>
              <w:rPr/>
              <w:t>供应商必须符合法律、行政法规规定的其他条件</w:t>
            </w:r>
          </w:p>
        </w:tc>
        <w:tc>
          <w:tcPr>
            <w:tcW w:type="dxa" w:w="4238"/>
          </w:tcPr>
          <w:p>
            <w:r>
              <w:rPr/>
              <w:t>不得参与同一采购项目竞争的供应商（提供签署及盖章合格的响应承诺函）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tc>
      </w:tr>
      <w:tr>
        <w:tc>
          <w:tcPr>
            <w:tcW w:type="dxa" w:w="890"/>
          </w:tcPr>
          <w:p>
            <w:r>
              <w:rPr/>
              <w:t>8</w:t>
            </w:r>
          </w:p>
        </w:tc>
        <w:tc>
          <w:tcPr>
            <w:tcW w:type="dxa" w:w="3178"/>
          </w:tcPr>
          <w:p>
            <w:r>
              <w:rPr/>
              <w:t>其他</w:t>
            </w:r>
          </w:p>
        </w:tc>
        <w:tc>
          <w:tcPr>
            <w:tcW w:type="dxa" w:w="4238"/>
          </w:tcPr>
          <w:p>
            <w:r>
              <w:rPr/>
              <w:t>符合国家有关政事分开、政社分开、政企分开的要求；【供应商提供声明函，格式自拟，并对声明函的真实性负责】</w:t>
            </w:r>
          </w:p>
        </w:tc>
      </w:tr>
      <w:tr>
        <w:tc>
          <w:tcPr>
            <w:tcW w:type="dxa" w:w="890"/>
          </w:tcPr>
          <w:p>
            <w:r>
              <w:rPr/>
              <w:t>9</w:t>
            </w:r>
          </w:p>
        </w:tc>
        <w:tc>
          <w:tcPr>
            <w:tcW w:type="dxa" w:w="3178"/>
          </w:tcPr>
          <w:p>
            <w:r>
              <w:rPr/>
              <w:t>其他</w:t>
            </w:r>
          </w:p>
        </w:tc>
        <w:tc>
          <w:tcPr>
            <w:tcW w:type="dxa" w:w="4238"/>
          </w:tcPr>
          <w:p>
            <w:r>
              <w:rPr/>
              <w:t>本项目不接受联合体参与磋商。</w:t>
            </w:r>
          </w:p>
        </w:tc>
      </w:tr>
      <w:tr>
        <w:tc>
          <w:tcPr>
            <w:tcW w:type="dxa" w:w="890"/>
          </w:tcPr>
          <w:p>
            <w:r>
              <w:rPr/>
              <w:t>10</w:t>
            </w:r>
          </w:p>
        </w:tc>
        <w:tc>
          <w:tcPr>
            <w:tcW w:type="dxa" w:w="3178"/>
          </w:tcPr>
          <w:p>
            <w:r>
              <w:rPr/>
              <w:t>落实政府采购政策需满足的资格要求：</w:t>
            </w:r>
          </w:p>
        </w:tc>
        <w:tc>
          <w:tcPr>
            <w:tcW w:type="dxa" w:w="4238"/>
          </w:tcPr>
          <w:p>
            <w:r>
              <w:rPr/>
              <w:t>无</w:t>
            </w:r>
          </w:p>
        </w:tc>
      </w:tr>
    </w:tbl>
    <w:p/>
    <w:p>
      <w:pPr>
        <w:ind w:firstLine="480"/>
      </w:pPr>
      <w:r>
        <w:rPr/>
        <w:t>表二符合性审查表：</w:t>
      </w:r>
    </w:p>
    <w:p>
      <w:pPr>
        <w:ind w:firstLine="480"/>
      </w:pPr>
    </w:p>
    <w:p/>
    <w:p>
      <w:r>
        <w:rPr/>
        <w:t>采购包1（广州市黄埔区新龙镇禁毒专业社工服务采购项目）：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第一阶段审查（磋商前）</w:t>
            </w:r>
          </w:p>
        </w:tc>
        <w:tc>
          <w:tcPr>
            <w:tcW w:type="dxa" w:w="4238"/>
          </w:tcPr>
          <w:p>
            <w:r>
              <w:rPr/>
              <w:t>符合磋商文件规定的资格要求。</w:t>
            </w:r>
          </w:p>
        </w:tc>
      </w:tr>
      <w:tr>
        <w:tc>
          <w:tcPr>
            <w:tcW w:type="dxa" w:w="890"/>
          </w:tcPr>
          <w:p>
            <w:r>
              <w:rPr/>
              <w:t>2</w:t>
            </w:r>
          </w:p>
        </w:tc>
        <w:tc>
          <w:tcPr>
            <w:tcW w:type="dxa" w:w="3178"/>
          </w:tcPr>
          <w:p>
            <w:r>
              <w:rPr/>
              <w:t>第一阶段审查（磋商前）</w:t>
            </w:r>
          </w:p>
        </w:tc>
        <w:tc>
          <w:tcPr>
            <w:tcW w:type="dxa" w:w="4238"/>
          </w:tcPr>
          <w:p>
            <w:r>
              <w:rPr/>
              <w:t>符合磋商有效期</w:t>
            </w:r>
          </w:p>
        </w:tc>
      </w:tr>
      <w:tr>
        <w:tc>
          <w:tcPr>
            <w:tcW w:type="dxa" w:w="890"/>
          </w:tcPr>
          <w:p>
            <w:r>
              <w:rPr/>
              <w:t>3</w:t>
            </w:r>
          </w:p>
        </w:tc>
        <w:tc>
          <w:tcPr>
            <w:tcW w:type="dxa" w:w="3178"/>
          </w:tcPr>
          <w:p>
            <w:r>
              <w:rPr/>
              <w:t>第一阶段审查（磋商前）</w:t>
            </w:r>
          </w:p>
        </w:tc>
        <w:tc>
          <w:tcPr>
            <w:tcW w:type="dxa" w:w="4238"/>
          </w:tcPr>
          <w:p>
            <w:r>
              <w:rPr/>
              <w:t>响应文件按照磋商文件规定要求签署、盖章</w:t>
            </w:r>
          </w:p>
        </w:tc>
      </w:tr>
      <w:tr>
        <w:tc>
          <w:tcPr>
            <w:tcW w:type="dxa" w:w="890"/>
          </w:tcPr>
          <w:p>
            <w:r>
              <w:rPr/>
              <w:t>4</w:t>
            </w:r>
          </w:p>
        </w:tc>
        <w:tc>
          <w:tcPr>
            <w:tcW w:type="dxa" w:w="3178"/>
          </w:tcPr>
          <w:p>
            <w:r>
              <w:rPr/>
              <w:t>第一阶段审查（磋商前）</w:t>
            </w:r>
          </w:p>
        </w:tc>
        <w:tc>
          <w:tcPr>
            <w:tcW w:type="dxa" w:w="4238"/>
          </w:tcPr>
          <w:p>
            <w:r>
              <w:rPr/>
              <w:t>完全满足磋商文件中“★”标注的条款（若磋商文件“★”发生变动，本条将在第二阶段审查中进行评审）</w:t>
            </w:r>
          </w:p>
        </w:tc>
      </w:tr>
      <w:tr>
        <w:tc>
          <w:tcPr>
            <w:tcW w:type="dxa" w:w="890"/>
          </w:tcPr>
          <w:p>
            <w:r>
              <w:rPr/>
              <w:t>5</w:t>
            </w:r>
          </w:p>
        </w:tc>
        <w:tc>
          <w:tcPr>
            <w:tcW w:type="dxa" w:w="3178"/>
          </w:tcPr>
          <w:p>
            <w:r>
              <w:rPr/>
              <w:t>第二阶段审查（磋商后）</w:t>
            </w:r>
          </w:p>
        </w:tc>
        <w:tc>
          <w:tcPr>
            <w:tcW w:type="dxa" w:w="4238"/>
          </w:tcPr>
          <w:p>
            <w:r>
              <w:rPr/>
              <w:t>最终报价未超过本项目服务工时有效范围</w:t>
            </w:r>
          </w:p>
        </w:tc>
      </w:tr>
      <w:tr>
        <w:tc>
          <w:tcPr>
            <w:tcW w:type="dxa" w:w="890"/>
          </w:tcPr>
          <w:p>
            <w:r>
              <w:rPr/>
              <w:t>6</w:t>
            </w:r>
          </w:p>
        </w:tc>
        <w:tc>
          <w:tcPr>
            <w:tcW w:type="dxa" w:w="3178"/>
          </w:tcPr>
          <w:p>
            <w:r>
              <w:rPr/>
              <w:t>第二阶段审查（磋商后）</w:t>
            </w:r>
          </w:p>
        </w:tc>
        <w:tc>
          <w:tcPr>
            <w:tcW w:type="dxa" w:w="4238"/>
          </w:tcPr>
          <w:p>
            <w:r>
              <w:rPr/>
              <w:t>完全满足磋商文件中“★”标注的条款（若磋商文件“★”发生变动的，本条将针对供应商重新提交的响应文件进行评审）</w:t>
            </w:r>
          </w:p>
        </w:tc>
      </w:tr>
      <w:tr>
        <w:tc>
          <w:tcPr>
            <w:tcW w:type="dxa" w:w="890"/>
          </w:tcPr>
          <w:p>
            <w:r>
              <w:rPr/>
              <w:t>7</w:t>
            </w:r>
          </w:p>
        </w:tc>
        <w:tc>
          <w:tcPr>
            <w:tcW w:type="dxa" w:w="3178"/>
          </w:tcPr>
          <w:p>
            <w:r>
              <w:rPr/>
              <w:t>第二阶段审查（磋商后）</w:t>
            </w:r>
          </w:p>
        </w:tc>
        <w:tc>
          <w:tcPr>
            <w:tcW w:type="dxa" w:w="4238"/>
          </w:tcPr>
          <w:p>
            <w:r>
              <w:rPr/>
              <w:t>未出现有关法律、法规、规章或磋商文件规定的属于响应无效的情形</w:t>
            </w:r>
          </w:p>
        </w:tc>
      </w:tr>
    </w:tbl>
    <w:p/>
    <w:p>
      <w:r>
        <w:rPr>
          <w:b/>
          <w:sz w:val="24"/>
        </w:rPr>
        <w:t>2.响应文件澄清</w:t>
      </w:r>
    </w:p>
    <w:p>
      <w:pPr>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采购包1(广州市黄埔区新龙镇禁毒专业社工服务采购项目):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技术部分50.0分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对吸毒人员群体的了解情况 (6.0分)</w:t>
            </w:r>
            <w:r>
              <w:rPr/>
              <w:t>，（等次分值选择：</w:t>
            </w:r>
            <w:r>
              <w:rPr/>
              <w:t>0.0;</w:t>
            </w:r>
            <w:r>
              <w:rPr/>
              <w:t>2.0;</w:t>
            </w:r>
            <w:r>
              <w:rPr/>
              <w:t>4.0;</w:t>
            </w:r>
            <w:r>
              <w:rPr/>
              <w:t>6.0;</w:t>
            </w:r>
            <w:r>
              <w:rPr/>
              <w:t>）</w:t>
            </w:r>
          </w:p>
        </w:tc>
        <w:tc>
          <w:tcPr>
            <w:tcW w:type="dxa" w:w="5076"/>
          </w:tcPr>
          <w:p>
            <w:pPr>
              <w:jc w:val="left"/>
            </w:pPr>
            <w:r>
              <w:rPr/>
              <w:t>供应商对吸毒人员群体的了解情况（包括但不限于：本项目所在地吸毒人员的分布、现状）进行评审： 1、有提供与本项目相关的报告，内容对在项目所地吸毒人员的综合情况了解、分析专业、可靠，能对本项目有效支持的，得 6分； 2、有提供与本项目相关的报告，内容对在项目所地吸毒人员的综合情况了解、分析专业、可靠，基本能对本项目支持的，得 4分； 3、有提供与本项目相关的报告，内容对在项目所地吸毒人员的综合情况了解、分析专业、可靠，部分能对本项目支持的，得 2 分； 4、不提供与本项目相关的报告，得 0 分。 注：提供相关需求分析报告材料复印件作为证明材料，无或未按要求提供证明材料的不得分。</w:t>
            </w:r>
          </w:p>
        </w:tc>
      </w:tr>
      <w:tr>
        <w:tc>
          <w:tcPr>
            <w:tcW w:type="dxa" w:w="922"/>
            <w:gridSpan w:val="2"/>
            <w:vMerge/>
          </w:tcPr>
          <w:p/>
        </w:tc>
        <w:tc>
          <w:tcPr>
            <w:tcW w:type="dxa" w:w="2307"/>
          </w:tcPr>
          <w:p>
            <w:pPr>
              <w:jc w:val="left"/>
            </w:pPr>
            <w:r>
              <w:rPr/>
              <w:t>服务项目总体计划 (5.0分)</w:t>
            </w:r>
            <w:r>
              <w:rPr/>
              <w:t>，（等次分值选择：</w:t>
            </w:r>
            <w:r>
              <w:rPr/>
              <w:t>0.0;</w:t>
            </w:r>
            <w:r>
              <w:rPr/>
              <w:t>1.0;</w:t>
            </w:r>
            <w:r>
              <w:rPr/>
              <w:t>3.0;</w:t>
            </w:r>
            <w:r>
              <w:rPr/>
              <w:t>5.0;</w:t>
            </w:r>
            <w:r>
              <w:rPr/>
              <w:t>）</w:t>
            </w:r>
          </w:p>
        </w:tc>
        <w:tc>
          <w:tcPr>
            <w:tcW w:type="dxa" w:w="5076"/>
          </w:tcPr>
          <w:p>
            <w:pPr>
              <w:jc w:val="left"/>
            </w:pPr>
            <w:r>
              <w:rPr/>
              <w:t>服务项目总体计划（包括但不限于服务主题、服务理念或模式、服务目标、服务策略等方面）：总体计划明确，合理性强，符合项目现状，可行性程度高，完全满足或优于采购需求，得5分；总体计划较为明确，具有一定的合理性，基本符合项目现状，项目总体计划有一定可行性，基本满足采购需求，得3分；总体计划不够明确，合理性欠缺，不够符合项目现状，项目总体计划可行性欠缺，不够满足采购需求，得1分；其他或无响应得0分。</w:t>
            </w:r>
          </w:p>
        </w:tc>
      </w:tr>
      <w:tr>
        <w:tc>
          <w:tcPr>
            <w:tcW w:type="dxa" w:w="922"/>
            <w:gridSpan w:val="2"/>
            <w:vMerge/>
          </w:tcPr>
          <w:p/>
        </w:tc>
        <w:tc>
          <w:tcPr>
            <w:tcW w:type="dxa" w:w="2307"/>
          </w:tcPr>
          <w:p>
            <w:pPr>
              <w:jc w:val="left"/>
            </w:pPr>
            <w:r>
              <w:rPr/>
              <w:t>服务开展方案和服务承诺 (9.0分)</w:t>
            </w:r>
            <w:r>
              <w:rPr/>
              <w:t>，（等次分值选择：</w:t>
            </w:r>
            <w:r>
              <w:rPr/>
              <w:t>0.0;</w:t>
            </w:r>
            <w:r>
              <w:rPr/>
              <w:t>1.0;</w:t>
            </w:r>
            <w:r>
              <w:rPr/>
              <w:t>6.0;</w:t>
            </w:r>
            <w:r>
              <w:rPr/>
              <w:t>9.0;</w:t>
            </w:r>
            <w:r>
              <w:rPr/>
              <w:t>）</w:t>
            </w:r>
          </w:p>
        </w:tc>
        <w:tc>
          <w:tcPr>
            <w:tcW w:type="dxa" w:w="5076"/>
          </w:tcPr>
          <w:p>
            <w:pPr>
              <w:jc w:val="left"/>
            </w:pPr>
            <w:r>
              <w:rPr/>
              <w:t>服务开展方案和服务承诺包含但不限于以下内容：(一)服务流程；(二)跟踪服务；(三)服务承诺。 服务开展方案和服务承诺详细完善，可行性高，完全满足或优于采购需求，得9分；服务开展方案和服务承诺基本完善，基本可行，基本满足采购需求，得6分；服务开展方案和服务承诺不太详细完善，欠缺可行性，得1分；其他或无响应得0分。</w:t>
            </w:r>
          </w:p>
        </w:tc>
      </w:tr>
      <w:tr>
        <w:tc>
          <w:tcPr>
            <w:tcW w:type="dxa" w:w="922"/>
            <w:gridSpan w:val="2"/>
            <w:vMerge/>
          </w:tcPr>
          <w:p/>
        </w:tc>
        <w:tc>
          <w:tcPr>
            <w:tcW w:type="dxa" w:w="2307"/>
          </w:tcPr>
          <w:p>
            <w:pPr>
              <w:jc w:val="left"/>
            </w:pPr>
            <w:r>
              <w:rPr/>
              <w:t>项目团队人员1 (4.0分)</w:t>
            </w:r>
            <w:r>
              <w:rPr/>
              <w:t>，（等次分值选择：</w:t>
            </w:r>
            <w:r>
              <w:rPr/>
              <w:t>0.0;</w:t>
            </w:r>
            <w:r>
              <w:rPr/>
              <w:t>1.0;</w:t>
            </w:r>
            <w:r>
              <w:rPr/>
              <w:t>2.0;</w:t>
            </w:r>
            <w:r>
              <w:rPr/>
              <w:t>3.0;</w:t>
            </w:r>
            <w:r>
              <w:rPr/>
              <w:t>4.0;</w:t>
            </w:r>
            <w:r>
              <w:rPr/>
              <w:t>）</w:t>
            </w:r>
          </w:p>
        </w:tc>
        <w:tc>
          <w:tcPr>
            <w:tcW w:type="dxa" w:w="5076"/>
          </w:tcPr>
          <w:p>
            <w:pPr>
              <w:jc w:val="left"/>
            </w:pPr>
            <w:r>
              <w:rPr/>
              <w:t>项目主任：（1）具有社会工作师证书，得1分；具有高级社会工作师证书，得2分；（不重复得分） （2）具备不少于3年禁毒社会服务项目管理经验，得1分； （3）具备本科或以上学历，得1分。本项最高得4分。 （同时提供①社会工作师证书或高级社会工作师证书 扫描件；②不少于3年的禁毒社会服务项目管理经验工作证明材料扫描件（原服务机构证明或劳动合同）。③学历相关证明材料。④以上人员在投标人服务的外部证明材料，如提供劳动合同扫描件或投标人为上述人员购买至响应截止之日前6个月内任意一个月的社保证明复印件。未按要求提供证明材料的对应项不得分。）</w:t>
            </w:r>
          </w:p>
        </w:tc>
      </w:tr>
      <w:tr>
        <w:tc>
          <w:tcPr>
            <w:tcW w:type="dxa" w:w="922"/>
            <w:gridSpan w:val="2"/>
            <w:vMerge/>
          </w:tcPr>
          <w:p/>
        </w:tc>
        <w:tc>
          <w:tcPr>
            <w:tcW w:type="dxa" w:w="2307"/>
          </w:tcPr>
          <w:p>
            <w:pPr>
              <w:jc w:val="left"/>
            </w:pPr>
            <w:r>
              <w:rPr/>
              <w:t>项目团队人员2 (6.0分)</w:t>
            </w:r>
          </w:p>
        </w:tc>
        <w:tc>
          <w:tcPr>
            <w:tcW w:type="dxa" w:w="5076"/>
          </w:tcPr>
          <w:p>
            <w:pPr>
              <w:jc w:val="left"/>
            </w:pPr>
            <w:r>
              <w:rPr/>
              <w:t>服务社工（除项目中心主任外）：持有社工证、心理咨询师证或社会工作、社会学、社区管理与服务、心理学、法学相关专业毕业证书。 服务社工中有3名社工满足上述任一条件的，得 5 分。其中每多 1 名社工满足条件，加 0.5 分。 本项最高得 6 分。 （若供应商提供的社工人员不足6名的，此项不得分） 备注：需同时提供人员资格证书或学历证书复印件以及由供应商为其购买至响应截止之日前6个月内任意一个月的社保证明复印件。不符合要求或不提供证明材料的，不得分。</w:t>
            </w:r>
          </w:p>
        </w:tc>
      </w:tr>
      <w:tr>
        <w:tc>
          <w:tcPr>
            <w:tcW w:type="dxa" w:w="922"/>
            <w:gridSpan w:val="2"/>
            <w:vMerge/>
          </w:tcPr>
          <w:p/>
        </w:tc>
        <w:tc>
          <w:tcPr>
            <w:tcW w:type="dxa" w:w="2307"/>
          </w:tcPr>
          <w:p>
            <w:pPr>
              <w:jc w:val="left"/>
            </w:pPr>
            <w:r>
              <w:rPr/>
              <w:t>供应商综合管理能力 (8.0分)</w:t>
            </w:r>
            <w:r>
              <w:rPr/>
              <w:t>，（等次分值选择：</w:t>
            </w:r>
            <w:r>
              <w:rPr/>
              <w:t>0.0;</w:t>
            </w:r>
            <w:r>
              <w:rPr/>
              <w:t>1.0;</w:t>
            </w:r>
            <w:r>
              <w:rPr/>
              <w:t>3.0;</w:t>
            </w:r>
            <w:r>
              <w:rPr/>
              <w:t>6.0;</w:t>
            </w:r>
            <w:r>
              <w:rPr/>
              <w:t>8.0;</w:t>
            </w:r>
            <w:r>
              <w:rPr/>
              <w:t>）</w:t>
            </w:r>
          </w:p>
        </w:tc>
        <w:tc>
          <w:tcPr>
            <w:tcW w:type="dxa" w:w="5076"/>
          </w:tcPr>
          <w:p>
            <w:pPr>
              <w:jc w:val="left"/>
            </w:pPr>
            <w:r>
              <w:rPr/>
              <w:t>供应商综合管理能力（包括但不限于：机构设置、架构模式）进行评审： 1、机构设置合理，运作流畅，管理方式科学，得8分 ； 2、机构设置比较合理，运作比较流畅，管理方式比较科学，得6 分； 3、机构设置基本合理，运作基本流畅，管理方式基本科学，得 3分； 4、机构设置不够合理，运作不够流畅，管理方式不够科学，得 1分。</w:t>
            </w:r>
          </w:p>
        </w:tc>
      </w:tr>
      <w:tr>
        <w:tc>
          <w:tcPr>
            <w:tcW w:type="dxa" w:w="922"/>
            <w:gridSpan w:val="2"/>
            <w:vMerge/>
          </w:tcPr>
          <w:p/>
        </w:tc>
        <w:tc>
          <w:tcPr>
            <w:tcW w:type="dxa" w:w="2307"/>
          </w:tcPr>
          <w:p>
            <w:pPr>
              <w:jc w:val="left"/>
            </w:pPr>
            <w:r>
              <w:rPr/>
              <w:t>特色服务及应急方案 (7.0分)</w:t>
            </w:r>
            <w:r>
              <w:rPr/>
              <w:t>，（等次分值选择：</w:t>
            </w:r>
            <w:r>
              <w:rPr/>
              <w:t>0.0;</w:t>
            </w:r>
            <w:r>
              <w:rPr/>
              <w:t>1.0;</w:t>
            </w:r>
            <w:r>
              <w:rPr/>
              <w:t>3.0;</w:t>
            </w:r>
            <w:r>
              <w:rPr/>
              <w:t>5.0;</w:t>
            </w:r>
            <w:r>
              <w:rPr/>
              <w:t>7.0;</w:t>
            </w:r>
            <w:r>
              <w:rPr/>
              <w:t>）</w:t>
            </w:r>
          </w:p>
        </w:tc>
        <w:tc>
          <w:tcPr>
            <w:tcW w:type="dxa" w:w="5076"/>
          </w:tcPr>
          <w:p>
            <w:pPr>
              <w:jc w:val="left"/>
            </w:pPr>
            <w:r>
              <w:rPr/>
              <w:t>根据供应商的特色服务及应急方案（包括但不限于：特色服务、日常管理方案、突发事件的处理措施）进行评审： 1、特色服务方案合理、可行，日常管控方案及突发事件的处理措施详细、具体、可行，得7分； 2、特色服务方案较合理、较可行，日常管控方案及突发事件的处理措施较详细、较具体、较可行，得5分； 3、特色服务方案基本合理、基本可行，日常管控方案及突发事件的处理措施基本可行，得 3分； 4、特色服务方案不可行，日常管控方案及突发事件的处理措施不可行，得 1分。</w:t>
            </w:r>
          </w:p>
        </w:tc>
      </w:tr>
      <w:tr>
        <w:tc>
          <w:tcPr>
            <w:tcW w:type="dxa" w:w="922"/>
            <w:gridSpan w:val="2"/>
            <w:vMerge/>
          </w:tcPr>
          <w:p/>
        </w:tc>
        <w:tc>
          <w:tcPr>
            <w:tcW w:type="dxa" w:w="2307"/>
          </w:tcPr>
          <w:p>
            <w:pPr>
              <w:jc w:val="left"/>
            </w:pPr>
            <w:r>
              <w:rPr/>
              <w:t>服务团队督导、培训方案 (5.0分)</w:t>
            </w:r>
            <w:r>
              <w:rPr/>
              <w:t>，（等次分值选择：</w:t>
            </w:r>
            <w:r>
              <w:rPr/>
              <w:t>0.0;</w:t>
            </w:r>
            <w:r>
              <w:rPr/>
              <w:t>1.0;</w:t>
            </w:r>
            <w:r>
              <w:rPr/>
              <w:t>3.0;</w:t>
            </w:r>
            <w:r>
              <w:rPr/>
              <w:t>5.0;</w:t>
            </w:r>
            <w:r>
              <w:rPr/>
              <w:t>）</w:t>
            </w:r>
          </w:p>
        </w:tc>
        <w:tc>
          <w:tcPr>
            <w:tcW w:type="dxa" w:w="5076"/>
          </w:tcPr>
          <w:p>
            <w:pPr>
              <w:jc w:val="left"/>
            </w:pPr>
            <w:r>
              <w:rPr/>
              <w:t>服务团队督导、培训方案内容：培训内容禁毒元素丰富，禁毒专业知识培训占培训总课时一半以上，督导、培训方案切合实际，指导性程度高，完全满足或优于采购需求，得5分；培训内容有禁毒元素，禁毒专业知识培训占培训总课时不足一半，督导、培训方案基本切合实际，具有一定可行性指导性，部分满足采购需求，得3分；培训内容无禁毒元素，督导、培训方案不能切合实际，欠缺可行性，无法满足采购需求，得1分；其他或无响应得0分。</w:t>
            </w:r>
          </w:p>
        </w:tc>
      </w:tr>
      <w:tr>
        <w:tc>
          <w:tcPr>
            <w:tcW w:type="dxa" w:w="922"/>
            <w:gridSpan w:val="2"/>
            <w:vMerge w:val="restart"/>
          </w:tcPr>
          <w:p>
            <w:pPr>
              <w:jc w:val="center"/>
            </w:pPr>
            <w:r>
              <w:rPr/>
              <w:t>商务部分</w:t>
            </w:r>
          </w:p>
        </w:tc>
        <w:tc>
          <w:tcPr>
            <w:tcW w:type="dxa" w:w="2307"/>
          </w:tcPr>
          <w:p>
            <w:pPr>
              <w:jc w:val="left"/>
            </w:pPr>
            <w:r>
              <w:rPr/>
              <w:t>供应商财务管理执行能力  (8.0分)</w:t>
            </w:r>
            <w:r>
              <w:rPr/>
              <w:t>，（等次分值选择：</w:t>
            </w:r>
            <w:r>
              <w:rPr/>
              <w:t>0.0;</w:t>
            </w:r>
            <w:r>
              <w:rPr/>
              <w:t>2.0;</w:t>
            </w:r>
            <w:r>
              <w:rPr/>
              <w:t>4.0;</w:t>
            </w:r>
            <w:r>
              <w:rPr/>
              <w:t>6.0;</w:t>
            </w:r>
            <w:r>
              <w:rPr/>
              <w:t>8.0;</w:t>
            </w:r>
            <w:r>
              <w:rPr/>
              <w:t>）</w:t>
            </w:r>
          </w:p>
        </w:tc>
        <w:tc>
          <w:tcPr>
            <w:tcW w:type="dxa" w:w="5076"/>
          </w:tcPr>
          <w:p>
            <w:pPr>
              <w:jc w:val="left"/>
            </w:pPr>
            <w:r>
              <w:rPr/>
              <w:t>有规范的财务管理执行能力：  1、持有财会职业资格证（含从业资格证）的会计人员，会计为专职的得4分，会计为兼职的得2分。  2、财会职业资格证（含从业资格证）的出纳人员，出纳为专职的得4分，出纳为兼职的得2分。  【注：须提供上述人员的职业资格证（含从业资格证）、劳动或聘用合同、身份证复印件；会计和出纳同为一人兼任的或财会人员无从业资格证的得0分】</w:t>
            </w:r>
          </w:p>
        </w:tc>
      </w:tr>
      <w:tr>
        <w:tc>
          <w:tcPr>
            <w:tcW w:type="dxa" w:w="922"/>
            <w:gridSpan w:val="2"/>
            <w:vMerge/>
          </w:tcPr>
          <w:p/>
        </w:tc>
        <w:tc>
          <w:tcPr>
            <w:tcW w:type="dxa" w:w="2307"/>
          </w:tcPr>
          <w:p>
            <w:pPr>
              <w:jc w:val="left"/>
            </w:pPr>
            <w:r>
              <w:rPr/>
              <w:t>业绩情况 (8.0分)</w:t>
            </w:r>
            <w:r>
              <w:rPr/>
              <w:t>，（等次分值选择：</w:t>
            </w:r>
            <w:r>
              <w:rPr/>
              <w:t>0.0;</w:t>
            </w:r>
            <w:r>
              <w:rPr/>
              <w:t>2.0;</w:t>
            </w:r>
            <w:r>
              <w:rPr/>
              <w:t>4.0;</w:t>
            </w:r>
            <w:r>
              <w:rPr/>
              <w:t>6.0;</w:t>
            </w:r>
            <w:r>
              <w:rPr/>
              <w:t>8.0;</w:t>
            </w:r>
            <w:r>
              <w:rPr/>
              <w:t>）</w:t>
            </w:r>
          </w:p>
        </w:tc>
        <w:tc>
          <w:tcPr>
            <w:tcW w:type="dxa" w:w="5076"/>
          </w:tcPr>
          <w:p>
            <w:pPr>
              <w:jc w:val="left"/>
            </w:pPr>
            <w:r>
              <w:rPr/>
              <w:t>供应商自2020 年以来承接过的同类项目业绩，每提供一份项目业绩，得 2 分，最高得8分。 注：提供合同关键页复印件和有资质的评估机构出具的评估报告复印件，时间以合同签订时间为准。不提供或者提供的证明材料不完全的，不得分。</w:t>
            </w:r>
          </w:p>
        </w:tc>
      </w:tr>
      <w:tr>
        <w:tc>
          <w:tcPr>
            <w:tcW w:type="dxa" w:w="922"/>
            <w:gridSpan w:val="2"/>
            <w:vMerge/>
          </w:tcPr>
          <w:p/>
        </w:tc>
        <w:tc>
          <w:tcPr>
            <w:tcW w:type="dxa" w:w="2307"/>
          </w:tcPr>
          <w:p>
            <w:pPr>
              <w:jc w:val="left"/>
            </w:pPr>
            <w:r>
              <w:rPr/>
              <w:t>投标人专业实务能力 (8.0分)</w:t>
            </w:r>
          </w:p>
        </w:tc>
        <w:tc>
          <w:tcPr>
            <w:tcW w:type="dxa" w:w="5076"/>
          </w:tcPr>
          <w:p>
            <w:pPr>
              <w:jc w:val="left"/>
            </w:pPr>
            <w:r>
              <w:rPr/>
              <w:t>1.投标人2020年1月1日以来，具有社工专业实务研究方面的成果资料：每提供一项得1分，最高得2分； （提供在公开媒体或刊物上发布/表的相关文章或截图、扫描件）  2.投标人拟投入的团队人员中：具有禁毒方面的相关奖项，提供一项得1分，最高得6分，同一人员不重复得分。（提供奖项相关证明材料复印件，相关奖项无法证明人员信息的不得分）</w:t>
            </w:r>
          </w:p>
        </w:tc>
      </w:tr>
      <w:tr>
        <w:tc>
          <w:tcPr>
            <w:tcW w:type="dxa" w:w="922"/>
            <w:gridSpan w:val="2"/>
            <w:vMerge/>
          </w:tcPr>
          <w:p/>
        </w:tc>
        <w:tc>
          <w:tcPr>
            <w:tcW w:type="dxa" w:w="2307"/>
          </w:tcPr>
          <w:p>
            <w:pPr>
              <w:jc w:val="left"/>
            </w:pPr>
            <w:r>
              <w:rPr/>
              <w:t>供应商综合实力 (4.0分)</w:t>
            </w:r>
            <w:r>
              <w:rPr/>
              <w:t>，（等次分值选择：</w:t>
            </w:r>
            <w:r>
              <w:rPr/>
              <w:t>0.0;</w:t>
            </w:r>
            <w:r>
              <w:rPr/>
              <w:t>2.0;</w:t>
            </w:r>
            <w:r>
              <w:rPr/>
              <w:t>4.0;</w:t>
            </w:r>
            <w:r>
              <w:rPr/>
              <w:t>）</w:t>
            </w:r>
          </w:p>
        </w:tc>
        <w:tc>
          <w:tcPr>
            <w:tcW w:type="dxa" w:w="5076"/>
          </w:tcPr>
          <w:p>
            <w:pPr>
              <w:jc w:val="left"/>
            </w:pPr>
            <w:r>
              <w:rPr/>
              <w:t>供应商在2020年至今积极向各级人大代表、政协委员或相关部门提交事关社会服务发展的政策性提案、调研报告的，每提供一个得2分，最高得4分。  注：提交提案或报告复印件、相关部门办理情况复函或人大、政协等部门证明，或供应商出具的相关声明并加盖公章。无有效证明资料或无相关声明的不得分。</w:t>
            </w:r>
          </w:p>
        </w:tc>
      </w:tr>
      <w:tr>
        <w:tc>
          <w:tcPr>
            <w:tcW w:type="dxa" w:w="922"/>
            <w:gridSpan w:val="2"/>
            <w:vMerge/>
          </w:tcPr>
          <w:p/>
        </w:tc>
        <w:tc>
          <w:tcPr>
            <w:tcW w:type="dxa" w:w="2307"/>
          </w:tcPr>
          <w:p>
            <w:pPr>
              <w:jc w:val="left"/>
            </w:pPr>
            <w:r>
              <w:rPr/>
              <w:t>合作资源能力 (7.0分)</w:t>
            </w:r>
          </w:p>
        </w:tc>
        <w:tc>
          <w:tcPr>
            <w:tcW w:type="dxa" w:w="5076"/>
          </w:tcPr>
          <w:p>
            <w:pPr>
              <w:jc w:val="left"/>
            </w:pPr>
            <w:r>
              <w:rPr/>
              <w:t>有新闻媒体发布的供应商关于禁毒服务的正面新闻报道，每篇得1 分，最高得7分。 注：提供新闻报道相关证明文件复印件，不提供的不得分。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磋商小组对入围的供应商的最后服务工时进行修正得出评审价。综合评分法中的服务工时分统一采用服务工时量多优先法计算，即满足磋商文件要求（通过资格、符合性评审）且服务工时最高的为磋商基准工时，其服务工时评审为满分。其他供应商的服务工时分统一按照下列公式计算： 响应服务工时得分=（计划投入本项目服务总工时量/评标基准工时）×10（精确到 0.01）。</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排名第三的响应供应商为第三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color w:val="000000"/>
          <w:sz w:val="72"/>
        </w:rPr>
        <w:t>合同草案</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both"/>
      </w:pPr>
      <w:r>
        <w:rPr>
          <w:b/>
          <w:color w:val="000000"/>
          <w:sz w:val="28"/>
        </w:rPr>
        <w:t>甲    方：</w:t>
      </w:r>
      <w:r>
        <w:rPr>
          <w:b/>
          <w:color w:val="000000"/>
          <w:sz w:val="28"/>
          <w:u w:val="single"/>
        </w:rPr>
        <w:t xml:space="preserve">                         </w:t>
      </w:r>
    </w:p>
    <w:p>
      <w:pPr>
        <w:jc w:val="both"/>
      </w:pPr>
      <w:r>
        <w:rPr>
          <w:b/>
          <w:color w:val="000000"/>
          <w:sz w:val="28"/>
        </w:rPr>
        <w:t>乙    方：</w:t>
      </w:r>
      <w:r>
        <w:rPr>
          <w:b/>
          <w:color w:val="000000"/>
          <w:sz w:val="28"/>
          <w:u w:val="single"/>
        </w:rPr>
        <w:t xml:space="preserve">                         </w:t>
      </w:r>
    </w:p>
    <w:p>
      <w:pPr>
        <w:jc w:val="both"/>
      </w:pPr>
      <w:r>
        <w:rPr>
          <w:b/>
          <w:color w:val="000000"/>
          <w:sz w:val="28"/>
        </w:rPr>
        <w:t>签约地点：</w:t>
      </w:r>
      <w:r>
        <w:rPr>
          <w:b/>
          <w:color w:val="000000"/>
          <w:sz w:val="28"/>
          <w:u w:val="single"/>
        </w:rPr>
        <w:t xml:space="preserve">                         </w:t>
      </w:r>
    </w:p>
    <w:p>
      <w:pPr>
        <w:jc w:val="both"/>
      </w:pPr>
      <w:r>
        <w:rPr>
          <w:b/>
          <w:color w:val="000000"/>
          <w:sz w:val="28"/>
        </w:rPr>
        <w:t>签订日期：       年    月     日</w:t>
      </w:r>
    </w:p>
    <w:p>
      <w:pPr>
        <w:jc w:val="both"/>
      </w:pPr>
    </w:p>
    <w:p/>
    <w:p>
      <w:pPr>
        <w:jc w:val="both"/>
      </w:pPr>
    </w:p>
    <w:p>
      <w:pPr>
        <w:jc w:val="both"/>
      </w:pPr>
      <w:r>
        <w:rPr>
          <w:b/>
          <w:color w:val="000000"/>
          <w:sz w:val="21"/>
        </w:rPr>
        <w:t>甲    方：</w:t>
      </w:r>
      <w:r>
        <w:rPr>
          <w:b/>
          <w:color w:val="000000"/>
          <w:sz w:val="21"/>
          <w:u w:val="single"/>
        </w:rPr>
        <w:t>广州市黄埔区新龙镇人民政府</w:t>
      </w:r>
    </w:p>
    <w:p>
      <w:pPr>
        <w:jc w:val="both"/>
      </w:pPr>
      <w:r>
        <w:rPr>
          <w:color w:val="000000"/>
          <w:sz w:val="21"/>
        </w:rPr>
        <w:t>电    话：           　   传  真：           地  址：</w:t>
      </w:r>
    </w:p>
    <w:p>
      <w:pPr>
        <w:jc w:val="both"/>
      </w:pPr>
      <w:r>
        <w:rPr>
          <w:b/>
          <w:color w:val="000000"/>
          <w:sz w:val="21"/>
        </w:rPr>
        <w:t>乙    方：</w:t>
      </w:r>
      <w:r>
        <w:rPr>
          <w:b/>
          <w:color w:val="000000"/>
          <w:sz w:val="21"/>
          <w:u w:val="single"/>
        </w:rPr>
        <w:t xml:space="preserve">                </w:t>
      </w:r>
      <w:r>
        <w:br/>
      </w:r>
      <w:r>
        <w:rPr>
          <w:color w:val="000000"/>
          <w:sz w:val="21"/>
        </w:rPr>
        <w:t xml:space="preserve">电    话：                传  真：           地  址： </w:t>
      </w:r>
    </w:p>
    <w:p>
      <w:pPr>
        <w:jc w:val="both"/>
      </w:pPr>
    </w:p>
    <w:p>
      <w:pPr>
        <w:ind w:firstLine="420"/>
        <w:jc w:val="both"/>
      </w:pPr>
      <w:r>
        <w:rPr>
          <w:color w:val="000000"/>
          <w:sz w:val="21"/>
        </w:rPr>
        <w:t>根据</w:t>
      </w:r>
      <w:r>
        <w:rPr>
          <w:color w:val="000000"/>
          <w:sz w:val="21"/>
          <w:u w:val="single"/>
        </w:rPr>
        <w:t xml:space="preserve">广州市黄埔区新龙镇禁毒专业社工服务采购项目   </w:t>
      </w:r>
      <w:r>
        <w:rPr>
          <w:color w:val="000000"/>
          <w:sz w:val="21"/>
        </w:rPr>
        <w:t>的采购结果，按照《中华人民共和国民法典》第三编　合同的规定，经双方协商，本着平等互利和诚实信用的原则，一致同意签订本合同如下。</w:t>
      </w:r>
    </w:p>
    <w:p>
      <w:pPr>
        <w:jc w:val="both"/>
      </w:pPr>
      <w:r>
        <w:rPr>
          <w:b/>
          <w:color w:val="000000"/>
          <w:sz w:val="21"/>
        </w:rPr>
        <w:t xml:space="preserve">   第一条 合同金额</w:t>
      </w:r>
    </w:p>
    <w:p>
      <w:pPr>
        <w:ind w:firstLine="420"/>
        <w:jc w:val="both"/>
      </w:pPr>
      <w:r>
        <w:rPr>
          <w:color w:val="000000"/>
          <w:sz w:val="21"/>
        </w:rPr>
        <w:t>合同金额为（大写）：</w:t>
      </w:r>
      <w:r>
        <w:rPr>
          <w:b/>
          <w:color w:val="000000"/>
          <w:sz w:val="21"/>
          <w:u w:val="single"/>
        </w:rPr>
        <w:t xml:space="preserve">           </w:t>
      </w:r>
      <w:r>
        <w:rPr>
          <w:color w:val="000000"/>
          <w:sz w:val="21"/>
        </w:rPr>
        <w:t>元（￥</w:t>
      </w:r>
      <w:r>
        <w:rPr>
          <w:b/>
          <w:color w:val="000000"/>
          <w:sz w:val="21"/>
          <w:u w:val="single"/>
        </w:rPr>
        <w:t xml:space="preserve">           </w:t>
      </w:r>
      <w:r>
        <w:rPr>
          <w:color w:val="000000"/>
          <w:sz w:val="21"/>
        </w:rPr>
        <w:t>元）人民币。</w:t>
      </w:r>
    </w:p>
    <w:p>
      <w:pPr>
        <w:ind w:firstLine="420"/>
        <w:jc w:val="both"/>
      </w:pPr>
      <w:r>
        <w:rPr>
          <w:color w:val="000000"/>
          <w:sz w:val="21"/>
        </w:rPr>
        <w:t>服务总工时：</w:t>
      </w:r>
      <w:r>
        <w:rPr>
          <w:color w:val="000000"/>
          <w:sz w:val="21"/>
          <w:u w:val="single"/>
        </w:rPr>
        <w:t xml:space="preserve">          小时/年</w:t>
      </w:r>
    </w:p>
    <w:p>
      <w:pPr>
        <w:ind w:firstLine="420"/>
        <w:jc w:val="both"/>
      </w:pPr>
      <w:r>
        <w:rPr>
          <w:b/>
          <w:color w:val="000000"/>
          <w:sz w:val="21"/>
        </w:rPr>
        <w:t xml:space="preserve">第二条 </w:t>
      </w:r>
      <w:r>
        <w:rPr>
          <w:b/>
          <w:sz w:val="21"/>
        </w:rPr>
        <w:t>服务期限</w:t>
      </w:r>
    </w:p>
    <w:p>
      <w:pPr>
        <w:ind w:firstLine="420"/>
        <w:jc w:val="both"/>
      </w:pPr>
      <w:r>
        <w:rPr>
          <w:sz w:val="21"/>
        </w:rPr>
        <w:t>自合同签订之日起三年（合同一年签一次，以当年考核合格作为下一年逐签的依据，若当年考核不合格，甲方有权终止合同执行及取消乙方以后年度续签合同的权利。）</w:t>
      </w:r>
    </w:p>
    <w:p>
      <w:pPr>
        <w:ind w:firstLine="420"/>
        <w:jc w:val="both"/>
      </w:pPr>
      <w:r>
        <w:rPr>
          <w:b/>
          <w:color w:val="000000"/>
          <w:sz w:val="21"/>
        </w:rPr>
        <w:t xml:space="preserve">第三条  </w:t>
      </w:r>
      <w:r>
        <w:rPr>
          <w:b/>
          <w:sz w:val="21"/>
        </w:rPr>
        <w:t>服务对象</w:t>
      </w:r>
    </w:p>
    <w:p>
      <w:pPr>
        <w:ind w:firstLine="420"/>
        <w:jc w:val="both"/>
      </w:pPr>
      <w:r>
        <w:rPr>
          <w:sz w:val="21"/>
        </w:rPr>
        <w:t>新龙镇吸毒人员，包含本地户籍、外市户籍吸毒人员。以及符合接受社区戒毒社区康复条件的戒毒人员家属，辖区内在校学生、机关企事业单位和场所从业人员以及社区居民等禁毒宣传教育主要对象。</w:t>
      </w:r>
    </w:p>
    <w:p>
      <w:pPr>
        <w:jc w:val="both"/>
      </w:pPr>
      <w:r>
        <w:rPr>
          <w:b/>
          <w:color w:val="000000"/>
          <w:sz w:val="21"/>
        </w:rPr>
        <w:t xml:space="preserve">   第四条  </w:t>
      </w:r>
      <w:r>
        <w:rPr>
          <w:b/>
          <w:color w:val="000000"/>
          <w:sz w:val="21"/>
        </w:rPr>
        <w:t>服务范围</w:t>
      </w:r>
    </w:p>
    <w:p>
      <w:pPr>
        <w:ind w:firstLine="420"/>
        <w:jc w:val="both"/>
      </w:pPr>
      <w:r>
        <w:rPr>
          <w:color w:val="000000"/>
          <w:sz w:val="21"/>
        </w:rPr>
        <w:t>甲方聘请乙方提供以下服务：</w:t>
      </w:r>
    </w:p>
    <w:p>
      <w:pPr>
        <w:ind w:firstLine="426"/>
      </w:pPr>
      <w:r>
        <w:rPr>
          <w:b/>
          <w:color w:val="000000"/>
        </w:rPr>
        <w:t>1.无缝衔接</w:t>
      </w:r>
    </w:p>
    <w:p>
      <w:pPr>
        <w:ind w:firstLine="424"/>
      </w:pPr>
      <w:r>
        <w:rPr>
          <w:color w:val="000000"/>
        </w:rPr>
        <w:t>禁毒社会工作者应对被责令社区戒毒社区康复人员开展无缝衔接工作，实现社区戒毒社区康复人员从拘留所或强制隔离戒毒场所到执行地社区戒毒社区康复工作站的顺利转变</w:t>
      </w:r>
      <w:r>
        <w:rPr>
          <w:color w:val="000000"/>
        </w:rPr>
        <w:t>。服务包括但不限于以下内容：</w:t>
      </w:r>
    </w:p>
    <w:p>
      <w:pPr>
        <w:ind w:firstLine="420"/>
      </w:pPr>
      <w:r>
        <w:rPr>
          <w:color w:val="000000"/>
        </w:rPr>
        <w:t>（1）应做好出所对接准备，向当地派出所、社区及家属了解被责令社区戒毒社区康复人员基本信息；</w:t>
      </w:r>
    </w:p>
    <w:p>
      <w:pPr>
        <w:ind w:firstLine="420"/>
      </w:pPr>
      <w:r>
        <w:rPr>
          <w:color w:val="000000"/>
        </w:rPr>
        <w:t>（2）条件具备，应提前进入拘留所或强制隔离戒毒场所进行社区戒毒社区康复政策及知识宣讲，解答疑问，并与被责令社区戒毒社区康复人员建立关系；</w:t>
      </w:r>
    </w:p>
    <w:p>
      <w:pPr>
        <w:ind w:firstLine="424"/>
      </w:pPr>
      <w:r>
        <w:rPr>
          <w:color w:val="000000"/>
        </w:rPr>
        <w:t>（3）应与被责令社区戒毒社区康复人员家属沟通共同接其出所意愿，与社区民警确定其出所对接日期，做好无缝衔接准备工作；</w:t>
      </w:r>
    </w:p>
    <w:p>
      <w:pPr>
        <w:ind w:firstLine="424"/>
      </w:pPr>
      <w:r>
        <w:rPr>
          <w:color w:val="000000"/>
        </w:rPr>
        <w:t>（4）应参与被责令社区戒毒社区康复人员出所对接工作。</w:t>
      </w:r>
    </w:p>
    <w:p>
      <w:pPr>
        <w:ind w:firstLine="426"/>
      </w:pPr>
      <w:r>
        <w:rPr>
          <w:b/>
          <w:color w:val="000000"/>
        </w:rPr>
        <w:t>2.报到建档</w:t>
      </w:r>
    </w:p>
    <w:p>
      <w:pPr>
        <w:ind w:firstLine="424"/>
      </w:pPr>
      <w:r>
        <w:rPr>
          <w:color w:val="000000"/>
        </w:rPr>
        <w:t xml:space="preserve"> 吸毒成瘾人员被责令社区戒毒社区康复按规定时间到执行地报到后，禁毒社会工作者开展的工作包括但不限于以下内容：</w:t>
      </w:r>
    </w:p>
    <w:p>
      <w:pPr>
        <w:ind w:firstLine="424"/>
      </w:pPr>
      <w:r>
        <w:rPr>
          <w:color w:val="000000"/>
        </w:rPr>
        <w:t>（1）应了解被责令社区戒毒社区康复人员基本信息；</w:t>
      </w:r>
    </w:p>
    <w:p>
      <w:pPr>
        <w:ind w:firstLine="424"/>
      </w:pPr>
      <w:r>
        <w:rPr>
          <w:color w:val="000000"/>
        </w:rPr>
        <w:t>（2）应向社区戒毒社区康复人员宣传社区戒毒社区康复的相关法律、法规、政策规定；</w:t>
      </w:r>
    </w:p>
    <w:p>
      <w:pPr>
        <w:ind w:firstLine="424"/>
      </w:pPr>
      <w:r>
        <w:rPr>
          <w:color w:val="000000"/>
        </w:rPr>
        <w:t>（3）协助社区戒毒社区康复人员签订社区戒毒社区康复协议书、权利义务告知书；</w:t>
      </w:r>
    </w:p>
    <w:p>
      <w:pPr>
        <w:ind w:firstLine="424"/>
      </w:pPr>
      <w:r>
        <w:rPr>
          <w:color w:val="000000"/>
        </w:rPr>
        <w:t>（4）应为社区戒毒社区康复人员建立档案。</w:t>
      </w:r>
    </w:p>
    <w:p>
      <w:pPr>
        <w:ind w:firstLine="426"/>
      </w:pPr>
      <w:r>
        <w:rPr>
          <w:b/>
          <w:color w:val="000000"/>
        </w:rPr>
        <w:t>3.评估</w:t>
      </w:r>
    </w:p>
    <w:p>
      <w:pPr>
        <w:ind w:firstLine="424"/>
      </w:pPr>
      <w:r>
        <w:rPr>
          <w:color w:val="000000"/>
        </w:rPr>
        <w:t>禁毒社会工作者对社区戒毒社区康复人员应开展评估工作，了解其面临的问题及需求，工作包括但不限于以下内容：</w:t>
      </w:r>
    </w:p>
    <w:p>
      <w:pPr>
        <w:ind w:firstLine="424"/>
      </w:pPr>
      <w:r>
        <w:rPr>
          <w:color w:val="000000"/>
        </w:rPr>
        <w:t>（1）报到初期对社区戒毒社区康复人员表现出的生理、心理、社会等问题和需求进行预估；</w:t>
      </w:r>
    </w:p>
    <w:p>
      <w:pPr>
        <w:ind w:firstLine="424"/>
      </w:pPr>
      <w:r>
        <w:rPr>
          <w:color w:val="000000"/>
        </w:rPr>
        <w:t>（2）对社区戒毒社区康复人员进行危机评估，包括评估威胁戒毒人员生命的危机因素、复吸的危机因素、对社会的危害等；</w:t>
      </w:r>
    </w:p>
    <w:p>
      <w:pPr>
        <w:ind w:firstLine="424"/>
      </w:pPr>
      <w:r>
        <w:rPr>
          <w:color w:val="000000"/>
        </w:rPr>
        <w:t>（3）对社区戒毒社区康复人员进行心理社会发展需求评估；</w:t>
      </w:r>
    </w:p>
    <w:p>
      <w:pPr>
        <w:ind w:firstLine="424"/>
      </w:pPr>
      <w:r>
        <w:rPr>
          <w:color w:val="000000"/>
        </w:rPr>
        <w:t>（4）对社区戒毒社区康复人员进行社会支持系统评估，包括评估社会、家庭、朋辈等各种正面和负面因素；</w:t>
      </w:r>
    </w:p>
    <w:p>
      <w:pPr>
        <w:ind w:firstLine="424"/>
      </w:pPr>
      <w:r>
        <w:rPr>
          <w:color w:val="000000"/>
        </w:rPr>
        <w:t>（5）定期进行社区戒毒社区康复人员的戒毒康复评估；</w:t>
      </w:r>
    </w:p>
    <w:p>
      <w:pPr>
        <w:ind w:firstLine="424"/>
      </w:pPr>
      <w:r>
        <w:rPr>
          <w:color w:val="000000"/>
        </w:rPr>
        <w:t xml:space="preserve">（6）以上评估内容应根据需要记录、归档。 </w:t>
      </w:r>
    </w:p>
    <w:p>
      <w:pPr>
        <w:ind w:firstLine="426"/>
      </w:pPr>
      <w:r>
        <w:rPr>
          <w:b/>
          <w:color w:val="000000"/>
        </w:rPr>
        <w:t>4.戒毒康复服务</w:t>
      </w:r>
    </w:p>
    <w:p>
      <w:pPr>
        <w:ind w:firstLine="424"/>
      </w:pPr>
      <w:r>
        <w:rPr>
          <w:color w:val="000000"/>
        </w:rPr>
        <w:t>禁毒社会工作者根据问题及需求评估情况对社区戒毒社区康复人员开展戒毒康复服务，服务包括但不限于以下内容：</w:t>
      </w:r>
    </w:p>
    <w:p>
      <w:pPr>
        <w:ind w:firstLine="424"/>
      </w:pPr>
      <w:r>
        <w:rPr>
          <w:color w:val="000000"/>
        </w:rPr>
        <w:t>（1）应对有需要的社区戒毒社区康复人员开展心理咨询和情绪疏导；</w:t>
      </w:r>
    </w:p>
    <w:p>
      <w:pPr>
        <w:ind w:firstLine="424"/>
      </w:pPr>
      <w:r>
        <w:rPr>
          <w:color w:val="000000"/>
        </w:rPr>
        <w:t>（2）应对有需要的社区戒毒社区康复人员进行人际关系辅导，包括婚恋、夫妻、亲子、同事、邻里关系等；</w:t>
      </w:r>
    </w:p>
    <w:p>
      <w:pPr>
        <w:ind w:firstLine="424"/>
      </w:pPr>
      <w:r>
        <w:rPr>
          <w:color w:val="000000"/>
        </w:rPr>
        <w:t>（3）应对有需要的社区戒毒社区康复人员提供自我管理能力和社会交往能力提升服务，预防复吸；</w:t>
      </w:r>
    </w:p>
    <w:p>
      <w:pPr>
        <w:ind w:firstLine="424"/>
      </w:pPr>
      <w:r>
        <w:rPr>
          <w:color w:val="000000"/>
        </w:rPr>
        <w:t>（4）宜组织志愿者和社会力量开展有利于戒毒康复人员戒除毒瘾、回归社会的志愿服务；</w:t>
      </w:r>
    </w:p>
    <w:p>
      <w:pPr>
        <w:ind w:firstLine="424"/>
      </w:pPr>
      <w:r>
        <w:rPr>
          <w:color w:val="000000"/>
        </w:rPr>
        <w:t>（5）宜开展有利于社区戒毒社区康复人员社会功能修复的其他专业服务。</w:t>
      </w:r>
    </w:p>
    <w:p>
      <w:pPr>
        <w:ind w:firstLine="426"/>
      </w:pPr>
      <w:r>
        <w:rPr>
          <w:b/>
          <w:color w:val="000000"/>
        </w:rPr>
        <w:t>5.帮扶救助服务</w:t>
      </w:r>
    </w:p>
    <w:p>
      <w:pPr>
        <w:ind w:firstLine="424"/>
      </w:pPr>
      <w:r>
        <w:rPr>
          <w:color w:val="000000"/>
        </w:rPr>
        <w:t>禁毒社会工作者根据评估问题及需求对社区戒毒社区康复人员开展帮扶救助服务，服务包括但不限于以下内容：</w:t>
      </w:r>
    </w:p>
    <w:p>
      <w:pPr>
        <w:ind w:firstLine="424"/>
      </w:pPr>
      <w:r>
        <w:rPr>
          <w:color w:val="000000"/>
        </w:rPr>
        <w:t>（1）应协助有需要的社区戒毒社区康复人员申请最低生活保障、医疗救助和临时救助等帮扶救助服务；</w:t>
      </w:r>
    </w:p>
    <w:p>
      <w:pPr>
        <w:ind w:firstLine="424"/>
      </w:pPr>
      <w:r>
        <w:rPr>
          <w:color w:val="000000"/>
        </w:rPr>
        <w:t>（2）应为有需要的社区戒毒社区康复人员开展生涯规划和就业指导，链接就业、职业培训等方面的政府资源与社会资源，促进其就业；</w:t>
      </w:r>
    </w:p>
    <w:p>
      <w:pPr>
        <w:ind w:firstLine="424"/>
      </w:pPr>
      <w:r>
        <w:rPr>
          <w:color w:val="000000"/>
        </w:rPr>
        <w:t>（3）应为有需要的社区戒毒社区康复人员链接就学就业资源，其他政府资源与社会资源，提升生计发展能力；</w:t>
      </w:r>
    </w:p>
    <w:p>
      <w:pPr>
        <w:ind w:firstLine="424"/>
      </w:pPr>
      <w:r>
        <w:rPr>
          <w:color w:val="000000"/>
        </w:rPr>
        <w:t>（4）应组织志愿者和社会力量开展社区戒毒社区康复人员帮扶救助志愿服务。</w:t>
      </w:r>
    </w:p>
    <w:p>
      <w:pPr>
        <w:ind w:firstLine="426"/>
      </w:pPr>
      <w:r>
        <w:rPr>
          <w:b/>
          <w:color w:val="000000"/>
        </w:rPr>
        <w:t>6.行为干预服务</w:t>
      </w:r>
    </w:p>
    <w:p>
      <w:pPr>
        <w:ind w:firstLine="424"/>
      </w:pPr>
      <w:r>
        <w:rPr>
          <w:color w:val="000000"/>
        </w:rPr>
        <w:t>禁毒社会工作者根据问题及需求评估情况对社区戒毒社区康复人员开展社会心理行为干预工作， 服务包括但不限于以下内容：</w:t>
      </w:r>
    </w:p>
    <w:p>
      <w:pPr>
        <w:ind w:firstLine="420"/>
      </w:pPr>
      <w:r>
        <w:rPr>
          <w:color w:val="000000"/>
        </w:rPr>
        <w:t>（1）应为有需要的社区戒毒社区康复人员开展以循证为基础的社会心理行为干预；</w:t>
      </w:r>
    </w:p>
    <w:p>
      <w:pPr>
        <w:ind w:firstLine="424"/>
      </w:pPr>
      <w:r>
        <w:rPr>
          <w:color w:val="000000"/>
        </w:rPr>
        <w:t>（2）应对可能有复吸及危害社会行为的社区戒毒社区康复人员进行必要的行为干预；</w:t>
      </w:r>
    </w:p>
    <w:p>
      <w:pPr>
        <w:ind w:firstLine="424"/>
      </w:pPr>
      <w:r>
        <w:rPr>
          <w:color w:val="000000"/>
        </w:rPr>
        <w:t>（3）应对有需要的社区戒毒社区康复人员提供医疗治疗转介，包括戒毒医疗机构、药物维持治疗机构、专科医疗机构；</w:t>
      </w:r>
    </w:p>
    <w:p>
      <w:pPr>
        <w:ind w:firstLine="424"/>
      </w:pPr>
      <w:r>
        <w:rPr>
          <w:color w:val="000000"/>
        </w:rPr>
        <w:t>（4）可借鉴动机强化治疗、认知治疗、行为治疗、集体治疗、家庭治疗等专业工作技术，为有需要的社区戒毒社区康复人员开展社会心理行为干预。</w:t>
      </w:r>
    </w:p>
    <w:p>
      <w:pPr>
        <w:ind w:firstLine="426"/>
      </w:pPr>
      <w:r>
        <w:rPr>
          <w:b/>
          <w:color w:val="000000"/>
        </w:rPr>
        <w:t>7.宣传教育工作</w:t>
      </w:r>
    </w:p>
    <w:p>
      <w:pPr>
        <w:ind w:firstLine="424"/>
      </w:pPr>
      <w:r>
        <w:rPr>
          <w:color w:val="000000"/>
        </w:rPr>
        <w:t>禁毒社会工作者应根据社区戒毒社区康复人员和家属需求，社区、社会需求，开展戒毒禁毒宣传和教育工作，服务包括但不限于以下内容：</w:t>
      </w:r>
    </w:p>
    <w:p>
      <w:pPr>
        <w:ind w:firstLine="420"/>
      </w:pPr>
      <w:r>
        <w:rPr>
          <w:color w:val="000000"/>
        </w:rPr>
        <w:t>（1）应对社区戒毒社区康复人员及其家属开展社区戒毒社区康复法律法规、戒毒康复资源、社会工作服务等信息和资源的宣传工作；</w:t>
      </w:r>
    </w:p>
    <w:p>
      <w:pPr>
        <w:ind w:firstLine="424"/>
      </w:pPr>
      <w:r>
        <w:rPr>
          <w:color w:val="000000"/>
        </w:rPr>
        <w:t>（2）应开展调适社区戒毒社区康复人员与社区及社会关系的宣传教育服务，构建社区支持网络，营造有利于社区戒毒的社会环境；</w:t>
      </w:r>
    </w:p>
    <w:p>
      <w:pPr>
        <w:ind w:firstLine="424"/>
      </w:pPr>
      <w:r>
        <w:rPr>
          <w:color w:val="000000"/>
        </w:rPr>
        <w:t>（3）应开展禁毒法律法规、政策、毒品知识、防治艾滋病和传染病、药物维持治疗等相关政策和知识的宣传，增强全民禁毒意识，提高全民自觉抵制毒品的能力；</w:t>
      </w:r>
    </w:p>
    <w:p>
      <w:pPr>
        <w:ind w:firstLine="424"/>
      </w:pPr>
      <w:r>
        <w:rPr>
          <w:color w:val="000000"/>
        </w:rPr>
        <w:t>（4）应向社区戒毒社区康复人员及社区民众宣传关于尿检及毛发检测的相关知识；</w:t>
      </w:r>
    </w:p>
    <w:p>
      <w:pPr>
        <w:ind w:firstLine="424"/>
      </w:pPr>
      <w:r>
        <w:rPr>
          <w:color w:val="000000"/>
        </w:rPr>
        <w:t xml:space="preserve">（5）应组织有意愿的社区戒毒社区康复人员参与社区志愿活动，鼓励参与社区协商，为社区发展出谋划策，参加社区组织的各类公益倡导活动，增强社区融入。 </w:t>
      </w:r>
    </w:p>
    <w:p>
      <w:pPr>
        <w:ind w:firstLine="426"/>
      </w:pPr>
      <w:r>
        <w:rPr>
          <w:b/>
          <w:color w:val="000000"/>
        </w:rPr>
        <w:t>8.协助禁毒管理事务</w:t>
      </w:r>
    </w:p>
    <w:p>
      <w:pPr>
        <w:ind w:firstLine="424"/>
      </w:pPr>
      <w:r>
        <w:rPr>
          <w:color w:val="000000"/>
        </w:rPr>
        <w:t>禁毒社会工作者应根据禁毒管理部门要求，协助开展有关禁毒管理事务，工作包括但不限于以下内容：</w:t>
      </w:r>
    </w:p>
    <w:p>
      <w:pPr>
        <w:ind w:firstLine="424"/>
      </w:pPr>
      <w:r>
        <w:rPr>
          <w:color w:val="000000"/>
        </w:rPr>
        <w:t>（1）进行社区戒毒社区康复人员动态管控、动态跟踪；</w:t>
      </w:r>
    </w:p>
    <w:p>
      <w:pPr>
        <w:ind w:firstLine="424"/>
      </w:pPr>
      <w:r>
        <w:rPr>
          <w:color w:val="000000"/>
        </w:rPr>
        <w:t>（2）对社区戒毒社区康复人员排查登记、信息采集；</w:t>
      </w:r>
    </w:p>
    <w:p>
      <w:pPr>
        <w:ind w:firstLine="424"/>
      </w:pPr>
      <w:r>
        <w:rPr>
          <w:color w:val="000000"/>
        </w:rPr>
        <w:t>（3）督促、帮助社区戒毒社区康复人员履行协议；</w:t>
      </w:r>
    </w:p>
    <w:p>
      <w:pPr>
        <w:ind w:firstLine="424"/>
      </w:pPr>
      <w:r>
        <w:rPr>
          <w:color w:val="000000"/>
        </w:rPr>
        <w:t>（4）收集及报告拒绝报到及严重违反社区戒毒社区康复协议的社区戒毒社区康复人员资料；</w:t>
      </w:r>
    </w:p>
    <w:p>
      <w:pPr>
        <w:ind w:firstLine="424"/>
      </w:pPr>
      <w:r>
        <w:rPr>
          <w:color w:val="000000"/>
        </w:rPr>
        <w:t>（5）在进行吸毒检测过程中，对社区戒毒社区康复人员提供建档、面谈、结果归档等工作；</w:t>
      </w:r>
    </w:p>
    <w:p>
      <w:pPr>
        <w:ind w:firstLine="424"/>
      </w:pPr>
      <w:r>
        <w:rPr>
          <w:color w:val="000000"/>
        </w:rPr>
        <w:t>（6）根据风险分类评估对社区戒毒社区康复人员开展支持性谈话服务。</w:t>
      </w:r>
    </w:p>
    <w:p>
      <w:pPr>
        <w:ind w:firstLine="426"/>
      </w:pPr>
      <w:r>
        <w:rPr>
          <w:b/>
          <w:color w:val="000000"/>
        </w:rPr>
        <w:t>9.跟踪回访</w:t>
      </w:r>
    </w:p>
    <w:p>
      <w:pPr>
        <w:ind w:firstLine="424"/>
      </w:pPr>
      <w:r>
        <w:rPr>
          <w:color w:val="000000"/>
        </w:rPr>
        <w:t>禁毒社会工作者应对社区戒毒社区康复人员和解除责令后 2 年内的吸毒人员进行定期跟踪回访，了解其社会心理发展情况，提供专业服务。对解除责令 2 年或以上的社区戒毒社区康复人员进行不定期回访和跟踪服务。</w:t>
      </w:r>
    </w:p>
    <w:p>
      <w:pPr>
        <w:ind w:firstLine="426"/>
      </w:pPr>
      <w:r>
        <w:rPr>
          <w:b/>
          <w:color w:val="000000"/>
        </w:rPr>
        <w:t>1</w:t>
      </w:r>
      <w:r>
        <w:rPr>
          <w:b/>
          <w:color w:val="000000"/>
        </w:rPr>
        <w:t>0</w:t>
      </w:r>
      <w:r>
        <w:rPr>
          <w:b/>
          <w:color w:val="000000"/>
        </w:rPr>
        <w:t>.政策倡导</w:t>
      </w:r>
    </w:p>
    <w:p>
      <w:pPr>
        <w:ind w:firstLine="424"/>
      </w:pPr>
      <w:r>
        <w:rPr>
          <w:color w:val="000000"/>
        </w:rPr>
        <w:t>禁毒社会工作者宜研究、分析与吸毒人员相关的法律、法规及政策的不完善内容，向有关职能部门提出完善建议。</w:t>
      </w:r>
    </w:p>
    <w:p>
      <w:pPr>
        <w:ind w:firstLine="426"/>
      </w:pPr>
      <w:r>
        <w:rPr>
          <w:b/>
          <w:color w:val="000000"/>
        </w:rPr>
        <w:t>1</w:t>
      </w:r>
      <w:r>
        <w:rPr>
          <w:b/>
          <w:color w:val="000000"/>
        </w:rPr>
        <w:t>1.</w:t>
      </w:r>
      <w:r>
        <w:rPr>
          <w:b/>
          <w:color w:val="000000"/>
        </w:rPr>
        <w:t>其他吸毒人员服务</w:t>
      </w:r>
    </w:p>
    <w:p>
      <w:pPr>
        <w:ind w:firstLine="424"/>
      </w:pPr>
      <w:r>
        <w:rPr>
          <w:color w:val="000000"/>
        </w:rPr>
        <w:t>禁毒社会工作者应为其他吸毒人员建立档案，开展跟踪回访和评估工作，在戒毒康复、帮扶救助、宣传教育等方面提供社会工作专业服务，包括但不限于以下内容：</w:t>
      </w:r>
    </w:p>
    <w:p>
      <w:pPr>
        <w:ind w:firstLine="424"/>
      </w:pPr>
      <w:r>
        <w:rPr>
          <w:color w:val="000000"/>
        </w:rPr>
        <w:t>（1）定期跟踪回访，进行帮教谈话，并记录、归档；</w:t>
      </w:r>
    </w:p>
    <w:p>
      <w:pPr>
        <w:ind w:firstLine="424"/>
      </w:pPr>
      <w:r>
        <w:rPr>
          <w:color w:val="000000"/>
        </w:rPr>
        <w:t>（2）对其问题及需求提供专业服务，并记录、归档；</w:t>
      </w:r>
    </w:p>
    <w:p>
      <w:pPr>
        <w:ind w:firstLine="424"/>
      </w:pPr>
      <w:r>
        <w:rPr>
          <w:color w:val="000000"/>
        </w:rPr>
        <w:t>（3）对其进行危机评估，包括评估威胁吸毒人员生命的危机因素、复吸的危机因素、对社会的危害等，并记录、归档；</w:t>
      </w:r>
    </w:p>
    <w:p>
      <w:pPr>
        <w:ind w:firstLine="424"/>
      </w:pPr>
      <w:r>
        <w:rPr>
          <w:color w:val="000000"/>
        </w:rPr>
        <w:t>（4）协助开展吸毒检测和对检测结果进行记录、归档；</w:t>
      </w:r>
    </w:p>
    <w:p>
      <w:pPr>
        <w:ind w:firstLine="424"/>
      </w:pPr>
      <w:r>
        <w:rPr>
          <w:color w:val="000000"/>
        </w:rPr>
        <w:t>（5）协助禁毒管理部门按档案要求建立吸毒人员档案；</w:t>
      </w:r>
    </w:p>
    <w:p>
      <w:pPr>
        <w:ind w:firstLine="424"/>
      </w:pPr>
      <w:r>
        <w:rPr>
          <w:color w:val="000000"/>
        </w:rPr>
        <w:t>（</w:t>
      </w:r>
      <w:r>
        <w:rPr>
          <w:color w:val="000000"/>
        </w:rPr>
        <w:t>6</w:t>
      </w:r>
      <w:r>
        <w:rPr>
          <w:color w:val="000000"/>
        </w:rPr>
        <w:t>）禁毒社会工作者宜研究、分析与其他社会面吸毒人员相关的法律、法规及政策的不完善内容，向有关职能部门提出完善建议。</w:t>
      </w:r>
    </w:p>
    <w:p>
      <w:pPr>
        <w:ind w:firstLine="426"/>
      </w:pPr>
      <w:r>
        <w:rPr>
          <w:b/>
          <w:color w:val="000000"/>
        </w:rPr>
        <w:t>12.</w:t>
      </w:r>
      <w:r>
        <w:rPr>
          <w:b/>
          <w:color w:val="000000"/>
        </w:rPr>
        <w:t>媒体宣传</w:t>
      </w:r>
    </w:p>
    <w:p>
      <w:pPr>
        <w:ind w:firstLine="424"/>
      </w:pPr>
      <w:r>
        <w:rPr>
          <w:color w:val="000000"/>
        </w:rPr>
        <w:t>加强新媒体运用，持续创作并推出一批禁毒主题微视频、微动漫、微电影等新媒体作品，并通过中央省市等各类媒体平台进行报道，提升辖区禁毒宣传的生动性和影响力。</w:t>
      </w:r>
    </w:p>
    <w:p>
      <w:pPr>
        <w:ind w:firstLine="422"/>
      </w:pPr>
      <w:r>
        <w:rPr>
          <w:b/>
          <w:color w:val="000000"/>
        </w:rPr>
        <w:t>13.</w:t>
      </w:r>
      <w:r>
        <w:rPr>
          <w:b/>
          <w:color w:val="000000"/>
        </w:rPr>
        <w:t>其他工作</w:t>
      </w:r>
    </w:p>
    <w:p>
      <w:pPr>
        <w:ind w:firstLine="480"/>
      </w:pPr>
      <w:r>
        <w:rPr>
          <w:color w:val="000000"/>
        </w:rPr>
        <w:t>按照区、街镇禁毒办工作要求，配合街镇禁毒办开展禁毒工作；完成区禁毒办交办的其他禁毒相关工作任务。</w:t>
      </w:r>
    </w:p>
    <w:p>
      <w:pPr>
        <w:ind w:firstLine="480"/>
      </w:pPr>
      <w:r>
        <w:rPr>
          <w:b/>
          <w:color w:val="000000"/>
          <w:sz w:val="21"/>
        </w:rPr>
        <w:t xml:space="preserve">第五条  </w:t>
      </w:r>
      <w:r>
        <w:rPr>
          <w:b/>
          <w:color w:val="000000"/>
          <w:sz w:val="21"/>
        </w:rPr>
        <w:t>年</w:t>
      </w:r>
      <w:r>
        <w:rPr>
          <w:b/>
          <w:color w:val="000000"/>
          <w:sz w:val="21"/>
        </w:rPr>
        <w:t>度服务主要指标和绩效评价</w:t>
      </w:r>
    </w:p>
    <w:p>
      <w:pPr>
        <w:jc w:val="both"/>
      </w:pPr>
    </w:p>
    <w:p>
      <w:pPr>
        <w:jc w:val="both"/>
      </w:pPr>
      <w:r>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78"/>
        <w:gridCol w:w="605"/>
        <w:gridCol w:w="605"/>
        <w:gridCol w:w="605"/>
        <w:gridCol w:w="1038"/>
        <w:gridCol w:w="1297"/>
        <w:gridCol w:w="3373"/>
      </w:tblGrid>
      <w:tr>
        <w:tc>
          <w:tcPr>
            <w:tcW w:type="dxa" w:w="778"/>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1815"/>
            <w:gridSpan w:val="3"/>
            <w:tcBorders>
              <w:top w:val="single" w:color="000000" w:sz="4"/>
              <w:left w:val="none" w:color="000000" w:sz="4"/>
              <w:bottom w:val="single" w:color="000000" w:sz="4"/>
              <w:right w:val="single" w:color="000000" w:sz="4"/>
            </w:tcBorders>
          </w:tcPr>
          <w:p>
            <w:pPr>
              <w:jc w:val="center"/>
            </w:pPr>
            <w:r>
              <w:rPr>
                <w:b/>
                <w:color w:val="000000"/>
                <w:sz w:val="21"/>
              </w:rPr>
              <w:t>项目分类</w:t>
            </w:r>
          </w:p>
        </w:tc>
        <w:tc>
          <w:tcPr>
            <w:tcW w:type="dxa" w:w="1038"/>
            <w:tcBorders>
              <w:top w:val="single" w:color="000000" w:sz="4"/>
              <w:left w:val="none" w:color="000000" w:sz="4"/>
              <w:bottom w:val="none" w:color="000000" w:sz="4"/>
              <w:right w:val="single" w:color="000000" w:sz="4"/>
            </w:tcBorders>
          </w:tcPr>
          <w:p>
            <w:pPr>
              <w:jc w:val="center"/>
            </w:pPr>
            <w:r>
              <w:rPr>
                <w:b/>
                <w:color w:val="000000"/>
                <w:sz w:val="21"/>
              </w:rPr>
              <w:t>量度数据</w:t>
            </w:r>
          </w:p>
        </w:tc>
        <w:tc>
          <w:tcPr>
            <w:tcW w:type="dxa" w:w="1297"/>
            <w:tcBorders>
              <w:top w:val="single" w:color="000000" w:sz="4"/>
              <w:left w:val="none" w:color="000000" w:sz="4"/>
              <w:bottom w:val="none" w:color="000000" w:sz="4"/>
              <w:right w:val="single" w:color="000000" w:sz="4"/>
            </w:tcBorders>
          </w:tcPr>
          <w:p>
            <w:pPr>
              <w:jc w:val="center"/>
            </w:pPr>
            <w:r>
              <w:rPr>
                <w:b/>
                <w:color w:val="000000"/>
                <w:sz w:val="21"/>
              </w:rPr>
              <w:t>评估方法</w:t>
            </w:r>
          </w:p>
        </w:tc>
        <w:tc>
          <w:tcPr>
            <w:tcW w:type="dxa" w:w="3373"/>
            <w:tcBorders>
              <w:top w:val="single" w:color="000000" w:sz="4"/>
              <w:left w:val="none" w:color="000000" w:sz="4"/>
              <w:bottom w:val="none" w:color="000000" w:sz="4"/>
              <w:right w:val="single" w:color="000000" w:sz="4"/>
            </w:tcBorders>
          </w:tcPr>
          <w:p>
            <w:pPr>
              <w:jc w:val="center"/>
            </w:pPr>
            <w:r>
              <w:rPr>
                <w:b/>
                <w:color w:val="000000"/>
                <w:sz w:val="21"/>
              </w:rPr>
              <w:t>备注</w:t>
            </w:r>
          </w:p>
        </w:tc>
      </w:tr>
      <w:tr>
        <w:tc>
          <w:tcPr>
            <w:tcW w:type="dxa" w:w="778"/>
            <w:vMerge w:val="restart"/>
            <w:tcBorders>
              <w:top w:val="none" w:color="000000" w:sz="4"/>
              <w:left w:val="single" w:color="000000" w:sz="4"/>
              <w:bottom w:val="single" w:color="000000" w:sz="4"/>
              <w:right w:val="single" w:color="000000" w:sz="4"/>
            </w:tcBorders>
          </w:tcPr>
          <w:p>
            <w:pPr>
              <w:jc w:val="center"/>
            </w:pPr>
            <w:r>
              <w:rPr>
                <w:color w:val="000000"/>
                <w:sz w:val="21"/>
              </w:rPr>
              <w:t>（一）</w:t>
            </w:r>
          </w:p>
        </w:tc>
        <w:tc>
          <w:tcPr>
            <w:tcW w:type="dxa" w:w="605"/>
            <w:vMerge w:val="restart"/>
            <w:tcBorders>
              <w:top w:val="none" w:color="000000" w:sz="4"/>
              <w:left w:val="none" w:color="000000" w:sz="4"/>
              <w:bottom w:val="single" w:color="000000" w:sz="4"/>
              <w:right w:val="single" w:color="000000" w:sz="4"/>
            </w:tcBorders>
          </w:tcPr>
          <w:p>
            <w:pPr>
              <w:jc w:val="center"/>
            </w:pPr>
            <w:r>
              <w:rPr>
                <w:color w:val="000000"/>
                <w:sz w:val="21"/>
              </w:rPr>
              <w:t>制度建设</w:t>
            </w: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机制建设</w:t>
            </w:r>
          </w:p>
        </w:tc>
        <w:tc>
          <w:tcPr>
            <w:tcW w:type="dxa" w:w="1038"/>
            <w:tcBorders>
              <w:top w:val="single" w:color="000000" w:sz="4"/>
              <w:left w:val="none" w:color="000000" w:sz="4"/>
              <w:bottom w:val="none" w:color="000000" w:sz="4"/>
              <w:right w:val="single" w:color="000000" w:sz="4"/>
            </w:tcBorders>
          </w:tcPr>
          <w:p>
            <w:pPr>
              <w:jc w:val="center"/>
            </w:pPr>
            <w:r>
              <w:rPr>
                <w:sz w:val="21"/>
              </w:rPr>
              <w:t>不少于1套</w:t>
            </w:r>
          </w:p>
        </w:tc>
        <w:tc>
          <w:tcPr>
            <w:tcW w:type="dxa" w:w="1297"/>
            <w:tcBorders>
              <w:top w:val="single" w:color="000000" w:sz="4"/>
              <w:left w:val="none" w:color="000000" w:sz="4"/>
              <w:bottom w:val="none" w:color="000000" w:sz="4"/>
              <w:right w:val="single" w:color="000000" w:sz="4"/>
            </w:tcBorders>
          </w:tcPr>
          <w:p>
            <w:pPr>
              <w:jc w:val="center"/>
            </w:pPr>
            <w:r>
              <w:rPr>
                <w:color w:val="000000"/>
                <w:sz w:val="21"/>
              </w:rPr>
              <w:t>审阅材料、抽查等方式</w:t>
            </w:r>
          </w:p>
        </w:tc>
        <w:tc>
          <w:tcPr>
            <w:tcW w:type="dxa" w:w="3373"/>
            <w:tcBorders>
              <w:top w:val="single" w:color="000000" w:sz="4"/>
              <w:left w:val="none" w:color="000000" w:sz="4"/>
              <w:bottom w:val="none" w:color="000000" w:sz="4"/>
              <w:right w:val="single" w:color="000000" w:sz="4"/>
            </w:tcBorders>
          </w:tcPr>
          <w:p>
            <w:pPr>
              <w:jc w:val="both"/>
            </w:pPr>
            <w:r>
              <w:rPr>
                <w:sz w:val="21"/>
              </w:rPr>
              <w:t>建立项目财务管理、风险管理、信息化管理机制。</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工作流程</w:t>
            </w:r>
          </w:p>
        </w:tc>
        <w:tc>
          <w:tcPr>
            <w:tcW w:type="dxa" w:w="1038"/>
            <w:tcBorders>
              <w:top w:val="single" w:color="000000" w:sz="4"/>
              <w:left w:val="none" w:color="000000" w:sz="4"/>
              <w:bottom w:val="single" w:color="000000" w:sz="4"/>
              <w:right w:val="single" w:color="000000" w:sz="4"/>
            </w:tcBorders>
          </w:tcPr>
          <w:p>
            <w:pPr>
              <w:jc w:val="center"/>
            </w:pPr>
            <w:r>
              <w:rPr>
                <w:sz w:val="21"/>
              </w:rPr>
              <w:t>不少于1套</w:t>
            </w:r>
          </w:p>
        </w:tc>
        <w:tc>
          <w:tcPr>
            <w:tcW w:type="dxa" w:w="1297"/>
            <w:tcBorders>
              <w:top w:val="single" w:color="000000" w:sz="4"/>
              <w:left w:val="none" w:color="000000" w:sz="4"/>
              <w:bottom w:val="single" w:color="000000" w:sz="4"/>
              <w:right w:val="single" w:color="000000" w:sz="4"/>
            </w:tcBorders>
          </w:tcPr>
          <w:p>
            <w:pPr>
              <w:jc w:val="center"/>
            </w:pPr>
            <w:r>
              <w:rPr>
                <w:color w:val="000000"/>
                <w:sz w:val="21"/>
              </w:rPr>
              <w:t>审阅材料、抽查等方式</w:t>
            </w:r>
          </w:p>
        </w:tc>
        <w:tc>
          <w:tcPr>
            <w:tcW w:type="dxa" w:w="3373"/>
            <w:tcBorders>
              <w:top w:val="single" w:color="000000" w:sz="4"/>
              <w:left w:val="none" w:color="000000" w:sz="4"/>
              <w:bottom w:val="single" w:color="000000" w:sz="4"/>
              <w:right w:val="single" w:color="000000" w:sz="4"/>
            </w:tcBorders>
          </w:tcPr>
          <w:p>
            <w:pPr>
              <w:jc w:val="both"/>
            </w:pPr>
            <w:r>
              <w:rPr>
                <w:sz w:val="21"/>
              </w:rPr>
              <w:t>建立项目内社会工作者职责清单，督导制度以及主要工作流程。</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考核考勤</w:t>
            </w:r>
          </w:p>
        </w:tc>
        <w:tc>
          <w:tcPr>
            <w:tcW w:type="dxa" w:w="1038"/>
            <w:tcBorders>
              <w:top w:val="none" w:color="000000" w:sz="4"/>
              <w:left w:val="none" w:color="000000" w:sz="4"/>
              <w:bottom w:val="single" w:color="000000" w:sz="4"/>
              <w:right w:val="single" w:color="000000" w:sz="4"/>
            </w:tcBorders>
          </w:tcPr>
          <w:p>
            <w:pPr>
              <w:jc w:val="center"/>
            </w:pPr>
            <w:r>
              <w:rPr>
                <w:sz w:val="21"/>
              </w:rPr>
              <w:t>不少于1套</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审阅材料、抽查等方式</w:t>
            </w:r>
          </w:p>
        </w:tc>
        <w:tc>
          <w:tcPr>
            <w:tcW w:type="dxa" w:w="3373"/>
            <w:tcBorders>
              <w:top w:val="none" w:color="000000" w:sz="4"/>
              <w:left w:val="none" w:color="000000" w:sz="4"/>
              <w:bottom w:val="single" w:color="000000" w:sz="4"/>
              <w:right w:val="single" w:color="000000" w:sz="4"/>
            </w:tcBorders>
          </w:tcPr>
          <w:p>
            <w:pPr>
              <w:jc w:val="both"/>
            </w:pPr>
            <w:r>
              <w:rPr>
                <w:sz w:val="21"/>
              </w:rPr>
              <w:t>建立日常考勤制度，日常考核、绩效考核方案。</w:t>
            </w:r>
          </w:p>
        </w:tc>
      </w:tr>
      <w:tr>
        <w:tc>
          <w:tcPr>
            <w:tcW w:type="dxa" w:w="778"/>
            <w:vMerge w:val="restart"/>
            <w:tcBorders>
              <w:top w:val="none" w:color="000000" w:sz="4"/>
              <w:left w:val="single" w:color="000000" w:sz="4"/>
              <w:bottom w:val="single" w:color="000000" w:sz="4"/>
              <w:right w:val="single" w:color="000000" w:sz="4"/>
            </w:tcBorders>
          </w:tcPr>
          <w:p>
            <w:pPr>
              <w:jc w:val="center"/>
            </w:pPr>
            <w:r>
              <w:rPr>
                <w:color w:val="000000"/>
                <w:sz w:val="21"/>
              </w:rPr>
              <w:t>（二）</w:t>
            </w:r>
          </w:p>
        </w:tc>
        <w:tc>
          <w:tcPr>
            <w:tcW w:type="dxa" w:w="605"/>
            <w:vMerge w:val="restart"/>
            <w:tcBorders>
              <w:top w:val="none" w:color="000000" w:sz="4"/>
              <w:left w:val="none" w:color="000000" w:sz="4"/>
              <w:bottom w:val="single" w:color="000000" w:sz="4"/>
              <w:right w:val="single" w:color="000000" w:sz="4"/>
            </w:tcBorders>
          </w:tcPr>
          <w:p>
            <w:pPr>
              <w:jc w:val="center"/>
            </w:pPr>
            <w:r>
              <w:rPr>
                <w:color w:val="000000"/>
                <w:sz w:val="21"/>
              </w:rPr>
              <w:t>接触服务对象</w:t>
            </w:r>
          </w:p>
        </w:tc>
        <w:tc>
          <w:tcPr>
            <w:tcW w:type="dxa" w:w="605"/>
            <w:vMerge w:val="restart"/>
            <w:tcBorders>
              <w:top w:val="none" w:color="000000" w:sz="4"/>
              <w:left w:val="none" w:color="000000" w:sz="4"/>
              <w:bottom w:val="single" w:color="000000" w:sz="4"/>
              <w:right w:val="single" w:color="000000" w:sz="4"/>
            </w:tcBorders>
          </w:tcPr>
          <w:p>
            <w:pPr>
              <w:jc w:val="center"/>
            </w:pPr>
            <w:r>
              <w:rPr>
                <w:color w:val="000000"/>
                <w:sz w:val="21"/>
              </w:rPr>
              <w:t>在册吸毒人员</w:t>
            </w:r>
          </w:p>
        </w:tc>
        <w:tc>
          <w:tcPr>
            <w:tcW w:type="dxa" w:w="605"/>
            <w:tcBorders>
              <w:top w:val="none" w:color="000000" w:sz="4"/>
              <w:left w:val="none" w:color="000000" w:sz="4"/>
              <w:bottom w:val="single" w:color="000000" w:sz="4"/>
              <w:right w:val="single" w:color="000000" w:sz="4"/>
            </w:tcBorders>
          </w:tcPr>
          <w:p>
            <w:pPr>
              <w:jc w:val="center"/>
            </w:pPr>
            <w:r>
              <w:rPr>
                <w:color w:val="000000"/>
                <w:sz w:val="21"/>
              </w:rPr>
              <w:t>核查率</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对本地户籍在册吸毒人员和外市户籍在册吸毒人员开展</w:t>
            </w:r>
            <w:r>
              <w:rPr>
                <w:sz w:val="21"/>
              </w:rPr>
              <w:t>排查登记，采集基本信息，做到底数清、情况明、信息准。</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tcBorders>
              <w:top w:val="none" w:color="000000" w:sz="4"/>
              <w:left w:val="none" w:color="000000" w:sz="4"/>
              <w:bottom w:val="single" w:color="000000" w:sz="4"/>
              <w:right w:val="single" w:color="000000" w:sz="4"/>
            </w:tcBorders>
          </w:tcPr>
          <w:p>
            <w:pPr>
              <w:jc w:val="center"/>
            </w:pPr>
            <w:r>
              <w:rPr>
                <w:color w:val="000000"/>
                <w:sz w:val="21"/>
              </w:rPr>
              <w:t>建档率</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了解登记吸毒人员现实表现情况，按照分级分类管控要求对吸毒人员建立“一人一档”，做到档案规范完整。</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tcBorders>
              <w:top w:val="none" w:color="000000" w:sz="4"/>
              <w:left w:val="none" w:color="000000" w:sz="4"/>
              <w:bottom w:val="single" w:color="000000" w:sz="4"/>
              <w:right w:val="single" w:color="000000" w:sz="4"/>
            </w:tcBorders>
          </w:tcPr>
          <w:p>
            <w:pPr>
              <w:jc w:val="center"/>
            </w:pPr>
            <w:r>
              <w:rPr>
                <w:color w:val="000000"/>
                <w:sz w:val="21"/>
              </w:rPr>
              <w:t>档案跟进</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对已建档的吸毒人员采取分级分类管理机制，制定相对应的服务计划，了解其情况，按照管控工作要求定期进行评估，服务跟踪、协助吸毒检测、开展联系见面谈话家访等工作，落实三个关系修复以及其他帮扶救助措施，</w:t>
            </w:r>
            <w:r>
              <w:rPr>
                <w:sz w:val="21"/>
              </w:rPr>
              <w:t>并记录归档。</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vMerge w:val="restart"/>
            <w:tcBorders>
              <w:top w:val="none" w:color="000000" w:sz="4"/>
              <w:left w:val="none" w:color="000000" w:sz="4"/>
              <w:bottom w:val="single" w:color="000000" w:sz="4"/>
              <w:right w:val="single" w:color="000000" w:sz="4"/>
            </w:tcBorders>
          </w:tcPr>
          <w:p>
            <w:pPr>
              <w:jc w:val="center"/>
            </w:pPr>
            <w:r>
              <w:rPr>
                <w:color w:val="000000"/>
                <w:sz w:val="21"/>
              </w:rPr>
              <w:t>在册吸毒人员</w:t>
            </w:r>
          </w:p>
        </w:tc>
        <w:tc>
          <w:tcPr>
            <w:tcW w:type="dxa" w:w="605"/>
            <w:tcBorders>
              <w:top w:val="none" w:color="000000" w:sz="4"/>
              <w:left w:val="none" w:color="000000" w:sz="4"/>
              <w:bottom w:val="single" w:color="000000" w:sz="4"/>
              <w:right w:val="single" w:color="000000" w:sz="4"/>
            </w:tcBorders>
          </w:tcPr>
          <w:p>
            <w:pPr>
              <w:jc w:val="center"/>
            </w:pPr>
            <w:r>
              <w:rPr>
                <w:color w:val="000000"/>
                <w:sz w:val="21"/>
              </w:rPr>
              <w:t>吸毒检测</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审阅材料、系统统计等方式</w:t>
            </w:r>
          </w:p>
        </w:tc>
        <w:tc>
          <w:tcPr>
            <w:tcW w:type="dxa" w:w="3373"/>
            <w:tcBorders>
              <w:top w:val="none" w:color="000000" w:sz="4"/>
              <w:left w:val="none" w:color="000000" w:sz="4"/>
              <w:bottom w:val="single" w:color="000000" w:sz="4"/>
              <w:right w:val="single" w:color="000000" w:sz="4"/>
            </w:tcBorders>
          </w:tcPr>
          <w:p>
            <w:pPr>
              <w:jc w:val="both"/>
            </w:pPr>
            <w:r>
              <w:rPr>
                <w:sz w:val="21"/>
              </w:rPr>
              <w:t>协助完成吸毒人员和重点行业从业人员的吸毒检测工作。</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tcBorders>
              <w:top w:val="none" w:color="000000" w:sz="4"/>
              <w:left w:val="none" w:color="000000" w:sz="4"/>
              <w:bottom w:val="single" w:color="000000" w:sz="4"/>
              <w:right w:val="single" w:color="000000" w:sz="4"/>
            </w:tcBorders>
          </w:tcPr>
          <w:p>
            <w:pPr>
              <w:jc w:val="center"/>
            </w:pPr>
            <w:r>
              <w:rPr>
                <w:color w:val="000000"/>
                <w:sz w:val="21"/>
              </w:rPr>
              <w:t>帮教谈话</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审阅材料、面谈观察、抽查、系统统计等方式</w:t>
            </w:r>
          </w:p>
        </w:tc>
        <w:tc>
          <w:tcPr>
            <w:tcW w:type="dxa" w:w="3373"/>
            <w:tcBorders>
              <w:top w:val="none" w:color="000000" w:sz="4"/>
              <w:left w:val="none" w:color="000000" w:sz="4"/>
              <w:bottom w:val="single" w:color="000000" w:sz="4"/>
              <w:right w:val="single" w:color="000000" w:sz="4"/>
            </w:tcBorders>
            <w:vAlign w:val="top"/>
          </w:tcPr>
          <w:p>
            <w:pPr>
              <w:jc w:val="both"/>
            </w:pPr>
            <w:r>
              <w:rPr>
                <w:sz w:val="21"/>
              </w:rPr>
              <w:t>按照</w:t>
            </w:r>
            <w:r>
              <w:rPr>
                <w:color w:val="000000"/>
                <w:sz w:val="21"/>
              </w:rPr>
              <w:t>相关工作相关要求</w:t>
            </w:r>
            <w:r>
              <w:rPr>
                <w:sz w:val="21"/>
              </w:rPr>
              <w:t>的跟进频次，以面访、走访、电访、家访等形式，开展以增强支持性系统，恢复正常社会功能为目的的帮教谈话，并记录归档。</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tcBorders>
              <w:top w:val="none" w:color="000000" w:sz="4"/>
              <w:left w:val="none" w:color="000000" w:sz="4"/>
              <w:bottom w:val="single" w:color="000000" w:sz="4"/>
              <w:right w:val="single" w:color="000000" w:sz="4"/>
            </w:tcBorders>
          </w:tcPr>
          <w:p>
            <w:pPr>
              <w:jc w:val="center"/>
            </w:pPr>
            <w:r>
              <w:rPr>
                <w:sz w:val="21"/>
              </w:rPr>
              <w:t>风险评估</w:t>
            </w:r>
          </w:p>
        </w:tc>
        <w:tc>
          <w:tcPr>
            <w:tcW w:type="dxa" w:w="1038"/>
            <w:tcBorders>
              <w:top w:val="none" w:color="000000" w:sz="4"/>
              <w:left w:val="none" w:color="000000" w:sz="4"/>
              <w:bottom w:val="single" w:color="000000" w:sz="4"/>
              <w:right w:val="single" w:color="000000" w:sz="4"/>
            </w:tcBorders>
          </w:tcPr>
          <w:p>
            <w:pPr>
              <w:jc w:val="center"/>
            </w:pPr>
            <w:r>
              <w:rPr>
                <w:sz w:val="21"/>
              </w:rPr>
              <w:t>100%</w:t>
            </w:r>
          </w:p>
        </w:tc>
        <w:tc>
          <w:tcPr>
            <w:tcW w:type="dxa" w:w="1297"/>
            <w:tcBorders>
              <w:top w:val="none" w:color="000000" w:sz="4"/>
              <w:left w:val="none" w:color="000000" w:sz="4"/>
              <w:bottom w:val="single" w:color="000000" w:sz="4"/>
              <w:right w:val="single" w:color="000000" w:sz="4"/>
            </w:tcBorders>
          </w:tcPr>
          <w:p>
            <w:pPr>
              <w:jc w:val="both"/>
            </w:pPr>
            <w:r>
              <w:rPr>
                <w:sz w:val="21"/>
              </w:rPr>
              <w:t>审阅材料、面谈观察、抽查、系统统计等方式</w:t>
            </w:r>
          </w:p>
        </w:tc>
        <w:tc>
          <w:tcPr>
            <w:tcW w:type="dxa" w:w="3373"/>
            <w:tcBorders>
              <w:top w:val="none" w:color="000000" w:sz="4"/>
              <w:left w:val="none" w:color="000000" w:sz="4"/>
              <w:bottom w:val="single" w:color="000000" w:sz="4"/>
              <w:right w:val="single" w:color="000000" w:sz="4"/>
            </w:tcBorders>
            <w:vAlign w:val="top"/>
          </w:tcPr>
          <w:p>
            <w:pPr>
              <w:jc w:val="both"/>
            </w:pPr>
            <w:r>
              <w:rPr>
                <w:sz w:val="21"/>
              </w:rPr>
              <w:t>按照相关工作要求的跟进频次，根据吸毒人员生理、心理、社会表现，结合其染毒情况、行为特征、处置状态、社会危害性等，作出风险评估。</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vMerge w:val="restart"/>
            <w:tcBorders>
              <w:top w:val="none" w:color="000000" w:sz="4"/>
              <w:left w:val="none" w:color="000000" w:sz="4"/>
              <w:bottom w:val="single" w:color="000000" w:sz="4"/>
              <w:right w:val="single" w:color="000000" w:sz="4"/>
            </w:tcBorders>
          </w:tcPr>
          <w:p>
            <w:pPr>
              <w:jc w:val="center"/>
            </w:pPr>
            <w:r>
              <w:rPr>
                <w:color w:val="000000"/>
                <w:sz w:val="21"/>
              </w:rPr>
              <w:t>服用美沙酮人员</w:t>
            </w:r>
          </w:p>
        </w:tc>
        <w:tc>
          <w:tcPr>
            <w:tcW w:type="dxa" w:w="605"/>
            <w:tcBorders>
              <w:top w:val="none" w:color="000000" w:sz="4"/>
              <w:left w:val="none" w:color="000000" w:sz="4"/>
              <w:bottom w:val="single" w:color="000000" w:sz="4"/>
              <w:right w:val="single" w:color="000000" w:sz="4"/>
            </w:tcBorders>
          </w:tcPr>
          <w:p>
            <w:pPr>
              <w:jc w:val="center"/>
            </w:pPr>
            <w:r>
              <w:rPr>
                <w:color w:val="000000"/>
                <w:sz w:val="21"/>
              </w:rPr>
              <w:t>接触率</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通过美沙酮门诊等方式接触联系正在服用美沙酮药物维持治疗人员，了解现实表现情况。</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tcBorders>
              <w:top w:val="none" w:color="000000" w:sz="4"/>
              <w:left w:val="none" w:color="000000" w:sz="4"/>
              <w:bottom w:val="single" w:color="000000" w:sz="4"/>
              <w:right w:val="single" w:color="000000" w:sz="4"/>
            </w:tcBorders>
          </w:tcPr>
          <w:p>
            <w:pPr>
              <w:jc w:val="center"/>
            </w:pPr>
            <w:r>
              <w:rPr>
                <w:color w:val="000000"/>
                <w:sz w:val="21"/>
              </w:rPr>
              <w:t>建档率</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通过民警、居委、家访等方式，了解其现实表现情况，建立相应档案，服用美沙酮的情况。</w:t>
            </w:r>
          </w:p>
        </w:tc>
      </w:tr>
      <w:tr>
        <w:tc>
          <w:tcPr>
            <w:tcW w:type="dxa" w:w="778"/>
            <w:vMerge w:val="restart"/>
            <w:tcBorders>
              <w:top w:val="none" w:color="000000" w:sz="4"/>
              <w:left w:val="single" w:color="000000" w:sz="4"/>
              <w:bottom w:val="single" w:color="000000" w:sz="4"/>
              <w:right w:val="single" w:color="000000" w:sz="4"/>
            </w:tcBorders>
          </w:tcPr>
          <w:p>
            <w:pPr>
              <w:jc w:val="center"/>
            </w:pPr>
            <w:r>
              <w:rPr>
                <w:color w:val="000000"/>
                <w:sz w:val="21"/>
              </w:rPr>
              <w:t>（三）</w:t>
            </w:r>
          </w:p>
        </w:tc>
        <w:tc>
          <w:tcPr>
            <w:tcW w:type="dxa" w:w="605"/>
            <w:vMerge w:val="restart"/>
            <w:tcBorders>
              <w:top w:val="none" w:color="000000" w:sz="4"/>
              <w:left w:val="none" w:color="000000" w:sz="4"/>
              <w:bottom w:val="single" w:color="000000" w:sz="4"/>
              <w:right w:val="single" w:color="000000" w:sz="4"/>
            </w:tcBorders>
          </w:tcPr>
          <w:p>
            <w:pPr>
              <w:jc w:val="center"/>
            </w:pPr>
            <w:r>
              <w:rPr>
                <w:color w:val="000000"/>
                <w:sz w:val="21"/>
              </w:rPr>
              <w:t>出所衔接</w:t>
            </w:r>
          </w:p>
        </w:tc>
        <w:tc>
          <w:tcPr>
            <w:tcW w:type="dxa" w:w="605"/>
            <w:tcBorders>
              <w:top w:val="none" w:color="000000" w:sz="4"/>
              <w:left w:val="none" w:color="000000" w:sz="4"/>
              <w:bottom w:val="single" w:color="000000" w:sz="4"/>
              <w:right w:val="single" w:color="000000" w:sz="4"/>
            </w:tcBorders>
          </w:tcPr>
          <w:p>
            <w:pPr>
              <w:jc w:val="center"/>
            </w:pPr>
            <w:r>
              <w:rPr>
                <w:color w:val="000000"/>
                <w:sz w:val="21"/>
              </w:rPr>
              <w:t>提前介入</w:t>
            </w:r>
          </w:p>
        </w:tc>
        <w:tc>
          <w:tcPr>
            <w:tcW w:type="dxa" w:w="605"/>
            <w:tcBorders>
              <w:top w:val="none" w:color="000000" w:sz="4"/>
              <w:left w:val="none" w:color="000000" w:sz="4"/>
              <w:bottom w:val="single" w:color="000000" w:sz="4"/>
              <w:right w:val="single" w:color="000000" w:sz="4"/>
            </w:tcBorders>
          </w:tcPr>
          <w:p>
            <w:pPr>
              <w:jc w:val="center"/>
            </w:pPr>
            <w:r>
              <w:rPr>
                <w:color w:val="000000"/>
                <w:sz w:val="21"/>
              </w:rPr>
              <w:t>衔接率</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通过进入拘留所对户籍吸毒人员提前进行接触，协助人员及其家属做好出所前的心理、资讯等准备，并初步建立信任关系。</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tcBorders>
              <w:top w:val="none" w:color="000000" w:sz="4"/>
              <w:left w:val="none" w:color="000000" w:sz="4"/>
              <w:bottom w:val="single" w:color="000000" w:sz="4"/>
              <w:right w:val="single" w:color="000000" w:sz="4"/>
            </w:tcBorders>
          </w:tcPr>
          <w:p>
            <w:pPr>
              <w:jc w:val="center"/>
            </w:pPr>
            <w:r>
              <w:rPr>
                <w:color w:val="000000"/>
                <w:sz w:val="21"/>
              </w:rPr>
              <w:t>出所衔接</w:t>
            </w:r>
          </w:p>
        </w:tc>
        <w:tc>
          <w:tcPr>
            <w:tcW w:type="dxa" w:w="605"/>
            <w:tcBorders>
              <w:top w:val="none" w:color="000000" w:sz="4"/>
              <w:left w:val="none" w:color="000000" w:sz="4"/>
              <w:bottom w:val="single" w:color="000000" w:sz="4"/>
              <w:right w:val="single" w:color="000000" w:sz="4"/>
            </w:tcBorders>
          </w:tcPr>
          <w:p>
            <w:pPr>
              <w:jc w:val="center"/>
            </w:pPr>
            <w:r>
              <w:rPr>
                <w:color w:val="000000"/>
                <w:sz w:val="21"/>
              </w:rPr>
              <w:t>衔接率</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戒毒人员出所（戒毒所、拘留所）当天，送至街镇服务站点后，会同街镇、派出所、家属等完成交接手续，实现戒毒人员出所无缝对接，并在24小时内开展第一次面谈工作，初步建立专业关系。</w:t>
            </w:r>
          </w:p>
        </w:tc>
      </w:tr>
      <w:tr>
        <w:tc>
          <w:tcPr>
            <w:tcW w:type="dxa" w:w="778"/>
            <w:tcBorders>
              <w:top w:val="none" w:color="000000" w:sz="4"/>
              <w:left w:val="single" w:color="000000" w:sz="4"/>
              <w:bottom w:val="single" w:color="000000" w:sz="4"/>
              <w:right w:val="single" w:color="000000" w:sz="4"/>
            </w:tcBorders>
          </w:tcPr>
          <w:p>
            <w:pPr>
              <w:jc w:val="center"/>
            </w:pPr>
            <w:r>
              <w:rPr>
                <w:color w:val="000000"/>
                <w:sz w:val="21"/>
              </w:rPr>
              <w:t>（四）</w:t>
            </w:r>
          </w:p>
        </w:tc>
        <w:tc>
          <w:tcPr>
            <w:tcW w:type="dxa" w:w="1815"/>
            <w:gridSpan w:val="3"/>
            <w:tcBorders>
              <w:top w:val="none" w:color="000000" w:sz="4"/>
              <w:left w:val="none" w:color="000000" w:sz="4"/>
              <w:bottom w:val="single" w:color="000000" w:sz="4"/>
              <w:right w:val="single" w:color="000000" w:sz="4"/>
            </w:tcBorders>
          </w:tcPr>
          <w:p>
            <w:pPr>
              <w:jc w:val="center"/>
            </w:pPr>
            <w:r>
              <w:rPr>
                <w:color w:val="000000"/>
                <w:sz w:val="21"/>
              </w:rPr>
              <w:t>调研</w:t>
            </w:r>
          </w:p>
        </w:tc>
        <w:tc>
          <w:tcPr>
            <w:tcW w:type="dxa" w:w="1038"/>
            <w:tcBorders>
              <w:top w:val="none" w:color="000000" w:sz="4"/>
              <w:left w:val="none" w:color="000000" w:sz="4"/>
              <w:bottom w:val="single" w:color="000000" w:sz="4"/>
              <w:right w:val="single" w:color="000000" w:sz="4"/>
            </w:tcBorders>
          </w:tcPr>
          <w:p>
            <w:pPr>
              <w:jc w:val="center"/>
            </w:pPr>
            <w:r>
              <w:rPr>
                <w:sz w:val="21"/>
              </w:rPr>
              <w:t>1</w:t>
            </w:r>
            <w:r>
              <w:rPr>
                <w:sz w:val="21"/>
              </w:rPr>
              <w:t>份</w:t>
            </w:r>
            <w:r>
              <w:rPr>
                <w:color w:val="000000"/>
                <w:sz w:val="21"/>
              </w:rPr>
              <w:t>/年</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合同签订2个月内，对在册吸毒人员的现状和面临问题及需求进行调研，提出相应帮扶服务建议，形成调研报告。</w:t>
            </w:r>
          </w:p>
          <w:p>
            <w:pPr>
              <w:jc w:val="both"/>
            </w:pPr>
            <w:r>
              <w:rPr>
                <w:color w:val="000000"/>
                <w:sz w:val="21"/>
              </w:rPr>
              <w:t>2.</w:t>
            </w:r>
            <w:r>
              <w:rPr>
                <w:color w:val="000000"/>
                <w:sz w:val="21"/>
              </w:rPr>
              <w:t>项目服务过程中，针对工作存在的短板，深入分析原因，提出前瞻性解决对策，形成调研报告。</w:t>
            </w:r>
          </w:p>
        </w:tc>
      </w:tr>
      <w:tr>
        <w:tc>
          <w:tcPr>
            <w:tcW w:type="dxa" w:w="778"/>
            <w:vMerge w:val="restart"/>
            <w:tcBorders>
              <w:top w:val="none" w:color="000000" w:sz="4"/>
              <w:left w:val="single" w:color="000000" w:sz="4"/>
              <w:bottom w:val="single" w:color="000000" w:sz="4"/>
              <w:right w:val="single" w:color="000000" w:sz="4"/>
            </w:tcBorders>
          </w:tcPr>
          <w:p>
            <w:pPr>
              <w:jc w:val="center"/>
            </w:pPr>
            <w:r>
              <w:rPr>
                <w:color w:val="000000"/>
                <w:sz w:val="21"/>
              </w:rPr>
              <w:t>（五）</w:t>
            </w:r>
          </w:p>
        </w:tc>
        <w:tc>
          <w:tcPr>
            <w:tcW w:type="dxa" w:w="605"/>
            <w:vMerge w:val="restart"/>
            <w:tcBorders>
              <w:top w:val="none" w:color="000000" w:sz="4"/>
              <w:left w:val="none" w:color="000000" w:sz="4"/>
              <w:bottom w:val="single" w:color="000000" w:sz="4"/>
              <w:right w:val="single" w:color="000000" w:sz="4"/>
            </w:tcBorders>
          </w:tcPr>
          <w:p>
            <w:pPr>
              <w:jc w:val="center"/>
            </w:pPr>
            <w:r>
              <w:rPr>
                <w:color w:val="000000"/>
                <w:sz w:val="21"/>
              </w:rPr>
              <w:t>个案服务</w:t>
            </w: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个案服务</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社区戒毒、社区康复、及高风险以上人员100%开案，共至少服务600节</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numPr>
                <w:ilvl w:val="0"/>
                <w:numId w:val="1"/>
              </w:numPr>
              <w:jc w:val="both"/>
            </w:pPr>
            <w:r>
              <w:rPr>
                <w:color w:val="000000"/>
                <w:sz w:val="21"/>
              </w:rPr>
              <w:t>重点个案服务量：指社工在接触评估之后，发现服务对象存在需求服务，需要社工长期的跟进，增强其戒毒动机、拒毒能力和自我效能感，协助其能力提升、问题解决、资源链 接等服务。达到三个修复：心理关系修复、家庭关系修复、社会关系修复。</w:t>
            </w:r>
          </w:p>
          <w:p>
            <w:pPr>
              <w:numPr>
                <w:ilvl w:val="0"/>
                <w:numId w:val="1"/>
              </w:numPr>
              <w:jc w:val="both"/>
            </w:pPr>
            <w:r>
              <w:rPr>
                <w:color w:val="000000"/>
                <w:sz w:val="21"/>
              </w:rPr>
              <w:t>每一个个案除相关服务对象资料外，工作人员需要制定完备的个案评估、工作计划、工作记录、个案结案或转介报告。</w:t>
            </w:r>
          </w:p>
          <w:p>
            <w:pPr>
              <w:numPr>
                <w:ilvl w:val="0"/>
                <w:numId w:val="1"/>
              </w:numPr>
              <w:jc w:val="both"/>
            </w:pPr>
            <w:r>
              <w:rPr>
                <w:color w:val="000000"/>
                <w:sz w:val="21"/>
              </w:rPr>
              <w:t>个案结案：指服务对象达到个案计划设定目标。</w:t>
            </w:r>
          </w:p>
          <w:p>
            <w:pPr>
              <w:numPr>
                <w:ilvl w:val="0"/>
                <w:numId w:val="1"/>
              </w:numPr>
              <w:jc w:val="both"/>
            </w:pPr>
            <w:r>
              <w:rPr>
                <w:color w:val="000000"/>
                <w:sz w:val="21"/>
              </w:rPr>
              <w:t>每个个案服务每半年进行一次操守评估。</w:t>
            </w:r>
          </w:p>
          <w:p>
            <w:pPr>
              <w:numPr>
                <w:ilvl w:val="0"/>
                <w:numId w:val="1"/>
              </w:numPr>
              <w:jc w:val="both"/>
            </w:pPr>
            <w:r>
              <w:rPr>
                <w:color w:val="000000"/>
                <w:sz w:val="21"/>
              </w:rPr>
              <w:t>外市户籍吸毒人员结合实际服务需求开案。</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跟踪回访服务</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1.</w:t>
            </w:r>
            <w:r>
              <w:rPr>
                <w:color w:val="000000"/>
                <w:sz w:val="21"/>
              </w:rPr>
              <w:t>对解除责令的社区戒毒社区康复人员，在其解除责令后2年内进行定期跟踪回访，其中社区戒毒人员第一年每季度至少一次，第二年每半年至少一次，社区康复人员每半年至少一次。</w:t>
            </w:r>
          </w:p>
          <w:p>
            <w:pPr>
              <w:jc w:val="both"/>
            </w:pPr>
            <w:r>
              <w:rPr>
                <w:color w:val="000000"/>
                <w:sz w:val="21"/>
              </w:rPr>
              <w:t>2.</w:t>
            </w:r>
            <w:r>
              <w:rPr>
                <w:color w:val="000000"/>
                <w:sz w:val="21"/>
              </w:rPr>
              <w:t>对解除责令2年以上的进行不定期回访和跟踪服务。</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吸毒人员复吸原因分析</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对复吸人员（15个工作日内）逐人进行复吸原因分析，全面复盘个案服务工作，深入查找人员复吸原因及帮扶工作存在的问题，提出下一步工作措施，形成报告报区禁毒办。</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vAlign w:val="top"/>
          </w:tcPr>
          <w:p>
            <w:pPr>
              <w:jc w:val="center"/>
            </w:pPr>
            <w:r>
              <w:rPr>
                <w:color w:val="000000"/>
                <w:sz w:val="21"/>
              </w:rPr>
              <w:t>个案会议</w:t>
            </w:r>
          </w:p>
        </w:tc>
        <w:tc>
          <w:tcPr>
            <w:tcW w:type="dxa" w:w="1038"/>
            <w:tcBorders>
              <w:top w:val="none" w:color="000000" w:sz="4"/>
              <w:left w:val="none" w:color="000000" w:sz="4"/>
              <w:bottom w:val="single" w:color="000000" w:sz="4"/>
              <w:right w:val="single" w:color="000000" w:sz="4"/>
            </w:tcBorders>
            <w:vAlign w:val="top"/>
          </w:tcPr>
          <w:p>
            <w:pPr>
              <w:jc w:val="center"/>
            </w:pPr>
            <w:r>
              <w:rPr>
                <w:color w:val="000000"/>
                <w:sz w:val="21"/>
              </w:rPr>
              <w:t>1</w:t>
            </w:r>
            <w:r>
              <w:rPr>
                <w:color w:val="000000"/>
                <w:sz w:val="21"/>
              </w:rPr>
              <w:t>次/月</w:t>
            </w:r>
          </w:p>
        </w:tc>
        <w:tc>
          <w:tcPr>
            <w:tcW w:type="dxa" w:w="1297"/>
            <w:tcBorders>
              <w:top w:val="none" w:color="000000" w:sz="4"/>
              <w:left w:val="none" w:color="000000" w:sz="4"/>
              <w:bottom w:val="single" w:color="000000" w:sz="4"/>
              <w:right w:val="single" w:color="000000" w:sz="4"/>
            </w:tcBorders>
            <w:vAlign w:val="top"/>
          </w:tcPr>
          <w:p>
            <w:pPr>
              <w:jc w:val="center"/>
            </w:pPr>
            <w:r>
              <w:rPr>
                <w:color w:val="000000"/>
                <w:sz w:val="24"/>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个案会议：所有项目工作人员须透过联席会议等形式与社区及帮扶小组成员沟通每个个案服务的开展情况和进度，以及 制定下一步的工作计划。</w:t>
            </w:r>
          </w:p>
        </w:tc>
      </w:tr>
      <w:tr>
        <w:tc>
          <w:tcPr>
            <w:tcW w:type="dxa" w:w="778"/>
            <w:vMerge w:val="restart"/>
            <w:tcBorders>
              <w:top w:val="none" w:color="000000" w:sz="4"/>
              <w:left w:val="single" w:color="000000" w:sz="4"/>
              <w:bottom w:val="single" w:color="000000" w:sz="4"/>
              <w:right w:val="single" w:color="000000" w:sz="4"/>
            </w:tcBorders>
          </w:tcPr>
          <w:p>
            <w:pPr>
              <w:jc w:val="center"/>
            </w:pPr>
            <w:r>
              <w:rPr>
                <w:color w:val="000000"/>
                <w:sz w:val="21"/>
              </w:rPr>
              <w:t>（六）</w:t>
            </w:r>
          </w:p>
        </w:tc>
        <w:tc>
          <w:tcPr>
            <w:tcW w:type="dxa" w:w="605"/>
            <w:vMerge w:val="restart"/>
            <w:tcBorders>
              <w:top w:val="none" w:color="000000" w:sz="4"/>
              <w:left w:val="none" w:color="000000" w:sz="4"/>
              <w:bottom w:val="single" w:color="000000" w:sz="4"/>
              <w:right w:val="single" w:color="000000" w:sz="4"/>
            </w:tcBorders>
          </w:tcPr>
          <w:p>
            <w:pPr>
              <w:jc w:val="both"/>
            </w:pPr>
            <w:r>
              <w:rPr>
                <w:color w:val="000000"/>
                <w:sz w:val="21"/>
              </w:rPr>
              <w:t>帮扶救助服务</w:t>
            </w: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精准帮扶</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审阅材料、抽查等方式</w:t>
            </w:r>
          </w:p>
        </w:tc>
        <w:tc>
          <w:tcPr>
            <w:tcW w:type="dxa" w:w="3373"/>
            <w:tcBorders>
              <w:top w:val="none" w:color="000000" w:sz="4"/>
              <w:left w:val="none" w:color="000000" w:sz="4"/>
              <w:bottom w:val="single" w:color="000000" w:sz="4"/>
              <w:right w:val="single" w:color="000000" w:sz="4"/>
            </w:tcBorders>
          </w:tcPr>
          <w:p>
            <w:pPr>
              <w:jc w:val="both"/>
            </w:pPr>
            <w:r>
              <w:rPr>
                <w:sz w:val="21"/>
              </w:rPr>
              <w:t>发动有意愿的企业、社区、社会组织，对吸毒人员实施精准帮扶，</w:t>
            </w:r>
            <w:r>
              <w:rPr>
                <w:color w:val="000000"/>
                <w:sz w:val="21"/>
              </w:rPr>
              <w:t>重点做好因毒致孤致困、社区戒毒社区康复、病残人员等家庭帮扶，关爱未成年人子女，</w:t>
            </w:r>
            <w:r>
              <w:rPr>
                <w:sz w:val="21"/>
              </w:rPr>
              <w:t>为困难吸毒人员家庭链接爱心资金和物资。</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困难救助</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both"/>
            </w:pPr>
            <w:r>
              <w:rPr>
                <w:color w:val="000000"/>
                <w:sz w:val="21"/>
              </w:rPr>
              <w:t>审阅材料、面抽查等方式</w:t>
            </w:r>
          </w:p>
        </w:tc>
        <w:tc>
          <w:tcPr>
            <w:tcW w:type="dxa" w:w="3373"/>
            <w:tcBorders>
              <w:top w:val="none" w:color="000000" w:sz="4"/>
              <w:left w:val="none" w:color="000000" w:sz="4"/>
              <w:bottom w:val="single" w:color="000000" w:sz="4"/>
              <w:right w:val="single" w:color="000000" w:sz="4"/>
            </w:tcBorders>
          </w:tcPr>
          <w:p>
            <w:pPr>
              <w:jc w:val="both"/>
            </w:pPr>
            <w:r>
              <w:rPr>
                <w:color w:val="000000"/>
                <w:sz w:val="21"/>
              </w:rPr>
              <w:t>协助有需要的吸毒人员申请最低生活保障、失业保险、医疗保险、临时救助等帮扶救助。</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职业技能培训</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不少于2场次</w:t>
            </w:r>
          </w:p>
        </w:tc>
        <w:tc>
          <w:tcPr>
            <w:tcW w:type="dxa" w:w="1297"/>
            <w:tcBorders>
              <w:top w:val="none" w:color="000000" w:sz="4"/>
              <w:left w:val="none" w:color="000000" w:sz="4"/>
              <w:bottom w:val="single" w:color="000000" w:sz="4"/>
              <w:right w:val="single" w:color="000000" w:sz="4"/>
            </w:tcBorders>
          </w:tcPr>
          <w:p>
            <w:pPr>
              <w:jc w:val="both"/>
            </w:pPr>
            <w:r>
              <w:rPr>
                <w:color w:val="000000"/>
                <w:sz w:val="21"/>
              </w:rPr>
              <w:t>审阅材料、面抽查等方式</w:t>
            </w:r>
          </w:p>
        </w:tc>
        <w:tc>
          <w:tcPr>
            <w:tcW w:type="dxa" w:w="3373"/>
            <w:tcBorders>
              <w:top w:val="none" w:color="000000" w:sz="4"/>
              <w:left w:val="none" w:color="000000" w:sz="4"/>
              <w:bottom w:val="single" w:color="000000" w:sz="4"/>
              <w:right w:val="single" w:color="000000" w:sz="4"/>
            </w:tcBorders>
          </w:tcPr>
          <w:p>
            <w:pPr>
              <w:jc w:val="both"/>
            </w:pPr>
            <w:r>
              <w:rPr>
                <w:color w:val="000000"/>
                <w:sz w:val="21"/>
              </w:rPr>
              <w:t>开展戒毒人员职业技能培训课程或技能培训不少于2场次。</w:t>
            </w:r>
          </w:p>
          <w:p>
            <w:pPr>
              <w:jc w:val="both"/>
            </w:pPr>
          </w:p>
        </w:tc>
      </w:tr>
      <w:tr>
        <w:tc>
          <w:tcPr>
            <w:tcW w:type="dxa" w:w="778"/>
            <w:vMerge w:val="restart"/>
            <w:tcBorders>
              <w:top w:val="none" w:color="000000" w:sz="4"/>
              <w:left w:val="single" w:color="000000" w:sz="4"/>
              <w:bottom w:val="single" w:color="000000" w:sz="4"/>
              <w:right w:val="single" w:color="000000" w:sz="4"/>
            </w:tcBorders>
          </w:tcPr>
          <w:p>
            <w:pPr>
              <w:jc w:val="center"/>
            </w:pPr>
            <w:r>
              <w:rPr>
                <w:color w:val="000000"/>
                <w:sz w:val="21"/>
              </w:rPr>
              <w:t>（七）</w:t>
            </w:r>
          </w:p>
        </w:tc>
        <w:tc>
          <w:tcPr>
            <w:tcW w:type="dxa" w:w="605"/>
            <w:vMerge w:val="restart"/>
            <w:tcBorders>
              <w:top w:val="none" w:color="000000" w:sz="4"/>
              <w:left w:val="none" w:color="000000" w:sz="4"/>
              <w:bottom w:val="single" w:color="000000" w:sz="4"/>
              <w:right w:val="single" w:color="000000" w:sz="4"/>
            </w:tcBorders>
          </w:tcPr>
          <w:p>
            <w:pPr>
              <w:jc w:val="center"/>
            </w:pPr>
            <w:r>
              <w:rPr>
                <w:color w:val="000000"/>
                <w:sz w:val="21"/>
              </w:rPr>
              <w:t>禁毒宣传教育</w:t>
            </w:r>
          </w:p>
        </w:tc>
        <w:tc>
          <w:tcPr>
            <w:tcW w:type="dxa" w:w="605"/>
            <w:vMerge w:val="restart"/>
            <w:tcBorders>
              <w:top w:val="none" w:color="000000" w:sz="4"/>
              <w:left w:val="none" w:color="000000" w:sz="4"/>
              <w:bottom w:val="single" w:color="000000" w:sz="4"/>
              <w:right w:val="single" w:color="000000" w:sz="4"/>
            </w:tcBorders>
          </w:tcPr>
          <w:p>
            <w:pPr>
              <w:jc w:val="center"/>
            </w:pPr>
            <w:r>
              <w:rPr>
                <w:color w:val="000000"/>
                <w:sz w:val="21"/>
              </w:rPr>
              <w:t>社区宣传教育服务</w:t>
            </w:r>
          </w:p>
        </w:tc>
        <w:tc>
          <w:tcPr>
            <w:tcW w:type="dxa" w:w="605"/>
            <w:tcBorders>
              <w:top w:val="none" w:color="000000" w:sz="4"/>
              <w:left w:val="none" w:color="000000" w:sz="4"/>
              <w:bottom w:val="single" w:color="000000" w:sz="4"/>
              <w:right w:val="single" w:color="000000" w:sz="4"/>
            </w:tcBorders>
          </w:tcPr>
          <w:p>
            <w:pPr>
              <w:jc w:val="center"/>
            </w:pPr>
            <w:r>
              <w:rPr>
                <w:color w:val="000000"/>
                <w:sz w:val="21"/>
              </w:rPr>
              <w:t>线下、线上宣传</w:t>
            </w:r>
          </w:p>
        </w:tc>
        <w:tc>
          <w:tcPr>
            <w:tcW w:type="dxa" w:w="1038"/>
            <w:tcBorders>
              <w:top w:val="none" w:color="000000" w:sz="4"/>
              <w:left w:val="none" w:color="000000" w:sz="4"/>
              <w:bottom w:val="single" w:color="000000" w:sz="4"/>
              <w:right w:val="single" w:color="000000" w:sz="4"/>
            </w:tcBorders>
          </w:tcPr>
          <w:p>
            <w:pPr>
              <w:jc w:val="center"/>
            </w:pPr>
            <w:r>
              <w:rPr>
                <w:sz w:val="21"/>
              </w:rPr>
              <w:t>不少于12场次</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tcPr>
          <w:p>
            <w:pPr>
              <w:jc w:val="both"/>
            </w:pPr>
            <w:r>
              <w:rPr>
                <w:color w:val="000000"/>
                <w:sz w:val="21"/>
              </w:rPr>
              <w:t>全年开展不少于12场次线上线下社区禁毒宣教育服务，每场参与人数不少于100人。每场活动制定完备的活动方案、活动总结、新闻稿等内容。</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tcBorders>
              <w:top w:val="none" w:color="000000" w:sz="4"/>
              <w:left w:val="none" w:color="000000" w:sz="4"/>
              <w:bottom w:val="single" w:color="000000" w:sz="4"/>
              <w:right w:val="single" w:color="000000" w:sz="4"/>
            </w:tcBorders>
          </w:tcPr>
          <w:p>
            <w:pPr>
              <w:jc w:val="center"/>
            </w:pPr>
            <w:r>
              <w:rPr>
                <w:color w:val="000000"/>
                <w:sz w:val="21"/>
              </w:rPr>
              <w:t>宣传品制作</w:t>
            </w:r>
          </w:p>
        </w:tc>
        <w:tc>
          <w:tcPr>
            <w:tcW w:type="dxa" w:w="1038"/>
            <w:tcBorders>
              <w:top w:val="none" w:color="000000" w:sz="4"/>
              <w:left w:val="none" w:color="000000" w:sz="4"/>
              <w:bottom w:val="single" w:color="000000" w:sz="4"/>
              <w:right w:val="single" w:color="000000" w:sz="4"/>
            </w:tcBorders>
          </w:tcPr>
          <w:p>
            <w:pPr>
              <w:jc w:val="center"/>
            </w:pPr>
            <w:r>
              <w:rPr>
                <w:sz w:val="21"/>
              </w:rPr>
              <w:t>不少于3种，5000份</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tcPr>
          <w:p>
            <w:pPr>
              <w:jc w:val="both"/>
            </w:pPr>
            <w:r>
              <w:rPr>
                <w:color w:val="000000"/>
                <w:sz w:val="21"/>
              </w:rPr>
              <w:t>根据服务内容、方式，制作有针对性的禁毒宣传单张、海报、小册子、杂事刊物等。</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vMerge w:val="restart"/>
            <w:tcBorders>
              <w:top w:val="none" w:color="000000" w:sz="4"/>
              <w:left w:val="none" w:color="000000" w:sz="4"/>
              <w:bottom w:val="single" w:color="000000" w:sz="4"/>
              <w:right w:val="single" w:color="000000" w:sz="4"/>
            </w:tcBorders>
          </w:tcPr>
          <w:p>
            <w:pPr>
              <w:jc w:val="center"/>
            </w:pPr>
            <w:r>
              <w:rPr>
                <w:color w:val="000000"/>
                <w:sz w:val="21"/>
              </w:rPr>
              <w:t>媒体宣传服务</w:t>
            </w:r>
          </w:p>
        </w:tc>
        <w:tc>
          <w:tcPr>
            <w:tcW w:type="dxa" w:w="605"/>
            <w:tcBorders>
              <w:top w:val="none" w:color="000000" w:sz="4"/>
              <w:left w:val="none" w:color="000000" w:sz="4"/>
              <w:bottom w:val="single" w:color="000000" w:sz="4"/>
              <w:right w:val="single" w:color="000000" w:sz="4"/>
            </w:tcBorders>
          </w:tcPr>
          <w:p>
            <w:pPr>
              <w:jc w:val="center"/>
            </w:pPr>
            <w:r>
              <w:rPr>
                <w:color w:val="000000"/>
                <w:sz w:val="21"/>
              </w:rPr>
              <w:t>宣传片条数</w:t>
            </w:r>
          </w:p>
        </w:tc>
        <w:tc>
          <w:tcPr>
            <w:tcW w:type="dxa" w:w="1038"/>
            <w:tcBorders>
              <w:top w:val="none" w:color="000000" w:sz="4"/>
              <w:left w:val="none" w:color="000000" w:sz="4"/>
              <w:bottom w:val="single" w:color="000000" w:sz="4"/>
              <w:right w:val="single" w:color="000000" w:sz="4"/>
            </w:tcBorders>
          </w:tcPr>
          <w:p>
            <w:pPr>
              <w:jc w:val="center"/>
            </w:pPr>
            <w:r>
              <w:rPr>
                <w:sz w:val="21"/>
              </w:rPr>
              <w:t>2</w:t>
            </w:r>
            <w:r>
              <w:rPr>
                <w:sz w:val="21"/>
              </w:rPr>
              <w:t>条/年</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tcPr>
          <w:p>
            <w:pPr>
              <w:jc w:val="both"/>
            </w:pPr>
            <w:r>
              <w:rPr>
                <w:color w:val="000000"/>
                <w:sz w:val="21"/>
              </w:rPr>
              <w:t>制作禁毒主题短视频、微动漫等新媒体作品。</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605"/>
            <w:tcBorders>
              <w:top w:val="none" w:color="000000" w:sz="4"/>
              <w:left w:val="none" w:color="000000" w:sz="4"/>
              <w:bottom w:val="single" w:color="000000" w:sz="4"/>
              <w:right w:val="single" w:color="000000" w:sz="4"/>
            </w:tcBorders>
          </w:tcPr>
          <w:p>
            <w:pPr>
              <w:jc w:val="center"/>
            </w:pPr>
            <w:r>
              <w:rPr>
                <w:color w:val="000000"/>
                <w:sz w:val="21"/>
              </w:rPr>
              <w:t>媒体报道数</w:t>
            </w:r>
          </w:p>
        </w:tc>
        <w:tc>
          <w:tcPr>
            <w:tcW w:type="dxa" w:w="1038"/>
            <w:tcBorders>
              <w:top w:val="none" w:color="000000" w:sz="4"/>
              <w:left w:val="none" w:color="000000" w:sz="4"/>
              <w:bottom w:val="single" w:color="000000" w:sz="4"/>
              <w:right w:val="single" w:color="000000" w:sz="4"/>
            </w:tcBorders>
          </w:tcPr>
          <w:p>
            <w:pPr>
              <w:jc w:val="center"/>
            </w:pPr>
            <w:r>
              <w:rPr>
                <w:sz w:val="21"/>
              </w:rPr>
              <w:t>不少于10次</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tcPr>
          <w:p>
            <w:pPr>
              <w:jc w:val="both"/>
            </w:pPr>
            <w:r>
              <w:rPr>
                <w:color w:val="000000"/>
                <w:sz w:val="21"/>
              </w:rPr>
              <w:t>在市级以上媒体对黄埔区禁毒工作报道10次以上。</w:t>
            </w:r>
          </w:p>
        </w:tc>
      </w:tr>
      <w:tr>
        <w:tc>
          <w:tcPr>
            <w:tcW w:type="dxa" w:w="778"/>
            <w:vMerge w:val="restart"/>
            <w:tcBorders>
              <w:top w:val="none" w:color="000000" w:sz="4"/>
              <w:left w:val="single" w:color="000000" w:sz="4"/>
              <w:bottom w:val="single" w:color="000000" w:sz="4"/>
              <w:right w:val="single" w:color="000000" w:sz="4"/>
            </w:tcBorders>
          </w:tcPr>
          <w:p>
            <w:pPr>
              <w:jc w:val="center"/>
            </w:pPr>
            <w:r>
              <w:rPr>
                <w:color w:val="000000"/>
                <w:sz w:val="21"/>
              </w:rPr>
              <w:t>（八）</w:t>
            </w:r>
          </w:p>
        </w:tc>
        <w:tc>
          <w:tcPr>
            <w:tcW w:type="dxa" w:w="605"/>
            <w:vMerge w:val="restart"/>
            <w:tcBorders>
              <w:top w:val="none" w:color="000000" w:sz="4"/>
              <w:left w:val="none" w:color="000000" w:sz="4"/>
              <w:bottom w:val="single" w:color="000000" w:sz="4"/>
              <w:right w:val="single" w:color="000000" w:sz="4"/>
            </w:tcBorders>
          </w:tcPr>
          <w:p>
            <w:pPr>
              <w:jc w:val="center"/>
            </w:pPr>
            <w:r>
              <w:rPr>
                <w:color w:val="000000"/>
                <w:sz w:val="21"/>
              </w:rPr>
              <w:t>建立社区合作伙伴</w:t>
            </w: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合作伙伴走访及工作知会</w:t>
            </w:r>
          </w:p>
        </w:tc>
        <w:tc>
          <w:tcPr>
            <w:tcW w:type="dxa" w:w="1038"/>
            <w:tcBorders>
              <w:top w:val="none" w:color="000000" w:sz="4"/>
              <w:left w:val="none" w:color="000000" w:sz="4"/>
              <w:bottom w:val="single" w:color="000000" w:sz="4"/>
              <w:right w:val="single" w:color="000000" w:sz="4"/>
            </w:tcBorders>
          </w:tcPr>
          <w:p>
            <w:pPr>
              <w:jc w:val="center"/>
            </w:pPr>
            <w:r>
              <w:rPr>
                <w:sz w:val="21"/>
              </w:rPr>
              <w:t>每2个月不少于1次</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tcPr>
          <w:p>
            <w:pPr>
              <w:jc w:val="both"/>
            </w:pPr>
            <w:r>
              <w:rPr>
                <w:sz w:val="21"/>
              </w:rPr>
              <w:t>通过走访民警、医生、禁毒专职、村居干部等网格管理小组合作伙伴，了解和反馈吸毒人员的情况。</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合作伙伴满意度</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90%</w:t>
            </w:r>
            <w:r>
              <w:rPr>
                <w:color w:val="000000"/>
                <w:sz w:val="21"/>
              </w:rPr>
              <w:t>以上（含本数）</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合作伙伴满意度指镇禁毒办及相关部门对执行方的综合评价。</w:t>
            </w:r>
          </w:p>
        </w:tc>
      </w:tr>
      <w:tr>
        <w:tc>
          <w:tcPr>
            <w:tcW w:type="dxa" w:w="778"/>
            <w:vMerge w:val="restart"/>
            <w:tcBorders>
              <w:top w:val="none" w:color="000000" w:sz="4"/>
              <w:left w:val="single" w:color="000000" w:sz="4"/>
              <w:bottom w:val="single" w:color="000000" w:sz="4"/>
              <w:right w:val="single" w:color="000000" w:sz="4"/>
            </w:tcBorders>
          </w:tcPr>
          <w:p>
            <w:pPr>
              <w:jc w:val="center"/>
            </w:pPr>
            <w:r>
              <w:rPr>
                <w:color w:val="000000"/>
                <w:sz w:val="21"/>
              </w:rPr>
              <w:t>（九）</w:t>
            </w:r>
          </w:p>
        </w:tc>
        <w:tc>
          <w:tcPr>
            <w:tcW w:type="dxa" w:w="605"/>
            <w:vMerge w:val="restart"/>
            <w:tcBorders>
              <w:top w:val="none" w:color="000000" w:sz="4"/>
              <w:left w:val="none" w:color="000000" w:sz="4"/>
              <w:bottom w:val="single" w:color="000000" w:sz="4"/>
              <w:right w:val="single" w:color="000000" w:sz="4"/>
            </w:tcBorders>
          </w:tcPr>
          <w:p>
            <w:pPr>
              <w:jc w:val="center"/>
            </w:pPr>
            <w:r>
              <w:rPr>
                <w:color w:val="000000"/>
                <w:sz w:val="21"/>
              </w:rPr>
              <w:t>服务质素监测</w:t>
            </w: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禁毒专业培训</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不少于7天或42学时，新入职岗前训练不少于30小时</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tcPr>
          <w:p>
            <w:pPr>
              <w:jc w:val="both"/>
            </w:pPr>
            <w:r>
              <w:rPr>
                <w:color w:val="000000"/>
                <w:sz w:val="21"/>
              </w:rPr>
              <w:t>1.</w:t>
            </w:r>
            <w:r>
              <w:rPr>
                <w:color w:val="000000"/>
                <w:sz w:val="21"/>
              </w:rPr>
              <w:t>每年人均接受专业科目学习时间累计不少于7天或42学时，其中与戒毒康复相关的学时不少于1/3。</w:t>
            </w:r>
          </w:p>
          <w:p>
            <w:pPr>
              <w:jc w:val="both"/>
            </w:pPr>
            <w:r>
              <w:rPr>
                <w:color w:val="000000"/>
                <w:sz w:val="21"/>
              </w:rPr>
              <w:t>2.</w:t>
            </w:r>
            <w:r>
              <w:rPr>
                <w:color w:val="000000"/>
                <w:sz w:val="21"/>
              </w:rPr>
              <w:t>新入职人员接受禁毒社会工作专业知识岗前训练不少于30个小时。</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专业督导</w:t>
            </w:r>
          </w:p>
        </w:tc>
        <w:tc>
          <w:tcPr>
            <w:tcW w:type="dxa" w:w="1038"/>
            <w:tcBorders>
              <w:top w:val="none" w:color="000000" w:sz="4"/>
              <w:left w:val="none" w:color="000000" w:sz="4"/>
              <w:bottom w:val="single" w:color="000000" w:sz="4"/>
              <w:right w:val="single" w:color="000000" w:sz="4"/>
            </w:tcBorders>
          </w:tcPr>
          <w:p>
            <w:pPr>
              <w:jc w:val="center"/>
            </w:pPr>
            <w:r>
              <w:rPr>
                <w:sz w:val="21"/>
              </w:rPr>
              <w:t>36</w:t>
            </w:r>
            <w:r>
              <w:rPr>
                <w:sz w:val="21"/>
              </w:rPr>
              <w:t>小时/人/年</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禁毒社会工作者每人每月接受不少于2次督导，每次不少于1个小时，且至少有1次为面对面的个别督导，</w:t>
            </w:r>
            <w:r>
              <w:rPr>
                <w:color w:val="000000"/>
                <w:sz w:val="21"/>
              </w:rPr>
              <w:t>每人每年个别督导不少于24小时。</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工作例会</w:t>
            </w:r>
          </w:p>
        </w:tc>
        <w:tc>
          <w:tcPr>
            <w:tcW w:type="dxa" w:w="1038"/>
            <w:tcBorders>
              <w:top w:val="none" w:color="000000" w:sz="4"/>
              <w:left w:val="none" w:color="000000" w:sz="4"/>
              <w:bottom w:val="single" w:color="000000" w:sz="4"/>
              <w:right w:val="single" w:color="000000" w:sz="4"/>
            </w:tcBorders>
          </w:tcPr>
          <w:p>
            <w:pPr>
              <w:jc w:val="center"/>
            </w:pPr>
            <w:r>
              <w:rPr>
                <w:sz w:val="21"/>
              </w:rPr>
              <w:t>1</w:t>
            </w:r>
            <w:r>
              <w:rPr>
                <w:sz w:val="21"/>
              </w:rPr>
              <w:t>次/月</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通过例会制度，检视项目的整体实施情况，把控服务方向；反馈上月工作情况、上月工作改善情况及本月工作布置安排。</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计划总结</w:t>
            </w:r>
          </w:p>
        </w:tc>
        <w:tc>
          <w:tcPr>
            <w:tcW w:type="dxa" w:w="1038"/>
            <w:tcBorders>
              <w:top w:val="none" w:color="000000" w:sz="4"/>
              <w:left w:val="none" w:color="000000" w:sz="4"/>
              <w:bottom w:val="single" w:color="000000" w:sz="4"/>
              <w:right w:val="single" w:color="000000" w:sz="4"/>
            </w:tcBorders>
          </w:tcPr>
          <w:p>
            <w:pPr>
              <w:jc w:val="center"/>
            </w:pPr>
            <w:r>
              <w:rPr>
                <w:sz w:val="21"/>
              </w:rPr>
              <w:t>不少于18份</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numPr>
                <w:ilvl w:val="0"/>
                <w:numId w:val="1"/>
              </w:numPr>
              <w:jc w:val="both"/>
            </w:pPr>
            <w:r>
              <w:rPr>
                <w:color w:val="000000"/>
                <w:sz w:val="21"/>
              </w:rPr>
              <w:t>包括项目计划、每月总结和计划、半年总结、合同年度总结、中期评估整改计划，不少于14份。</w:t>
            </w:r>
          </w:p>
          <w:p>
            <w:pPr>
              <w:numPr>
                <w:ilvl w:val="0"/>
                <w:numId w:val="1"/>
              </w:numPr>
              <w:jc w:val="both"/>
            </w:pPr>
            <w:r>
              <w:rPr>
                <w:color w:val="000000"/>
                <w:sz w:val="21"/>
              </w:rPr>
              <w:t>定期总结提炼服务工作情况，每季度积极挖掘有质量素材形成综合性工作简报，不少于4份。</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系统维护</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系统统计</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根据业务系统工作情况配合新龙镇工作人员录入时限要求，按时完成对服务数据的录入工作。</w:t>
            </w:r>
          </w:p>
        </w:tc>
      </w:tr>
      <w:tr>
        <w:tc>
          <w:tcPr>
            <w:tcW w:type="dxa" w:w="778"/>
            <w:vMerge w:val="restart"/>
            <w:tcBorders>
              <w:top w:val="none" w:color="000000" w:sz="4"/>
              <w:left w:val="single" w:color="000000" w:sz="4"/>
              <w:bottom w:val="single" w:color="000000" w:sz="4"/>
              <w:right w:val="single" w:color="000000" w:sz="4"/>
            </w:tcBorders>
          </w:tcPr>
          <w:p>
            <w:pPr>
              <w:jc w:val="center"/>
            </w:pPr>
            <w:r>
              <w:rPr>
                <w:color w:val="000000"/>
                <w:sz w:val="21"/>
              </w:rPr>
              <w:t>（十）</w:t>
            </w:r>
          </w:p>
        </w:tc>
        <w:tc>
          <w:tcPr>
            <w:tcW w:type="dxa" w:w="605"/>
            <w:vMerge w:val="restart"/>
            <w:tcBorders>
              <w:top w:val="none" w:color="000000" w:sz="4"/>
              <w:left w:val="none" w:color="000000" w:sz="4"/>
              <w:bottom w:val="single" w:color="000000" w:sz="4"/>
              <w:right w:val="single" w:color="000000" w:sz="4"/>
            </w:tcBorders>
          </w:tcPr>
          <w:p>
            <w:pPr>
              <w:jc w:val="center"/>
            </w:pPr>
            <w:r>
              <w:rPr>
                <w:color w:val="000000"/>
                <w:sz w:val="21"/>
              </w:rPr>
              <w:t>服务目标成效</w:t>
            </w: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社区戒毒执行巩固率</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高于上年度执行巩固率</w:t>
            </w:r>
          </w:p>
        </w:tc>
        <w:tc>
          <w:tcPr>
            <w:tcW w:type="dxa" w:w="1297"/>
            <w:tcBorders>
              <w:top w:val="none" w:color="000000" w:sz="4"/>
              <w:left w:val="none" w:color="000000" w:sz="4"/>
              <w:bottom w:val="single" w:color="000000" w:sz="4"/>
              <w:right w:val="single" w:color="000000" w:sz="4"/>
            </w:tcBorders>
          </w:tcPr>
          <w:p>
            <w:pPr>
              <w:ind w:firstLine="210"/>
              <w:jc w:val="both"/>
            </w:pPr>
            <w:r>
              <w:rPr>
                <w:color w:val="000000"/>
                <w:sz w:val="21"/>
              </w:rPr>
              <w:t>系统统计</w:t>
            </w:r>
          </w:p>
        </w:tc>
        <w:tc>
          <w:tcPr>
            <w:tcW w:type="dxa" w:w="3373"/>
            <w:tcBorders>
              <w:top w:val="none" w:color="000000" w:sz="4"/>
              <w:left w:val="none" w:color="000000" w:sz="4"/>
              <w:bottom w:val="single" w:color="000000" w:sz="4"/>
              <w:right w:val="single" w:color="000000" w:sz="4"/>
            </w:tcBorders>
          </w:tcPr>
          <w:p>
            <w:pPr>
              <w:jc w:val="both"/>
            </w:pPr>
            <w:r>
              <w:rPr>
                <w:color w:val="000000"/>
                <w:sz w:val="21"/>
              </w:rPr>
              <w:t>社区戒毒执行巩固率高于上年度执行巩固率。</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社区康复执行巩固率</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高于上年度执行巩固率</w:t>
            </w:r>
          </w:p>
        </w:tc>
        <w:tc>
          <w:tcPr>
            <w:tcW w:type="dxa" w:w="1297"/>
            <w:tcBorders>
              <w:top w:val="none" w:color="000000" w:sz="4"/>
              <w:left w:val="none" w:color="000000" w:sz="4"/>
              <w:bottom w:val="single" w:color="000000" w:sz="4"/>
              <w:right w:val="single" w:color="000000" w:sz="4"/>
            </w:tcBorders>
          </w:tcPr>
          <w:p>
            <w:pPr>
              <w:ind w:firstLine="210"/>
              <w:jc w:val="both"/>
            </w:pPr>
            <w:r>
              <w:rPr>
                <w:color w:val="000000"/>
                <w:sz w:val="21"/>
              </w:rPr>
              <w:t>系统统计</w:t>
            </w:r>
          </w:p>
        </w:tc>
        <w:tc>
          <w:tcPr>
            <w:tcW w:type="dxa" w:w="3373"/>
            <w:tcBorders>
              <w:top w:val="none" w:color="000000" w:sz="4"/>
              <w:left w:val="none" w:color="000000" w:sz="4"/>
              <w:bottom w:val="single" w:color="000000" w:sz="4"/>
              <w:right w:val="single" w:color="000000" w:sz="4"/>
            </w:tcBorders>
          </w:tcPr>
          <w:p>
            <w:pPr>
              <w:jc w:val="both"/>
            </w:pPr>
            <w:r>
              <w:rPr>
                <w:color w:val="000000"/>
                <w:sz w:val="21"/>
              </w:rPr>
              <w:t>社区康复执行巩固率高于上年度执行巩固率。</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吸毒人员入网格率</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系统统计、台账统计</w:t>
            </w:r>
          </w:p>
        </w:tc>
        <w:tc>
          <w:tcPr>
            <w:tcW w:type="dxa" w:w="3373"/>
            <w:tcBorders>
              <w:top w:val="none" w:color="000000" w:sz="4"/>
              <w:left w:val="none" w:color="000000" w:sz="4"/>
              <w:bottom w:val="single" w:color="000000" w:sz="4"/>
              <w:right w:val="single" w:color="000000" w:sz="4"/>
            </w:tcBorders>
          </w:tcPr>
          <w:p>
            <w:pPr>
              <w:jc w:val="both"/>
            </w:pPr>
            <w:r>
              <w:rPr>
                <w:color w:val="000000"/>
                <w:sz w:val="21"/>
              </w:rPr>
              <w:t>吸毒人员入网格率达100%。</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吸毒人员分类定级率</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100%</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系统统计、台账统计</w:t>
            </w:r>
          </w:p>
        </w:tc>
        <w:tc>
          <w:tcPr>
            <w:tcW w:type="dxa" w:w="3373"/>
            <w:tcBorders>
              <w:top w:val="none" w:color="000000" w:sz="4"/>
              <w:left w:val="none" w:color="000000" w:sz="4"/>
              <w:bottom w:val="single" w:color="000000" w:sz="4"/>
              <w:right w:val="single" w:color="000000" w:sz="4"/>
            </w:tcBorders>
          </w:tcPr>
          <w:p>
            <w:pPr>
              <w:jc w:val="both"/>
            </w:pPr>
            <w:r>
              <w:rPr>
                <w:color w:val="000000"/>
                <w:sz w:val="21"/>
              </w:rPr>
              <w:t>吸毒人员分类定级率达100%。</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户籍吸毒人员复吸率</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3%</w:t>
            </w:r>
            <w:r>
              <w:rPr>
                <w:color w:val="000000"/>
                <w:sz w:val="21"/>
              </w:rPr>
              <w:t>以下（含本数）</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系统统计</w:t>
            </w:r>
          </w:p>
        </w:tc>
        <w:tc>
          <w:tcPr>
            <w:tcW w:type="dxa" w:w="3373"/>
            <w:tcBorders>
              <w:top w:val="none" w:color="000000" w:sz="4"/>
              <w:left w:val="none" w:color="000000" w:sz="4"/>
              <w:bottom w:val="single" w:color="000000" w:sz="4"/>
              <w:right w:val="single" w:color="000000" w:sz="4"/>
            </w:tcBorders>
          </w:tcPr>
          <w:p>
            <w:pPr>
              <w:jc w:val="both"/>
            </w:pPr>
            <w:r>
              <w:rPr>
                <w:color w:val="000000"/>
                <w:sz w:val="21"/>
              </w:rPr>
              <w:t>户籍吸毒人员复吸率控制在3%以下。</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就业安置率</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80%</w:t>
            </w:r>
            <w:r>
              <w:rPr>
                <w:color w:val="000000"/>
                <w:sz w:val="21"/>
              </w:rPr>
              <w:t>以上（含本数）</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p>
          <w:p>
            <w:pPr>
              <w:jc w:val="both"/>
            </w:pPr>
            <w:r>
              <w:rPr>
                <w:color w:val="000000"/>
                <w:sz w:val="21"/>
              </w:rPr>
              <w:t>社会面本地户籍吸毒人员就业安置率保持在80%以上。</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操守率</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80%</w:t>
            </w:r>
            <w:r>
              <w:rPr>
                <w:color w:val="000000"/>
                <w:sz w:val="21"/>
              </w:rPr>
              <w:t>以上（含本数）</w:t>
            </w:r>
          </w:p>
        </w:tc>
        <w:tc>
          <w:tcPr>
            <w:tcW w:type="dxa" w:w="1297"/>
            <w:tcBorders>
              <w:top w:val="none" w:color="000000" w:sz="4"/>
              <w:left w:val="none" w:color="000000" w:sz="4"/>
              <w:bottom w:val="single" w:color="000000" w:sz="4"/>
              <w:right w:val="single" w:color="000000" w:sz="4"/>
            </w:tcBorders>
          </w:tcPr>
          <w:p>
            <w:pPr>
              <w:jc w:val="both"/>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tcPr>
          <w:p>
            <w:pPr>
              <w:jc w:val="both"/>
            </w:pPr>
            <w:r>
              <w:rPr>
                <w:color w:val="000000"/>
                <w:sz w:val="21"/>
              </w:rPr>
              <w:t>户籍强戒出所人员1年操守率达到70%以上。</w:t>
            </w:r>
          </w:p>
        </w:tc>
      </w:tr>
      <w:tr>
        <w:tc>
          <w:tcPr>
            <w:tcW w:type="dxa" w:w="778"/>
            <w:vMerge/>
            <w:tcBorders>
              <w:top w:val="none" w:color="000000" w:sz="4"/>
              <w:left w:val="single" w:color="000000" w:sz="4"/>
              <w:bottom w:val="single" w:color="000000" w:sz="4"/>
              <w:right w:val="single" w:color="000000" w:sz="4"/>
            </w:tcBorders>
          </w:tcPr>
          <w:p/>
        </w:tc>
        <w:tc>
          <w:tcPr>
            <w:tcW w:type="dxa" w:w="605"/>
            <w:vMerge/>
            <w:tcBorders>
              <w:top w:val="none" w:color="000000" w:sz="4"/>
              <w:left w:val="none" w:color="000000" w:sz="4"/>
              <w:bottom w:val="single" w:color="000000" w:sz="4"/>
              <w:right w:val="single" w:color="000000" w:sz="4"/>
            </w:tcBorders>
          </w:tcPr>
          <w:p/>
        </w:tc>
        <w:tc>
          <w:tcPr>
            <w:tcW w:type="dxa" w:w="1210"/>
            <w:gridSpan w:val="2"/>
            <w:tcBorders>
              <w:top w:val="none" w:color="000000" w:sz="4"/>
              <w:left w:val="none" w:color="000000" w:sz="4"/>
              <w:bottom w:val="single" w:color="000000" w:sz="4"/>
              <w:right w:val="single" w:color="000000" w:sz="4"/>
            </w:tcBorders>
          </w:tcPr>
          <w:p>
            <w:pPr>
              <w:jc w:val="center"/>
            </w:pPr>
            <w:r>
              <w:rPr>
                <w:color w:val="000000"/>
                <w:sz w:val="21"/>
              </w:rPr>
              <w:t>个案成功率</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70%</w:t>
            </w:r>
            <w:r>
              <w:rPr>
                <w:color w:val="000000"/>
                <w:sz w:val="21"/>
              </w:rPr>
              <w:t>以上（含本数）</w:t>
            </w:r>
          </w:p>
        </w:tc>
        <w:tc>
          <w:tcPr>
            <w:tcW w:type="dxa" w:w="1297"/>
            <w:tcBorders>
              <w:top w:val="none" w:color="000000" w:sz="4"/>
              <w:left w:val="none" w:color="000000" w:sz="4"/>
              <w:bottom w:val="single" w:color="000000" w:sz="4"/>
              <w:right w:val="single" w:color="000000" w:sz="4"/>
            </w:tcBorders>
          </w:tcPr>
          <w:p>
            <w:pPr>
              <w:jc w:val="center"/>
            </w:pPr>
            <w:r>
              <w:rPr>
                <w:color w:val="000000"/>
                <w:sz w:val="21"/>
              </w:rPr>
              <w:t>审阅材料、面谈观察、抽查等方式</w:t>
            </w:r>
          </w:p>
        </w:tc>
        <w:tc>
          <w:tcPr>
            <w:tcW w:type="dxa" w:w="3373"/>
            <w:tcBorders>
              <w:top w:val="none" w:color="000000" w:sz="4"/>
              <w:left w:val="none" w:color="000000" w:sz="4"/>
              <w:bottom w:val="single" w:color="000000" w:sz="4"/>
              <w:right w:val="single" w:color="000000" w:sz="4"/>
            </w:tcBorders>
            <w:vAlign w:val="top"/>
          </w:tcPr>
          <w:p>
            <w:pPr>
              <w:jc w:val="both"/>
            </w:pPr>
            <w:r>
              <w:rPr>
                <w:color w:val="000000"/>
                <w:sz w:val="21"/>
              </w:rPr>
              <w:t>个案成功率=服务成功个案/开案个案数量，服务目标得到解决。</w:t>
            </w:r>
          </w:p>
        </w:tc>
      </w:tr>
    </w:tbl>
    <w:p>
      <w:pPr>
        <w:ind w:firstLine="480"/>
      </w:pPr>
      <w:r>
        <w:rPr>
          <w:b/>
          <w:color w:val="000000"/>
          <w:sz w:val="21"/>
        </w:rPr>
        <w:t xml:space="preserve">第六条  </w:t>
      </w:r>
      <w:r>
        <w:rPr>
          <w:b/>
          <w:color w:val="000000"/>
          <w:sz w:val="21"/>
        </w:rPr>
        <w:t>人员配置要求</w:t>
      </w:r>
    </w:p>
    <w:p>
      <w:pPr>
        <w:ind w:firstLine="426"/>
      </w:pPr>
      <w:r>
        <w:rPr>
          <w:b/>
          <w:color w:val="000000"/>
        </w:rPr>
        <w:t>1.</w:t>
      </w:r>
      <w:r>
        <w:rPr>
          <w:b/>
          <w:color w:val="000000"/>
        </w:rPr>
        <w:t>社工数量</w:t>
      </w:r>
    </w:p>
    <w:p>
      <w:pPr>
        <w:ind w:firstLine="424"/>
        <w:jc w:val="left"/>
      </w:pPr>
      <w:r>
        <w:rPr/>
        <w:t>乙方需配置8名专业禁毒社会工作者开展服务工作，配置人员中项目主任1名、社工7名。 服务总工时下限为 12000 小时/年，上限为 13200 小时/年。</w:t>
      </w:r>
    </w:p>
    <w:p>
      <w:pPr>
        <w:ind w:firstLine="426"/>
      </w:pPr>
      <w:r>
        <w:rPr>
          <w:b/>
          <w:color w:val="000000"/>
        </w:rPr>
        <w:t>2.</w:t>
      </w:r>
      <w:r>
        <w:rPr>
          <w:b/>
          <w:color w:val="000000"/>
        </w:rPr>
        <w:t>社工基本要求</w:t>
      </w:r>
    </w:p>
    <w:p>
      <w:pPr>
        <w:ind w:firstLine="424"/>
      </w:pPr>
      <w:r>
        <w:rPr>
          <w:color w:val="000000"/>
        </w:rPr>
        <w:t>（1）</w:t>
      </w:r>
      <w:r>
        <w:rPr>
          <w:color w:val="000000"/>
          <w:sz w:val="21"/>
        </w:rPr>
        <w:t>社工基本要求</w:t>
      </w:r>
      <w:r>
        <w:rPr>
          <w:color w:val="000000"/>
          <w:sz w:val="21"/>
        </w:rPr>
        <w:t>项目中心主任具有5年以上社会工作服务经验，3年及以上禁毒社会工作项目管理经验，社会工作、社会学等相关专业本科或以上专业毕业并持有中级或以上社会工作师证书</w:t>
      </w:r>
      <w:r>
        <w:rPr>
          <w:color w:val="000000"/>
          <w:sz w:val="21"/>
        </w:rPr>
        <w:t>。8名禁毒社工团队工作人员（含主任）中，持有社工证、心理咨询师证或社会工作、社会学、社区管理与服务、心理学、法学等相关专业毕业证书人员不少于 5 人。</w:t>
      </w:r>
    </w:p>
    <w:p>
      <w:pPr>
        <w:ind w:firstLine="424"/>
      </w:pPr>
      <w:r>
        <w:rPr>
          <w:color w:val="000000"/>
        </w:rPr>
        <w:t>（</w:t>
      </w:r>
      <w:r>
        <w:rPr>
          <w:color w:val="000000"/>
        </w:rPr>
        <w:t>2</w:t>
      </w:r>
      <w:r>
        <w:rPr>
          <w:color w:val="000000"/>
        </w:rPr>
        <w:t>）新入职人员</w:t>
      </w:r>
      <w:r>
        <w:rPr>
          <w:color w:val="000000"/>
        </w:rPr>
        <w:t>应接受禁毒社会工作专业知识岗前训练30小时，岗前培训内容可参考广东省《社区戒毒社区康复社会工作服务规范》（DB44/T 2296-2021）要求。</w:t>
      </w:r>
    </w:p>
    <w:p>
      <w:pPr>
        <w:ind w:firstLine="424"/>
      </w:pPr>
      <w:r>
        <w:rPr>
          <w:color w:val="000000"/>
        </w:rPr>
        <w:t>（</w:t>
      </w:r>
      <w:r>
        <w:rPr>
          <w:color w:val="000000"/>
        </w:rPr>
        <w:t>3</w:t>
      </w:r>
      <w:r>
        <w:rPr>
          <w:color w:val="000000"/>
        </w:rPr>
        <w:t>）</w:t>
      </w:r>
      <w:r>
        <w:rPr>
          <w:color w:val="000000"/>
        </w:rPr>
        <w:t>禁毒社会工作者应为专职，</w:t>
      </w:r>
      <w:r>
        <w:rPr/>
        <w:t>乙方</w:t>
      </w:r>
      <w:r>
        <w:rPr>
          <w:color w:val="000000"/>
        </w:rPr>
        <w:t>不得派遣兼职人员、实习生等非专职人员到本项目，不得安排社工从事非本项目的工作。</w:t>
      </w:r>
    </w:p>
    <w:p>
      <w:pPr>
        <w:ind w:firstLine="426"/>
      </w:pPr>
      <w:r>
        <w:rPr>
          <w:b/>
          <w:color w:val="000000"/>
        </w:rPr>
        <w:t>3.</w:t>
      </w:r>
      <w:r>
        <w:rPr>
          <w:b/>
          <w:color w:val="000000"/>
        </w:rPr>
        <w:t>人员上岗要求</w:t>
      </w:r>
    </w:p>
    <w:p>
      <w:pPr>
        <w:ind w:firstLine="424"/>
      </w:pPr>
      <w:r>
        <w:rPr/>
        <w:t>乙方</w:t>
      </w:r>
      <w:r>
        <w:rPr>
          <w:color w:val="000000"/>
        </w:rPr>
        <w:t>须在成交后保证一半以上符合本需求所规定的社工基本要求条件的专业社</w:t>
      </w:r>
      <w:r>
        <w:rPr/>
        <w:t>工（即</w:t>
      </w:r>
      <w:r>
        <w:rPr/>
        <w:t>5</w:t>
      </w:r>
      <w:r>
        <w:rPr/>
        <w:t>人或以上）马上投入开</w:t>
      </w:r>
      <w:r>
        <w:rPr>
          <w:color w:val="000000"/>
        </w:rPr>
        <w:t>展工作，其余人员须在成交一个月内配置，向甲方提交名单和相关材料证明，由甲方予以核对。</w:t>
      </w:r>
      <w:r>
        <w:rPr/>
        <w:t>乙方</w:t>
      </w:r>
      <w:r>
        <w:rPr>
          <w:color w:val="000000"/>
        </w:rPr>
        <w:t>组织项目社工参加督导、培训以及</w:t>
      </w:r>
      <w:r>
        <w:rPr/>
        <w:t>乙方</w:t>
      </w:r>
      <w:r>
        <w:rPr>
          <w:color w:val="000000"/>
        </w:rPr>
        <w:t>组织的其他活动时间，在工作日范围内每月不得超过2天。</w:t>
      </w:r>
    </w:p>
    <w:p>
      <w:pPr>
        <w:ind w:firstLine="426"/>
      </w:pPr>
      <w:r>
        <w:rPr>
          <w:b/>
          <w:color w:val="000000"/>
        </w:rPr>
        <w:t>4.</w:t>
      </w:r>
      <w:r>
        <w:rPr>
          <w:b/>
          <w:color w:val="000000"/>
        </w:rPr>
        <w:t>人员管理要求</w:t>
      </w:r>
    </w:p>
    <w:p>
      <w:pPr>
        <w:ind w:firstLine="424"/>
      </w:pPr>
      <w:r>
        <w:rPr>
          <w:color w:val="000000"/>
        </w:rPr>
        <w:t>（</w:t>
      </w:r>
      <w:r>
        <w:rPr>
          <w:color w:val="000000"/>
        </w:rPr>
        <w:t>1</w:t>
      </w:r>
      <w:r>
        <w:rPr>
          <w:color w:val="000000"/>
        </w:rPr>
        <w:t>）</w:t>
      </w:r>
      <w:r>
        <w:rPr/>
        <w:t>乙方</w:t>
      </w:r>
      <w:r>
        <w:rPr>
          <w:color w:val="000000"/>
        </w:rPr>
        <w:t>非因不可抗力，不得随意更换、调配派遣的禁毒社会工作者，要保持禁毒社会工作者队伍的稳定性，如需更换，需经报甲方同意后才能更换调配。</w:t>
      </w:r>
    </w:p>
    <w:p>
      <w:pPr>
        <w:jc w:val="both"/>
      </w:pPr>
      <w:r>
        <w:rPr>
          <w:color w:val="000000"/>
          <w:sz w:val="21"/>
        </w:rPr>
        <w:t>（</w:t>
      </w:r>
      <w:r>
        <w:rPr>
          <w:color w:val="000000"/>
          <w:sz w:val="21"/>
        </w:rPr>
        <w:t>2</w:t>
      </w:r>
      <w:r>
        <w:rPr>
          <w:color w:val="000000"/>
          <w:sz w:val="21"/>
        </w:rPr>
        <w:t>）</w:t>
      </w:r>
      <w:r>
        <w:rPr>
          <w:color w:val="000000"/>
          <w:sz w:val="21"/>
        </w:rPr>
        <w:t>禁毒社会工作者离职、调离的，</w:t>
      </w:r>
      <w:r>
        <w:rPr>
          <w:sz w:val="21"/>
        </w:rPr>
        <w:t>乙方</w:t>
      </w:r>
      <w:r>
        <w:rPr>
          <w:color w:val="000000"/>
          <w:sz w:val="21"/>
        </w:rPr>
        <w:t>在原禁毒社会工作者离职前一周应安排接替的禁毒社会工作者到岗，做好工作接替。</w:t>
      </w:r>
    </w:p>
    <w:p>
      <w:pPr>
        <w:jc w:val="both"/>
      </w:pPr>
      <w:r>
        <w:rPr>
          <w:b/>
          <w:color w:val="000000"/>
          <w:sz w:val="21"/>
        </w:rPr>
        <w:t xml:space="preserve">第七条  </w:t>
      </w:r>
      <w:r>
        <w:rPr>
          <w:b/>
          <w:color w:val="000000"/>
          <w:sz w:val="21"/>
        </w:rPr>
        <w:t>项目考核评估</w:t>
      </w:r>
    </w:p>
    <w:p>
      <w:pPr>
        <w:ind w:firstLine="424"/>
      </w:pPr>
      <w:r>
        <w:rPr>
          <w:color w:val="000000"/>
        </w:rPr>
        <w:t>评估结果采用百分制，分优秀、良好、合格、基本合格、不合格五个等级， 90分或以上为优秀；80分至90分（不含90分）为良好；70分至80分（不含80分）为合格；60分至70分（不含70分）为基本合格；60分（不含60分）以下为不合格。项目开展期间，</w:t>
      </w:r>
      <w:r>
        <w:rPr/>
        <w:t>乙方</w:t>
      </w:r>
      <w:r>
        <w:rPr>
          <w:color w:val="000000"/>
        </w:rPr>
        <w:t>因管理不到位被甲方连续或累计3次发出提醒函，限期内整改不及时、不到位的，评估结果不能评为优秀或良好。项目开展期间有以下情形之一的，评估结果评为不合格：</w:t>
      </w:r>
    </w:p>
    <w:p>
      <w:pPr>
        <w:ind w:firstLine="424"/>
      </w:pPr>
      <w:r>
        <w:rPr>
          <w:color w:val="000000"/>
        </w:rPr>
        <w:t>①违反合同要求的；</w:t>
      </w:r>
    </w:p>
    <w:p>
      <w:pPr>
        <w:ind w:firstLine="424"/>
      </w:pPr>
      <w:r>
        <w:rPr>
          <w:color w:val="000000"/>
        </w:rPr>
        <w:t>②严重违反禁毒社会工作专业守则，伪造服务档案的；</w:t>
      </w:r>
    </w:p>
    <w:p>
      <w:pPr>
        <w:ind w:firstLine="424"/>
      </w:pPr>
      <w:r>
        <w:rPr>
          <w:color w:val="000000"/>
        </w:rPr>
        <w:t>③财务评估结果为不及格的；</w:t>
      </w:r>
    </w:p>
    <w:p>
      <w:pPr>
        <w:ind w:firstLine="424"/>
      </w:pPr>
      <w:r>
        <w:rPr>
          <w:color w:val="000000"/>
        </w:rPr>
        <w:t>④违反国家法律法规及有关规定其他情形的。</w:t>
      </w:r>
    </w:p>
    <w:p>
      <w:pPr>
        <w:ind w:firstLine="424"/>
      </w:pPr>
      <w:r>
        <w:rPr/>
        <w:t>乙方</w:t>
      </w:r>
      <w:r>
        <w:rPr>
          <w:color w:val="000000"/>
        </w:rPr>
        <w:t>应重视评估结果，按照评估反馈要求改进服务。</w:t>
      </w:r>
    </w:p>
    <w:p>
      <w:pPr>
        <w:ind w:firstLine="426"/>
      </w:pPr>
      <w:r>
        <w:rPr>
          <w:b/>
          <w:color w:val="000000"/>
        </w:rPr>
        <w:t>2.</w:t>
      </w:r>
      <w:r>
        <w:rPr>
          <w:b/>
          <w:color w:val="000000"/>
        </w:rPr>
        <w:t>评估结果应用</w:t>
      </w:r>
    </w:p>
    <w:p>
      <w:pPr>
        <w:ind w:firstLine="424"/>
      </w:pPr>
      <w:r>
        <w:rPr/>
        <w:t>乙方</w:t>
      </w:r>
      <w:r>
        <w:rPr>
          <w:color w:val="000000"/>
        </w:rPr>
        <w:t>年度中期、末期服务项目评估结果为合格或以上的，不扣减项目总经费。如中期评估未达合格标准的，乙方应根据评估意见在采购人指定的期限内进行限期整改，整改后，评估结果为合格或以上的，方可向甲方申请办理款项手续；整改仍不合格的，项目经费不予支付，并终止合同；如末期评估未达合格标准的经整改仍不及格的，项目经费不予支付。</w:t>
      </w:r>
    </w:p>
    <w:p>
      <w:pPr>
        <w:jc w:val="both"/>
      </w:pPr>
      <w:r>
        <w:rPr>
          <w:sz w:val="21"/>
        </w:rPr>
        <w:t>乙方</w:t>
      </w:r>
      <w:r>
        <w:rPr>
          <w:color w:val="000000"/>
          <w:sz w:val="21"/>
        </w:rPr>
        <w:t>对与评估相关的服务及财务资料，应当保存5年或以上，以配合财政、审计等部门检查。</w:t>
      </w:r>
    </w:p>
    <w:p>
      <w:pPr>
        <w:jc w:val="both"/>
      </w:pPr>
      <w:r>
        <w:rPr>
          <w:b/>
          <w:color w:val="000000"/>
          <w:sz w:val="21"/>
        </w:rPr>
        <w:t xml:space="preserve">第八条  </w:t>
      </w:r>
      <w:r>
        <w:rPr>
          <w:b/>
          <w:color w:val="000000"/>
          <w:sz w:val="21"/>
        </w:rPr>
        <w:t>付款方式</w:t>
      </w:r>
    </w:p>
    <w:p>
      <w:pPr>
        <w:ind w:firstLine="424"/>
      </w:pPr>
      <w:r>
        <w:rPr>
          <w:color w:val="000000"/>
        </w:rPr>
        <w:t>1.</w:t>
      </w:r>
      <w:r>
        <w:rPr>
          <w:color w:val="000000"/>
        </w:rPr>
        <w:t>项目服务费每年96万元，该费用包括人员薪酬经费、督导培训经费、服务活动经费、办公经费、税费、项目管理费等费用。项目每年服务费分3期支付,具体如下：</w:t>
      </w:r>
    </w:p>
    <w:p>
      <w:pPr>
        <w:ind w:firstLine="424"/>
      </w:pPr>
      <w:r>
        <w:rPr>
          <w:color w:val="000000"/>
        </w:rPr>
        <w:t>第1期：首期项目经费为合同总额的50%，应在合同签订生效并收到</w:t>
      </w:r>
      <w:r>
        <w:rPr/>
        <w:t>乙方</w:t>
      </w:r>
      <w:r>
        <w:rPr>
          <w:color w:val="000000"/>
        </w:rPr>
        <w:t>提交的等额发票后5个工作日内支付；</w:t>
      </w:r>
    </w:p>
    <w:p>
      <w:pPr>
        <w:ind w:firstLine="424"/>
      </w:pPr>
      <w:r>
        <w:rPr>
          <w:color w:val="000000"/>
        </w:rPr>
        <w:t>第2期：合同签订起服务时间满3个月，甲方在收到</w:t>
      </w:r>
      <w:r>
        <w:rPr/>
        <w:t>乙方</w:t>
      </w:r>
      <w:r>
        <w:rPr>
          <w:color w:val="000000"/>
        </w:rPr>
        <w:t>提交的等额发票后5个工作日内办理拨付合同总额的30%手续；</w:t>
      </w:r>
    </w:p>
    <w:p>
      <w:pPr>
        <w:ind w:firstLine="424"/>
      </w:pPr>
      <w:r>
        <w:rPr>
          <w:color w:val="000000"/>
        </w:rPr>
        <w:t>第3期：合同签订起服务时间满5个月，甲方在收到</w:t>
      </w:r>
      <w:r>
        <w:rPr/>
        <w:t>乙方</w:t>
      </w:r>
      <w:r>
        <w:rPr>
          <w:color w:val="000000"/>
        </w:rPr>
        <w:t>提交的等额发票后5个工作日内办理拨付合同总额的20%手续；</w:t>
      </w:r>
    </w:p>
    <w:p>
      <w:pPr>
        <w:ind w:firstLine="424"/>
      </w:pPr>
      <w:r>
        <w:rPr>
          <w:color w:val="000000"/>
        </w:rPr>
        <w:t>本项目费用由财政集中支付，甲方在前款规定的付款时间为向政府支付部门提出办理财政集中支付申请时间（不含财政支付部门审核的时间），甲方在规定时间内提出办理支付申请后即视为甲方已经按时支付。因财政拨款延误而导致甲方逾期付款的，甲方不承担违约责任，</w:t>
      </w:r>
      <w:r>
        <w:rPr/>
        <w:t>乙方</w:t>
      </w:r>
      <w:r>
        <w:rPr>
          <w:color w:val="000000"/>
        </w:rPr>
        <w:t>不得以此为由拒绝和暂停服务。</w:t>
      </w:r>
    </w:p>
    <w:p>
      <w:pPr>
        <w:ind w:firstLine="424"/>
      </w:pPr>
      <w:r>
        <w:rPr>
          <w:color w:val="000000"/>
        </w:rPr>
        <w:t>2.</w:t>
      </w:r>
      <w:r>
        <w:rPr/>
        <w:t>乙方</w:t>
      </w:r>
      <w:r>
        <w:rPr>
          <w:color w:val="000000"/>
        </w:rPr>
        <w:t>须在甲方办理集中支付手续前5个工作日内携带以下材料办理支付手续：成交通知书、采购合同书、项目评估通知书、正式发票。</w:t>
      </w:r>
    </w:p>
    <w:p>
      <w:pPr>
        <w:ind w:firstLine="424"/>
      </w:pPr>
      <w:r>
        <w:rPr>
          <w:b/>
          <w:color w:val="000000"/>
          <w:sz w:val="21"/>
        </w:rPr>
        <w:t xml:space="preserve">第九条  </w:t>
      </w:r>
      <w:r>
        <w:rPr>
          <w:b/>
          <w:color w:val="000000"/>
          <w:sz w:val="21"/>
        </w:rPr>
        <w:t>验收方式</w:t>
      </w:r>
    </w:p>
    <w:p>
      <w:pPr>
        <w:ind w:firstLine="420"/>
        <w:jc w:val="both"/>
      </w:pPr>
      <w:r>
        <w:rPr>
          <w:sz w:val="21"/>
        </w:rPr>
        <w:t>甲方收到</w:t>
      </w:r>
      <w:r>
        <w:rPr>
          <w:sz w:val="21"/>
        </w:rPr>
        <w:t>乙方</w:t>
      </w:r>
      <w:r>
        <w:rPr>
          <w:sz w:val="21"/>
        </w:rPr>
        <w:t>项目验收建议之日起7个工作日内按照合同的约定对履约情况进行验收，委托第三方进行评估验收，对每一项技术、服务、安全标准的履约情况进行确认；验收标准主要以“项目评估考核”要求为准。</w:t>
      </w:r>
    </w:p>
    <w:p>
      <w:pPr>
        <w:jc w:val="both"/>
      </w:pPr>
      <w:r>
        <w:rPr>
          <w:b/>
          <w:color w:val="000000"/>
          <w:sz w:val="21"/>
        </w:rPr>
        <w:t xml:space="preserve">   第</w:t>
      </w:r>
      <w:r>
        <w:rPr>
          <w:b/>
          <w:color w:val="000000"/>
          <w:sz w:val="21"/>
        </w:rPr>
        <w:t>十</w:t>
      </w:r>
      <w:r>
        <w:rPr>
          <w:b/>
          <w:color w:val="000000"/>
          <w:sz w:val="21"/>
        </w:rPr>
        <w:t xml:space="preserve">条  </w:t>
      </w:r>
      <w:r>
        <w:rPr>
          <w:b/>
          <w:color w:val="000000"/>
          <w:sz w:val="21"/>
        </w:rPr>
        <w:t>知识产权归属</w:t>
      </w:r>
    </w:p>
    <w:p>
      <w:pPr>
        <w:ind w:firstLine="420"/>
        <w:jc w:val="both"/>
      </w:pPr>
      <w:r>
        <w:rPr>
          <w:color w:val="000000"/>
          <w:sz w:val="21"/>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pPr>
        <w:ind w:firstLine="420"/>
        <w:jc w:val="both"/>
      </w:pPr>
      <w:r>
        <w:rPr>
          <w:b/>
          <w:color w:val="000000"/>
          <w:sz w:val="21"/>
        </w:rPr>
        <w:t>第</w:t>
      </w:r>
      <w:r>
        <w:rPr>
          <w:b/>
          <w:color w:val="000000"/>
          <w:sz w:val="21"/>
        </w:rPr>
        <w:t>十</w:t>
      </w:r>
      <w:r>
        <w:rPr>
          <w:b/>
          <w:color w:val="000000"/>
          <w:sz w:val="21"/>
        </w:rPr>
        <w:t xml:space="preserve">一条  </w:t>
      </w:r>
      <w:r>
        <w:rPr>
          <w:b/>
          <w:color w:val="000000"/>
          <w:sz w:val="21"/>
        </w:rPr>
        <w:t>保密</w:t>
      </w:r>
    </w:p>
    <w:p>
      <w:pPr>
        <w:ind w:firstLine="420"/>
        <w:jc w:val="both"/>
      </w:pPr>
      <w:r>
        <w:rPr>
          <w:color w:val="000000"/>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p>
    <w:p>
      <w:pPr>
        <w:ind w:firstLine="420"/>
        <w:jc w:val="both"/>
      </w:pPr>
      <w:r>
        <w:rPr>
          <w:color w:val="000000"/>
          <w:sz w:val="21"/>
        </w:rPr>
        <w:t>1</w:t>
      </w:r>
      <w:r>
        <w:rPr>
          <w:color w:val="000000"/>
          <w:sz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ind w:firstLine="420"/>
        <w:jc w:val="both"/>
      </w:pPr>
      <w:r>
        <w:rPr>
          <w:color w:val="000000"/>
          <w:sz w:val="21"/>
        </w:rPr>
        <w:t>2</w:t>
      </w:r>
      <w:r>
        <w:rPr>
          <w:color w:val="000000"/>
          <w:sz w:val="21"/>
        </w:rPr>
        <w:t>）除了合同本身之外，上款所列举的任何物件均是甲方的财产。乙方应当在完成合同后应将这些物件及全部复制件还给甲方，甲方同意由乙方持有的除外。</w:t>
      </w:r>
    </w:p>
    <w:p>
      <w:pPr>
        <w:jc w:val="both"/>
      </w:pPr>
      <w:r>
        <w:rPr>
          <w:b/>
          <w:color w:val="000000"/>
          <w:sz w:val="21"/>
        </w:rPr>
        <w:t xml:space="preserve">   第</w:t>
      </w:r>
      <w:r>
        <w:rPr>
          <w:b/>
          <w:color w:val="000000"/>
          <w:sz w:val="21"/>
        </w:rPr>
        <w:t>十</w:t>
      </w:r>
      <w:r>
        <w:rPr>
          <w:b/>
          <w:color w:val="000000"/>
          <w:sz w:val="21"/>
        </w:rPr>
        <w:t xml:space="preserve">二条   </w:t>
      </w:r>
      <w:r>
        <w:rPr>
          <w:b/>
          <w:color w:val="000000"/>
          <w:sz w:val="21"/>
        </w:rPr>
        <w:t>违约责任与赔偿损失</w:t>
      </w:r>
    </w:p>
    <w:p>
      <w:pPr>
        <w:ind w:firstLine="420"/>
        <w:jc w:val="both"/>
      </w:pPr>
      <w:r>
        <w:rPr>
          <w:color w:val="000000"/>
          <w:sz w:val="21"/>
        </w:rPr>
        <w:t>1)</w:t>
      </w:r>
      <w:r>
        <w:rPr>
          <w:color w:val="000000"/>
          <w:sz w:val="21"/>
        </w:rPr>
        <w:t>乙方提供的服务不符合磋商文件、响应文件或本合同规定的，甲方有权拒收，并且乙方须向甲方方支付本合同总价5%的违约金。</w:t>
      </w:r>
    </w:p>
    <w:p>
      <w:pPr>
        <w:ind w:firstLine="420"/>
        <w:jc w:val="both"/>
      </w:pPr>
      <w:r>
        <w:rPr>
          <w:color w:val="000000"/>
          <w:sz w:val="21"/>
        </w:rPr>
        <w:t>2)</w:t>
      </w:r>
      <w:r>
        <w:rPr>
          <w:color w:val="000000"/>
          <w:sz w:val="21"/>
        </w:rPr>
        <w:t>乙方未能按本合同规定的交货时间提供服务，从逾期之日起每日按本合同总价3‰的数额向甲方支付违约金；逾期半个月以上的，甲方有权终止合同，由此造成的甲方经济损失由乙方承担。</w:t>
      </w:r>
    </w:p>
    <w:p>
      <w:pPr>
        <w:ind w:firstLine="420"/>
        <w:jc w:val="both"/>
      </w:pPr>
      <w:r>
        <w:rPr>
          <w:color w:val="000000"/>
          <w:sz w:val="21"/>
        </w:rPr>
        <w:t>3)</w:t>
      </w:r>
      <w:r>
        <w:rPr>
          <w:color w:val="000000"/>
          <w:sz w:val="21"/>
        </w:rPr>
        <w:t>甲方无正当理由拒收接受服务，到期拒付服务款项的，甲方向乙方偿付本合同总的5%的违约金。甲方人逾期付款，则每日按本合同总价的3‰向乙方偿付违约金。</w:t>
      </w:r>
    </w:p>
    <w:p>
      <w:pPr>
        <w:ind w:firstLine="420"/>
        <w:jc w:val="both"/>
      </w:pPr>
      <w:r>
        <w:rPr>
          <w:color w:val="000000"/>
          <w:sz w:val="21"/>
        </w:rPr>
        <w:t>4)</w:t>
      </w:r>
      <w:r>
        <w:rPr>
          <w:color w:val="000000"/>
          <w:sz w:val="21"/>
        </w:rPr>
        <w:t>其它违约责任按《中华人民共和国民法典》第三编　合同处理。</w:t>
      </w:r>
    </w:p>
    <w:p>
      <w:pPr>
        <w:jc w:val="both"/>
      </w:pPr>
      <w:r>
        <w:rPr>
          <w:b/>
          <w:color w:val="000000"/>
          <w:sz w:val="21"/>
        </w:rPr>
        <w:t xml:space="preserve">   第</w:t>
      </w:r>
      <w:r>
        <w:rPr>
          <w:b/>
          <w:color w:val="000000"/>
          <w:sz w:val="21"/>
        </w:rPr>
        <w:t>十</w:t>
      </w:r>
      <w:r>
        <w:rPr>
          <w:b/>
          <w:color w:val="000000"/>
          <w:sz w:val="21"/>
        </w:rPr>
        <w:t xml:space="preserve">三条   </w:t>
      </w:r>
      <w:r>
        <w:rPr>
          <w:b/>
          <w:color w:val="000000"/>
          <w:sz w:val="21"/>
        </w:rPr>
        <w:t>争端的解决</w:t>
      </w:r>
    </w:p>
    <w:p>
      <w:pPr>
        <w:ind w:firstLine="420"/>
        <w:jc w:val="both"/>
      </w:pPr>
      <w:r>
        <w:rPr>
          <w:color w:val="000000"/>
          <w:sz w:val="21"/>
        </w:rPr>
        <w:t>合同执行过程中发生的任何争议，如双方不能通过友好协商解决，按相关法律法规处理。</w:t>
      </w:r>
    </w:p>
    <w:p>
      <w:pPr>
        <w:ind w:firstLine="420"/>
        <w:jc w:val="both"/>
      </w:pPr>
      <w:r>
        <w:rPr>
          <w:b/>
          <w:color w:val="000000"/>
          <w:sz w:val="21"/>
        </w:rPr>
        <w:t>第</w:t>
      </w:r>
      <w:r>
        <w:rPr>
          <w:b/>
          <w:color w:val="000000"/>
          <w:sz w:val="21"/>
        </w:rPr>
        <w:t>十</w:t>
      </w:r>
      <w:r>
        <w:rPr>
          <w:b/>
          <w:color w:val="000000"/>
          <w:sz w:val="21"/>
        </w:rPr>
        <w:t>四条</w:t>
      </w:r>
      <w:r>
        <w:rPr>
          <w:b/>
          <w:color w:val="000000"/>
          <w:sz w:val="21"/>
        </w:rPr>
        <w:t>不可抗力</w:t>
      </w:r>
    </w:p>
    <w:p>
      <w:pPr>
        <w:ind w:firstLine="412"/>
        <w:jc w:val="both"/>
      </w:pPr>
      <w:r>
        <w:rPr>
          <w:color w:val="000000"/>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1"/>
        </w:rPr>
        <w:t xml:space="preserve">   第</w:t>
      </w:r>
      <w:r>
        <w:rPr>
          <w:b/>
          <w:color w:val="000000"/>
          <w:sz w:val="21"/>
        </w:rPr>
        <w:t>十</w:t>
      </w:r>
      <w:r>
        <w:rPr>
          <w:b/>
          <w:color w:val="000000"/>
          <w:sz w:val="21"/>
        </w:rPr>
        <w:t>五条</w:t>
      </w:r>
      <w:r>
        <w:rPr>
          <w:b/>
          <w:color w:val="000000"/>
          <w:sz w:val="21"/>
        </w:rPr>
        <w:t>税费</w:t>
      </w:r>
    </w:p>
    <w:p>
      <w:pPr>
        <w:ind w:firstLine="412"/>
        <w:jc w:val="both"/>
      </w:pPr>
      <w:r>
        <w:rPr>
          <w:color w:val="000000"/>
          <w:sz w:val="21"/>
        </w:rPr>
        <w:t>在中国境内、外发生的与本合同执行有关的一切税费均由乙方负担。</w:t>
      </w:r>
    </w:p>
    <w:p>
      <w:pPr>
        <w:jc w:val="both"/>
      </w:pPr>
      <w:r>
        <w:rPr>
          <w:b/>
          <w:color w:val="000000"/>
          <w:sz w:val="21"/>
        </w:rPr>
        <w:t xml:space="preserve">   第</w:t>
      </w:r>
      <w:r>
        <w:rPr>
          <w:b/>
          <w:color w:val="000000"/>
          <w:sz w:val="21"/>
        </w:rPr>
        <w:t>十</w:t>
      </w:r>
      <w:r>
        <w:rPr>
          <w:b/>
          <w:color w:val="000000"/>
          <w:sz w:val="21"/>
        </w:rPr>
        <w:t xml:space="preserve">六条  </w:t>
      </w:r>
      <w:r>
        <w:rPr>
          <w:b/>
          <w:color w:val="000000"/>
          <w:sz w:val="21"/>
        </w:rPr>
        <w:t>其它</w:t>
      </w:r>
    </w:p>
    <w:p>
      <w:pPr>
        <w:ind w:firstLine="412"/>
        <w:jc w:val="both"/>
      </w:pPr>
      <w:r>
        <w:rPr>
          <w:color w:val="000000"/>
          <w:sz w:val="21"/>
        </w:rPr>
        <w:t>1)</w:t>
      </w:r>
      <w:r>
        <w:rPr>
          <w:color w:val="000000"/>
          <w:sz w:val="21"/>
        </w:rPr>
        <w:t>本合同所有附件、磋商文件、响应文件、成交通知书均为合同的有效组成部分，与本合同具有同等法律效力。</w:t>
      </w:r>
    </w:p>
    <w:p>
      <w:pPr>
        <w:ind w:firstLine="412"/>
        <w:jc w:val="both"/>
      </w:pPr>
      <w:r>
        <w:rPr>
          <w:color w:val="000000"/>
          <w:sz w:val="21"/>
        </w:rPr>
        <w:t>2)</w:t>
      </w:r>
      <w:r>
        <w:rPr>
          <w:color w:val="000000"/>
          <w:sz w:val="21"/>
        </w:rPr>
        <w:t>在执行本合同的过程中，所有经双方签署确认的文件（包括会议纪要、补充协议、往来信函）即成为本合同的有效组成部分。</w:t>
      </w:r>
    </w:p>
    <w:p>
      <w:pPr>
        <w:ind w:firstLine="412"/>
        <w:jc w:val="both"/>
      </w:pPr>
      <w:r>
        <w:rPr>
          <w:color w:val="000000"/>
          <w:sz w:val="21"/>
        </w:rPr>
        <w:t>3)</w:t>
      </w:r>
      <w:r>
        <w:rPr>
          <w:color w:val="000000"/>
          <w:sz w:val="21"/>
        </w:rPr>
        <w:t>如一方地址、电话、传真号码有变更，应在变更当日内书面通知对方，否则，应承担相应责任。</w:t>
      </w:r>
    </w:p>
    <w:p>
      <w:pPr>
        <w:ind w:firstLine="412"/>
        <w:jc w:val="both"/>
      </w:pPr>
      <w:r>
        <w:rPr>
          <w:color w:val="000000"/>
          <w:sz w:val="21"/>
        </w:rPr>
        <w:t>4)</w:t>
      </w:r>
      <w:r>
        <w:rPr>
          <w:color w:val="000000"/>
          <w:sz w:val="21"/>
        </w:rPr>
        <w:t>除甲方事先书面同意外，乙方不得部分或全部转让其应履行的合同项下的义务。</w:t>
      </w:r>
    </w:p>
    <w:p>
      <w:pPr>
        <w:jc w:val="both"/>
      </w:pPr>
      <w:r>
        <w:rPr>
          <w:b/>
          <w:color w:val="000000"/>
          <w:sz w:val="21"/>
        </w:rPr>
        <w:t xml:space="preserve">   第</w:t>
      </w:r>
      <w:r>
        <w:rPr>
          <w:b/>
          <w:color w:val="000000"/>
          <w:sz w:val="21"/>
        </w:rPr>
        <w:t>十</w:t>
      </w:r>
      <w:r>
        <w:rPr>
          <w:b/>
          <w:color w:val="000000"/>
          <w:sz w:val="21"/>
        </w:rPr>
        <w:t xml:space="preserve">七条  </w:t>
      </w:r>
      <w:r>
        <w:rPr>
          <w:b/>
          <w:color w:val="000000"/>
          <w:sz w:val="21"/>
        </w:rPr>
        <w:t>合同生效</w:t>
      </w:r>
    </w:p>
    <w:p>
      <w:pPr>
        <w:ind w:firstLine="412"/>
        <w:jc w:val="both"/>
      </w:pPr>
      <w:r>
        <w:rPr>
          <w:color w:val="000000"/>
          <w:sz w:val="21"/>
        </w:rPr>
        <w:t>1</w:t>
      </w:r>
      <w:r>
        <w:rPr>
          <w:color w:val="000000"/>
          <w:sz w:val="21"/>
        </w:rPr>
        <w:t>）本合同在甲乙双方法人代表或其授权代表签字盖章后生效。</w:t>
      </w:r>
    </w:p>
    <w:p>
      <w:pPr>
        <w:ind w:firstLine="412"/>
        <w:jc w:val="both"/>
      </w:pPr>
      <w:r>
        <w:rPr>
          <w:color w:val="000000"/>
          <w:sz w:val="21"/>
        </w:rPr>
        <w:t>2</w:t>
      </w:r>
      <w:r>
        <w:rPr>
          <w:color w:val="000000"/>
          <w:sz w:val="21"/>
        </w:rPr>
        <w:t>）合同一式</w:t>
      </w:r>
      <w:r>
        <w:rPr>
          <w:color w:val="000000"/>
          <w:sz w:val="21"/>
          <w:u w:val="single"/>
        </w:rPr>
        <w:t xml:space="preserve">  </w:t>
      </w:r>
      <w:r>
        <w:rPr>
          <w:color w:val="000000"/>
          <w:sz w:val="21"/>
        </w:rPr>
        <w:t>份，其中甲方</w:t>
      </w:r>
      <w:r>
        <w:rPr>
          <w:color w:val="000000"/>
          <w:sz w:val="21"/>
          <w:u w:val="single"/>
        </w:rPr>
        <w:t xml:space="preserve">  </w:t>
      </w:r>
      <w:r>
        <w:rPr>
          <w:color w:val="000000"/>
          <w:sz w:val="21"/>
        </w:rPr>
        <w:t>份，乙方</w:t>
      </w:r>
      <w:r>
        <w:rPr>
          <w:color w:val="000000"/>
          <w:sz w:val="21"/>
          <w:u w:val="single"/>
        </w:rPr>
        <w:t xml:space="preserve">  </w:t>
      </w:r>
      <w:r>
        <w:rPr>
          <w:color w:val="000000"/>
          <w:sz w:val="21"/>
        </w:rPr>
        <w:t>份，采购代理机构</w:t>
      </w:r>
      <w:r>
        <w:rPr>
          <w:color w:val="000000"/>
          <w:sz w:val="21"/>
          <w:u w:val="single"/>
        </w:rPr>
        <w:t>壹</w:t>
      </w:r>
      <w:r>
        <w:rPr>
          <w:color w:val="000000"/>
          <w:sz w:val="21"/>
        </w:rPr>
        <w:t>份。</w:t>
      </w:r>
    </w:p>
    <w:p>
      <w:pPr>
        <w:jc w:val="both"/>
      </w:pPr>
    </w:p>
    <w:p>
      <w:pPr>
        <w:jc w:val="both"/>
      </w:pPr>
    </w:p>
    <w:p>
      <w:pPr>
        <w:jc w:val="both"/>
      </w:pPr>
    </w:p>
    <w:p/>
    <w:p>
      <w:pPr>
        <w:jc w:val="left"/>
      </w:pPr>
    </w:p>
    <w:p>
      <w:pPr>
        <w:jc w:val="both"/>
      </w:pPr>
      <w:r>
        <w:rPr/>
        <w:t xml:space="preserve"> </w:t>
      </w:r>
    </w:p>
    <w:p>
      <w:pPr>
        <w:jc w:val="both"/>
      </w:pPr>
      <w:r>
        <w:rPr/>
        <w:t xml:space="preserve"> </w:t>
      </w:r>
    </w:p>
    <w:p>
      <w:pPr>
        <w:jc w:val="both"/>
      </w:pPr>
      <w:r>
        <w:rPr>
          <w:color w:val="000000"/>
          <w:sz w:val="21"/>
        </w:rPr>
        <w:t>甲方（盖章）：                         乙方（盖章）：</w:t>
      </w:r>
    </w:p>
    <w:p>
      <w:pPr>
        <w:jc w:val="both"/>
      </w:pPr>
      <w:r>
        <w:rPr>
          <w:color w:val="000000"/>
          <w:sz w:val="21"/>
        </w:rPr>
        <w:t>法定代表/授权代表（签字）：            法定代表/授权代表（签字）：</w:t>
      </w:r>
    </w:p>
    <w:p>
      <w:pPr>
        <w:jc w:val="both"/>
      </w:pPr>
      <w:r>
        <w:rPr>
          <w:color w:val="000000"/>
          <w:sz w:val="21"/>
        </w:rPr>
        <w:t>日期：                                 日期：</w:t>
      </w:r>
    </w:p>
    <w:p>
      <w:pPr>
        <w:jc w:val="both"/>
      </w:pPr>
      <w:r>
        <w:rPr>
          <w:color w:val="000000"/>
          <w:sz w:val="21"/>
        </w:rPr>
        <w:t>邮政编码：                             邮政编码：</w:t>
      </w:r>
    </w:p>
    <w:p>
      <w:pPr>
        <w:jc w:val="both"/>
      </w:pPr>
      <w:r>
        <w:rPr>
          <w:color w:val="000000"/>
          <w:sz w:val="21"/>
        </w:rPr>
        <w:t>开户名称：                             开户名称：</w:t>
      </w:r>
    </w:p>
    <w:p>
      <w:pPr>
        <w:jc w:val="both"/>
      </w:pPr>
      <w:r>
        <w:rPr>
          <w:color w:val="000000"/>
          <w:sz w:val="21"/>
        </w:rPr>
        <w:t>开户银行：                             开户银行：</w:t>
      </w:r>
    </w:p>
    <w:p>
      <w:pPr>
        <w:jc w:val="both"/>
      </w:pPr>
      <w:r>
        <w:rPr>
          <w:color w:val="000000"/>
          <w:sz w:val="21"/>
        </w:rPr>
        <w:t>开户账号：                             开户账号:</w:t>
      </w:r>
    </w:p>
    <w:p>
      <w:pPr>
        <w:jc w:val="both"/>
      </w:pPr>
    </w:p>
    <w:p>
      <w:pPr>
        <w:jc w:val="both"/>
      </w:pPr>
      <w:r>
        <w:rPr/>
        <w:t xml:space="preserve"> </w:t>
      </w:r>
    </w:p>
    <w:p>
      <w:pPr>
        <w:jc w:val="both"/>
      </w:pPr>
      <w:r>
        <w:rPr>
          <w:b/>
          <w:color w:val="000000"/>
          <w:sz w:val="21"/>
        </w:rPr>
        <w:t>注： 此为合同草案，可根据磋商情况进行变更！</w:t>
      </w:r>
    </w:p>
    <w:p>
      <w:pPr>
        <w:jc w:val="center"/>
      </w:pPr>
      <w:r>
        <w:rPr>
          <w:b/>
        </w:rPr>
        <w:t xml:space="preserve"> </w:t>
      </w:r>
    </w:p>
    <w:p>
      <w:pPr>
        <w:jc w:val="center"/>
      </w:pPr>
      <w:r>
        <w:rPr>
          <w:b/>
        </w:rPr>
        <w:t xml:space="preserve"> </w:t>
      </w:r>
    </w:p>
    <w:p>
      <w:pPr>
        <w:jc w:val="center"/>
      </w:pPr>
      <w:r>
        <w:rPr/>
        <w:t xml:space="preserve"> </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440112-2023-06780</w:t>
      </w:r>
    </w:p>
    <w:p>
      <w:pPr>
        <w:jc w:val="center"/>
      </w:pPr>
      <w:r>
        <w:rPr>
          <w:b/>
          <w:sz w:val="24"/>
        </w:rPr>
        <w:t>采购项目编号：</w:t>
      </w:r>
      <w:r>
        <w:rPr>
          <w:b/>
          <w:sz w:val="24"/>
        </w:rPr>
        <w:t>440112-2023-06780</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广东志正招标有限公司</w:t>
      </w:r>
    </w:p>
    <w:p>
      <w:pPr>
        <w:ind w:firstLine="480"/>
      </w:pPr>
      <w:r>
        <w:rPr/>
        <w:t>你方组织的</w:t>
      </w:r>
      <w:r>
        <w:rPr>
          <w:u w:val="single"/>
        </w:rPr>
        <w:t>“</w:t>
      </w:r>
      <w:r>
        <w:rPr>
          <w:u w:val="single"/>
        </w:rPr>
        <w:t>广州市黄埔新龙镇禁毒专业社工服务项目</w:t>
      </w:r>
      <w:r>
        <w:rPr>
          <w:u w:val="single"/>
        </w:rPr>
        <w:t>”</w:t>
      </w:r>
      <w:r>
        <w:rPr/>
        <w:t>项目的竞争性磋商[采购项目编号为：</w:t>
      </w:r>
      <w:r>
        <w:rPr>
          <w:u w:val="single"/>
        </w:rPr>
        <w:t>440112-2023-06780</w:t>
      </w:r>
      <w:r>
        <w:rPr/>
        <w:t>]，我方愿参与响应。</w:t>
      </w:r>
    </w:p>
    <w:p>
      <w:pPr>
        <w:ind w:firstLine="480"/>
      </w:pPr>
      <w:r>
        <w:rPr/>
        <w:t>我方确认收到贵方提供的</w:t>
      </w:r>
      <w:r>
        <w:rPr>
          <w:u w:val="single"/>
        </w:rPr>
        <w:t>“</w:t>
      </w:r>
      <w:r>
        <w:rPr>
          <w:u w:val="single"/>
        </w:rPr>
        <w:t>广州市黄埔新龙镇禁毒专业社工服务项目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（四）我方理解贵方不一定接受最低磋商价或任何贵方可能收到的响应。</w:t>
      </w:r>
    </w:p>
    <w:p>
      <w:pPr>
        <w:ind w:firstLine="480"/>
      </w:pPr>
      <w:r>
        <w:rPr/>
        <w:t>（五）我方如果成交，将保证履行磋商文件及其澄清、修改文件（如果有）中的全部责任和义务，按质、按量、按期完成《采购需求》及《合同书》中的全部任务。</w:t>
      </w:r>
    </w:p>
    <w:p>
      <w:pPr>
        <w:ind w:firstLine="480"/>
      </w:pPr>
      <w:r>
        <w:rPr/>
        <w:t>（六）我方作为法律、财务和运作上独立于采购人、采购代理机构的供应商，在此保证所提交的所有文件和全部说明是真实的和正确的。</w:t>
      </w:r>
    </w:p>
    <w:p>
      <w:pPr>
        <w:ind w:firstLine="480"/>
      </w:pPr>
      <w:r>
        <w:rPr/>
        <w:t>（七）我方磋商报价已包含应向知识产权所有权人支付的所有相关税费，并保证采购人在中国使用我方提供的货物或服务时，如有第三方提出侵犯其知识产权主张的，责任由我方承担。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（八）我方接受采购人委托向贵方支付代理服务费，项目总报价已包含代理服务费，如果被确定为成交供应商，承诺向贵方足额支付。（若采购人支付代理服务费，则此条不适用）</w:t>
      </w:r>
    </w:p>
    <w:p>
      <w:pPr>
        <w:ind w:firstLine="480"/>
      </w:pPr>
      <w:r>
        <w:rPr/>
        <w:t>（九）我方与其他供应商不存在法定代表人或单位负责人为同一人或者存在直接控股、管理关系。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jc w:val="center"/>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现任我单位_____________职务_____________为法定代表人，特此证明。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广东志正招标有限公司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广州市黄埔新龙镇禁毒专业社工服务项目</w:t>
      </w:r>
      <w:r>
        <w:rPr/>
        <w:t>”项目采购[采购项目编号为</w:t>
      </w:r>
      <w:r>
        <w:rPr/>
        <w:t>440112-2023-06780</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一、提供以下相关证照的扫描件之一：1.企业法人提供企业法人营业执照；2.事业法人提供事业法人登记证；3.其他组织提供其他组织的营业执照或执业许可证；4.自然人提供居民身份证等；</w:t>
      </w:r>
    </w:p>
    <w:p>
      <w:pPr>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广州市黄埔区新龙镇人民政府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广东志正招标有限公司</w:t>
      </w:r>
    </w:p>
    <w:p>
      <w:pPr>
        <w:ind w:firstLine="480"/>
      </w:pPr>
      <w:r>
        <w:rPr/>
        <w:t>我单位参加贵公司组织的</w:t>
      </w:r>
      <w:r>
        <w:rPr/>
        <w:t>广州市黄埔新龙镇禁毒专业社工服务项目</w:t>
      </w:r>
      <w:r>
        <w:rPr/>
        <w:t>（采购项目编号：</w:t>
      </w:r>
      <w:r>
        <w:rPr/>
        <w:t>440112-2023-06780</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