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440101-2023-22250</w:t>
      </w:r>
    </w:p>
    <w:p>
      <w:pPr>
        <w:jc w:val="center"/>
      </w:pPr>
      <w:r>
        <w:rPr>
          <w:b/>
          <w:sz w:val="24"/>
        </w:rPr>
        <w:t>采购项目编号：</w:t>
      </w:r>
      <w:r>
        <w:rPr>
          <w:b/>
          <w:sz w:val="24"/>
        </w:rPr>
        <w:t>440101-2023-22250</w:t>
      </w:r>
    </w:p>
    <w:p>
      <w:pPr>
        <w:jc w:val="center"/>
      </w:pPr>
      <w:r>
        <w:rPr>
          <w:b/>
          <w:sz w:val="24"/>
        </w:rPr>
        <w:t>项目名称：</w:t>
      </w:r>
      <w:r>
        <w:rPr>
          <w:b/>
          <w:sz w:val="24"/>
        </w:rPr>
        <w:t>广州番禺职业技术学院珠宝学院实训室升级改造项目——首饰设计与工艺专业实训室升级（进口）</w:t>
      </w:r>
    </w:p>
    <w:p>
      <w:pPr>
        <w:jc w:val="center"/>
      </w:pPr>
      <w:r>
        <w:rPr>
          <w:b/>
          <w:sz w:val="24"/>
        </w:rPr>
        <w:t>采购人：</w:t>
      </w:r>
      <w:r>
        <w:rPr>
          <w:b/>
          <w:sz w:val="24"/>
        </w:rPr>
        <w:t>广州番禺职业技术学院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广州番禺职业技术学院</w:t>
      </w:r>
      <w:r>
        <w:rPr/>
        <w:t>的委托，采用</w:t>
      </w:r>
      <w:r>
        <w:rPr/>
        <w:t>公开招标</w:t>
      </w:r>
      <w:r>
        <w:rPr/>
        <w:t>方式组织采购</w:t>
      </w:r>
      <w:r>
        <w:rPr/>
        <w:t>广州番禺职业技术学院珠宝学院实训室升级改造项目——首饰设计与工艺专业实训室升级（进口）</w:t>
      </w:r>
      <w:r>
        <w:rPr/>
        <w:t>。欢迎符合资格条件的国内供应商参加投标。</w:t>
      </w:r>
    </w:p>
    <w:p>
      <w:r>
        <w:rPr>
          <w:b/>
          <w:sz w:val="28"/>
        </w:rPr>
        <w:t>一.项目概述</w:t>
      </w:r>
    </w:p>
    <w:p>
      <w:r>
        <w:rPr>
          <w:b/>
          <w:sz w:val="24"/>
        </w:rPr>
        <w:t>1.名称与编号</w:t>
      </w:r>
    </w:p>
    <w:p>
      <w:pPr>
        <w:ind w:firstLine="480"/>
      </w:pPr>
      <w:r>
        <w:rPr/>
        <w:t>项目名称：</w:t>
      </w:r>
      <w:r>
        <w:rPr/>
        <w:t>广州番禺职业技术学院珠宝学院实训室升级改造项目——首饰设计与工艺专业实训室升级（进口）</w:t>
      </w:r>
    </w:p>
    <w:p>
      <w:pPr>
        <w:ind w:firstLine="480"/>
      </w:pPr>
      <w:r>
        <w:rPr/>
        <w:t>采购计划编号：</w:t>
      </w:r>
      <w:r>
        <w:rPr/>
        <w:t>440101-2023-22250</w:t>
      </w:r>
    </w:p>
    <w:p>
      <w:pPr>
        <w:ind w:firstLine="480"/>
      </w:pPr>
      <w:r>
        <w:rPr/>
        <w:t>采购项目编号：</w:t>
      </w:r>
      <w:r>
        <w:rPr/>
        <w:t>440101-2023-22250</w:t>
      </w:r>
    </w:p>
    <w:p>
      <w:pPr>
        <w:ind w:firstLine="480"/>
      </w:pPr>
      <w:r>
        <w:rPr/>
        <w:t>采购方式：</w:t>
      </w:r>
      <w:r>
        <w:rPr/>
        <w:t>公开招标</w:t>
      </w:r>
    </w:p>
    <w:p>
      <w:pPr>
        <w:ind w:firstLine="480"/>
      </w:pPr>
      <w:r>
        <w:rPr/>
        <w:t>预算金额：</w:t>
      </w:r>
      <w:r>
        <w:rPr/>
        <w:t>373,800.00</w:t>
      </w:r>
      <w:r>
        <w:rPr/>
        <w:t>元</w:t>
      </w:r>
    </w:p>
    <w:p>
      <w:r>
        <w:rPr>
          <w:b/>
          <w:sz w:val="24"/>
        </w:rPr>
        <w:t>2.项目内容及需求情况（采购项目技术规格、参数及要求）</w:t>
      </w:r>
    </w:p>
    <w:p>
      <w:pPr>
        <w:ind w:firstLine="480"/>
      </w:pPr>
    </w:p>
    <w:p/>
    <w:p>
      <w:r>
        <w:rPr/>
        <w:t>采购包1(广州番禺职业技术学院珠宝学院实训室升级改造项目——首饰设计与工艺专业实训室升级（进口）):</w:t>
      </w:r>
    </w:p>
    <w:p>
      <w:r>
        <w:rPr/>
        <w:t>采购包预算金额：373,800.00元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应用软件</w:t>
            </w:r>
          </w:p>
        </w:tc>
        <w:tc>
          <w:tcPr>
            <w:tcW w:type="dxa" w:w="2136"/>
          </w:tcPr>
          <w:p>
            <w:r>
              <w:rPr/>
              <w:t>珠宝首饰设计软件</w:t>
            </w:r>
          </w:p>
        </w:tc>
        <w:tc>
          <w:tcPr>
            <w:tcW w:type="dxa" w:w="1187"/>
          </w:tcPr>
          <w:p>
            <w:r>
              <w:rPr/>
              <w:t>60.00(套)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应用软件</w:t>
            </w:r>
          </w:p>
        </w:tc>
        <w:tc>
          <w:tcPr>
            <w:tcW w:type="dxa" w:w="2136"/>
          </w:tcPr>
          <w:p>
            <w:r>
              <w:rPr/>
              <w:t>珠宝首饰设计软件（升级）</w:t>
            </w:r>
          </w:p>
        </w:tc>
        <w:tc>
          <w:tcPr>
            <w:tcW w:type="dxa" w:w="1187"/>
          </w:tcPr>
          <w:p>
            <w:r>
              <w:rPr/>
              <w:t>60.00(套)</w:t>
            </w:r>
          </w:p>
        </w:tc>
        <w:tc>
          <w:tcPr>
            <w:tcW w:type="dxa" w:w="1187"/>
          </w:tcPr>
          <w:p>
            <w:r>
              <w:rPr/>
              <w:t>详见第二章</w:t>
            </w:r>
          </w:p>
        </w:tc>
        <w:tc>
          <w:tcPr>
            <w:tcW w:type="dxa" w:w="1187"/>
          </w:tcPr>
          <w:p>
            <w:r>
              <w:rPr/>
              <w:t>是</w:t>
            </w:r>
          </w:p>
        </w:tc>
      </w:tr>
    </w:tbl>
    <w:p/>
    <w:p>
      <w:r>
        <w:rPr/>
        <w:t>本采购包不接受联合体投标</w:t>
      </w:r>
    </w:p>
    <w:p/>
    <w:p>
      <w:r>
        <w:rPr/>
        <w:t>合同履行期限：合同签订后20个工作日内完成供货、安装、调试和验收工作，并交付使用。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4）履行合同所必需的设备和专业技术能力：具有履行合同所必需的设备和专业技术能力，提供签署及盖章合格的投标函。</w:t>
      </w:r>
    </w:p>
    <w:p/>
    <w:p>
      <w:r>
        <w:rPr/>
        <w:t>5）参加采购活动前3年内，在经营活动中没有重大违法记录：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采购包1（广州番禺职业技术学院珠宝学院实训室升级改造项目——首饰设计与工艺专业实训室升级（进口））：</w:t>
      </w:r>
      <w:r>
        <w:rPr/>
        <w:t>本项目不属于专门面向中小企业采购的项目。</w:t>
      </w:r>
    </w:p>
    <w:p/>
    <w:p>
      <w:r>
        <w:rPr>
          <w:b/>
          <w:sz w:val="24"/>
        </w:rPr>
        <w:t>3.本项目特定的资格要求：</w:t>
      </w:r>
    </w:p>
    <w:p>
      <w:pPr>
        <w:ind w:firstLine="480"/>
      </w:pPr>
    </w:p>
    <w:p/>
    <w:p>
      <w:r>
        <w:rPr/>
        <w:t>采购包1（广州番禺职业技术学院珠宝学院实训室升级改造项目——首饰设计与工艺专业实训室升级（进口））：</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广州番禺职业技术学院</w:t>
      </w:r>
    </w:p>
    <w:p>
      <w:pPr>
        <w:ind w:firstLine="480"/>
      </w:pPr>
      <w:r>
        <w:rPr/>
        <w:t>地址：</w:t>
      </w:r>
      <w:r>
        <w:rPr/>
        <w:t>广东省广州市番禺区市良路1342号</w:t>
      </w:r>
    </w:p>
    <w:p>
      <w:pPr>
        <w:ind w:firstLine="480"/>
      </w:pPr>
      <w:r>
        <w:rPr/>
        <w:t>联系方式：</w:t>
      </w:r>
      <w:r>
        <w:rPr/>
        <w:t>020-34832745</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梁小姐、潘先生</w:t>
      </w:r>
    </w:p>
    <w:p>
      <w:pPr>
        <w:ind w:firstLine="480"/>
      </w:pPr>
      <w:r>
        <w:rPr/>
        <w:t>电话：</w:t>
      </w:r>
      <w:r>
        <w:rPr/>
        <w:t>020-87554238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p>
    <w:p>
      <w:pPr>
        <w:jc w:val="both"/>
      </w:pPr>
      <w:r>
        <w:rPr>
          <w:sz w:val="21"/>
        </w:rPr>
        <w:t>1</w:t>
      </w:r>
      <w:r>
        <w:rPr>
          <w:sz w:val="21"/>
        </w:rPr>
        <w:t>、投标人须对本项目为单位（有划分包组的，则以包组为单位）的标的物进行整体投标，任何只对其中一部分内容进行的投标都被视为无效投标。</w:t>
      </w:r>
    </w:p>
    <w:p>
      <w:pPr>
        <w:jc w:val="both"/>
      </w:pPr>
      <w:r>
        <w:rPr>
          <w:sz w:val="21"/>
        </w:rPr>
        <w:t>2</w:t>
      </w:r>
      <w:r>
        <w:rPr>
          <w:sz w:val="21"/>
        </w:rPr>
        <w:t>、本招标文件中，凡标有“★”的地方，投标人要特别加以注意，必须对此作出一一响应。若有一项带“★”的指标未响应或不满足，将导致其废标或投标无效。</w:t>
      </w:r>
    </w:p>
    <w:p>
      <w:pPr>
        <w:jc w:val="both"/>
      </w:pPr>
      <w:r>
        <w:rPr>
          <w:sz w:val="21"/>
        </w:rPr>
        <w:t>3</w:t>
      </w:r>
      <w:r>
        <w:rPr>
          <w:sz w:val="21"/>
        </w:rPr>
        <w:t>、根据《政府采购促进中小企业发展管理办法》的规定，本项目属于“按照本办法规定预留采购份额无法确保充分供应、充分竞争，或者存在可能影响政府采购目标实现的情形”的情形，故不属于专门面向中小企业采购的项目。</w:t>
      </w:r>
    </w:p>
    <w:p>
      <w:pPr>
        <w:jc w:val="both"/>
      </w:pPr>
      <w:r>
        <w:rPr>
          <w:sz w:val="21"/>
        </w:rPr>
        <w:t>4</w:t>
      </w:r>
      <w:r>
        <w:rPr>
          <w:sz w:val="21"/>
        </w:rPr>
        <w:t>、投标人应针对本项目采购需求标注“★”的技术参数响应情况提供有效的佐证材料，以佐证所投产品的相应的技术参数及功能，包括但不限于列有技术参数且完整的厂家产品彩页，或厂家官方网站公布的截图，或厂家产品说明书，或经厂家确认的证明材料（投标人为厂家的不能仅以技术响应偏离表为佐证材料，需另附上厂家确认的证明材料），或第三方机构出具的检测报告等(如用户需求书中另有明确要求提供的证明资料，则以用户需求书中要求的为准)。如上述资料未能佐证招标需求的参数，则相应的技术参数响应可被视为负偏离。</w:t>
      </w:r>
    </w:p>
    <w:p>
      <w:pPr>
        <w:jc w:val="both"/>
      </w:pPr>
      <w:r>
        <w:rPr>
          <w:sz w:val="21"/>
        </w:rPr>
        <w:t>5</w:t>
      </w:r>
      <w:r>
        <w:rPr>
          <w:sz w:val="21"/>
        </w:rPr>
        <w:t>、凡标记“▲”号的条款（如有）为重要的要求，投标人任何负偏离（不满足要求）或不响应可能对其评审产生影响，具体见项目评审标准。</w:t>
      </w:r>
    </w:p>
    <w:p>
      <w:pPr>
        <w:jc w:val="both"/>
      </w:pPr>
      <w:r>
        <w:rPr>
          <w:sz w:val="21"/>
        </w:rPr>
        <w:t>6</w:t>
      </w:r>
      <w:r>
        <w:rPr>
          <w:sz w:val="21"/>
        </w:rPr>
        <w:t>、经政府采购管理部门同意，本项目采购本国产品或不属于国家法律法规政策明确规定限制的进口产品。</w:t>
      </w:r>
    </w:p>
    <w:p>
      <w:pPr>
        <w:jc w:val="both"/>
      </w:pPr>
      <w:r>
        <w:rPr>
          <w:b/>
          <w:sz w:val="21"/>
        </w:rPr>
        <w:t>7</w:t>
      </w:r>
      <w:r>
        <w:rPr>
          <w:b/>
          <w:sz w:val="21"/>
        </w:rPr>
        <w:t>、投标人应得到制造商的正式授权书，如有多级授权的，授权关系必须保持连贯性。</w:t>
      </w:r>
    </w:p>
    <w:p>
      <w:pPr>
        <w:jc w:val="both"/>
      </w:pPr>
      <w:r>
        <w:rPr>
          <w:sz w:val="21"/>
        </w:rPr>
        <w:t>8</w:t>
      </w:r>
      <w:r>
        <w:rPr>
          <w:sz w:val="21"/>
        </w:rPr>
        <w:t>、本项目核心产品为：</w:t>
      </w:r>
      <w:r>
        <w:rPr>
          <w:b/>
          <w:sz w:val="21"/>
          <w:u w:val="single"/>
        </w:rPr>
        <w:t>珠宝首饰设计软件</w:t>
      </w:r>
      <w:r>
        <w:rPr>
          <w:sz w:val="21"/>
        </w:rPr>
        <w:t>。投标人应在响应文件中清晰列明“货物名称、品牌”。注：若存在多项核心产品，当不同供应商提供的任意一项核心产品的品牌相同，则视同其是所响应核心产品品牌相同供应商。</w:t>
      </w:r>
    </w:p>
    <w:p>
      <w:pPr>
        <w:jc w:val="both"/>
      </w:pPr>
      <w:r>
        <w:rPr>
          <w:sz w:val="21"/>
        </w:rPr>
        <w:t>9</w:t>
      </w:r>
      <w:r>
        <w:rPr>
          <w:sz w:val="21"/>
        </w:rPr>
        <w:t>、本项目对应的中小企业划分标准所属行业为：</w:t>
      </w:r>
      <w:r>
        <w:rPr>
          <w:b/>
          <w:sz w:val="21"/>
          <w:u w:val="single"/>
        </w:rPr>
        <w:t>软件和信息技术服务业</w:t>
      </w:r>
      <w:r>
        <w:rPr>
          <w:sz w:val="21"/>
        </w:rPr>
        <w:t>。</w:t>
      </w:r>
    </w:p>
    <w:p>
      <w:pPr>
        <w:jc w:val="both"/>
      </w:pPr>
      <w:r>
        <w:rPr>
          <w:b/>
          <w:sz w:val="21"/>
        </w:rPr>
        <w:t>10</w:t>
      </w:r>
      <w:r>
        <w:rPr>
          <w:b/>
          <w:sz w:val="21"/>
        </w:rPr>
        <w:t>、采购清单</w:t>
      </w:r>
    </w:p>
    <w:tbl>
      <w:tblPr>
        <w:tblW w:w="0" w:type="auto"/>
        <w:tblBorders>
          <w:top w:val="single"/>
          <w:left w:val="single"/>
          <w:bottom w:val="single"/>
          <w:right w:val="single"/>
          <w:insideH w:val="single"/>
          <w:insideV w:val="single"/>
        </w:tblBorders>
      </w:tblPr>
      <w:tblGrid>
        <w:gridCol w:w="1199"/>
        <w:gridCol w:w="3083"/>
        <w:gridCol w:w="1541"/>
        <w:gridCol w:w="1284"/>
        <w:gridCol w:w="1199"/>
      </w:tblGrid>
      <w:tr>
        <w:tc>
          <w:tcPr>
            <w:tcW w:type="dxa" w:w="1199"/>
            <w:tcBorders>
              <w:top w:val="single" w:color="000000" w:sz="4"/>
              <w:left w:val="single" w:color="000000" w:sz="4"/>
              <w:bottom w:val="single" w:color="000000" w:sz="4"/>
              <w:right w:val="single" w:color="000000" w:sz="4"/>
            </w:tcBorders>
            <w:shd w:fill="FFFFFF"/>
          </w:tcPr>
          <w:p>
            <w:pPr>
              <w:jc w:val="center"/>
            </w:pPr>
            <w:r>
              <w:rPr>
                <w:b/>
                <w:color w:val="000000"/>
                <w:sz w:val="21"/>
              </w:rPr>
              <w:t>序号</w:t>
            </w:r>
          </w:p>
        </w:tc>
        <w:tc>
          <w:tcPr>
            <w:tcW w:type="dxa" w:w="3083"/>
            <w:tcBorders>
              <w:top w:val="single" w:color="000000" w:sz="4"/>
              <w:left w:val="none" w:color="000000" w:sz="4"/>
              <w:bottom w:val="single" w:color="000000" w:sz="4"/>
              <w:right w:val="single" w:color="000000" w:sz="4"/>
            </w:tcBorders>
            <w:shd w:fill="FFFFFF"/>
          </w:tcPr>
          <w:p>
            <w:pPr>
              <w:jc w:val="center"/>
            </w:pPr>
            <w:r>
              <w:rPr>
                <w:b/>
                <w:color w:val="000000"/>
                <w:sz w:val="21"/>
              </w:rPr>
              <w:t>货物名称</w:t>
            </w:r>
          </w:p>
        </w:tc>
        <w:tc>
          <w:tcPr>
            <w:tcW w:type="dxa" w:w="1541"/>
            <w:tcBorders>
              <w:top w:val="single" w:color="000000" w:sz="4"/>
              <w:left w:val="none" w:color="000000" w:sz="4"/>
              <w:bottom w:val="single" w:color="000000" w:sz="4"/>
              <w:right w:val="single" w:color="000000" w:sz="4"/>
            </w:tcBorders>
            <w:shd w:fill="FFFFFF"/>
          </w:tcPr>
          <w:p>
            <w:pPr>
              <w:jc w:val="center"/>
            </w:pPr>
            <w:r>
              <w:rPr>
                <w:b/>
                <w:sz w:val="21"/>
              </w:rPr>
              <w:t>数量</w:t>
            </w:r>
          </w:p>
        </w:tc>
        <w:tc>
          <w:tcPr>
            <w:tcW w:type="dxa" w:w="1284"/>
            <w:tcBorders>
              <w:top w:val="single" w:color="000000" w:sz="4"/>
              <w:left w:val="none" w:color="000000" w:sz="4"/>
              <w:bottom w:val="single" w:color="000000" w:sz="4"/>
              <w:right w:val="single" w:color="000000" w:sz="4"/>
            </w:tcBorders>
            <w:shd w:fill="FFFFFF"/>
          </w:tcPr>
          <w:p>
            <w:pPr>
              <w:jc w:val="center"/>
            </w:pPr>
            <w:r>
              <w:rPr>
                <w:b/>
                <w:sz w:val="21"/>
              </w:rPr>
              <w:t>单位</w:t>
            </w:r>
          </w:p>
        </w:tc>
        <w:tc>
          <w:tcPr>
            <w:tcW w:type="dxa" w:w="1199"/>
            <w:tcBorders>
              <w:top w:val="single" w:color="000000" w:sz="4"/>
              <w:left w:val="none" w:color="000000" w:sz="4"/>
              <w:bottom w:val="single" w:color="000000" w:sz="4"/>
              <w:right w:val="single" w:color="000000" w:sz="4"/>
            </w:tcBorders>
            <w:shd w:fill="FFFFFF"/>
            <w:vAlign w:val="top"/>
          </w:tcPr>
          <w:p>
            <w:pPr>
              <w:jc w:val="center"/>
            </w:pPr>
            <w:r>
              <w:rPr>
                <w:b/>
                <w:sz w:val="21"/>
              </w:rPr>
              <w:t>授权说明</w:t>
            </w:r>
          </w:p>
        </w:tc>
      </w:tr>
      <w:tr>
        <w:tc>
          <w:tcPr>
            <w:tcW w:type="dxa" w:w="1199"/>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083"/>
            <w:tcBorders>
              <w:top w:val="none" w:color="000000" w:sz="4"/>
              <w:left w:val="none" w:color="000000" w:sz="4"/>
              <w:bottom w:val="single" w:color="000000" w:sz="4"/>
              <w:right w:val="single" w:color="000000" w:sz="4"/>
            </w:tcBorders>
            <w:shd w:fill="FFFFFF"/>
            <w:vAlign w:val="top"/>
          </w:tcPr>
          <w:p>
            <w:pPr>
              <w:jc w:val="center"/>
            </w:pPr>
            <w:r>
              <w:rPr>
                <w:color w:val="000000"/>
                <w:sz w:val="21"/>
              </w:rPr>
              <w:t>珠宝首饰设计软件</w:t>
            </w:r>
          </w:p>
        </w:tc>
        <w:tc>
          <w:tcPr>
            <w:tcW w:type="dxa" w:w="1541"/>
            <w:tcBorders>
              <w:top w:val="none" w:color="000000" w:sz="4"/>
              <w:left w:val="none" w:color="000000" w:sz="4"/>
              <w:bottom w:val="single" w:color="000000" w:sz="4"/>
              <w:right w:val="single" w:color="000000" w:sz="4"/>
            </w:tcBorders>
            <w:shd w:fill="FFFFFF"/>
            <w:vAlign w:val="top"/>
          </w:tcPr>
          <w:p>
            <w:pPr>
              <w:jc w:val="center"/>
            </w:pPr>
            <w:r>
              <w:rPr>
                <w:color w:val="000000"/>
                <w:sz w:val="21"/>
              </w:rPr>
              <w:t>60</w:t>
            </w:r>
          </w:p>
        </w:tc>
        <w:tc>
          <w:tcPr>
            <w:tcW w:type="dxa" w:w="1284"/>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1199"/>
            <w:tcBorders>
              <w:top w:val="none" w:color="000000" w:sz="4"/>
              <w:left w:val="none" w:color="000000" w:sz="4"/>
              <w:bottom w:val="single" w:color="000000" w:sz="4"/>
              <w:right w:val="single" w:color="000000" w:sz="4"/>
            </w:tcBorders>
            <w:shd w:fill="FFFFFF"/>
            <w:vAlign w:val="top"/>
          </w:tcPr>
          <w:p>
            <w:pPr>
              <w:jc w:val="center"/>
            </w:pPr>
            <w:r>
              <w:rPr>
                <w:color w:val="000000"/>
                <w:sz w:val="21"/>
              </w:rPr>
              <w:t>永久授权</w:t>
            </w:r>
          </w:p>
        </w:tc>
      </w:tr>
      <w:tr>
        <w:tc>
          <w:tcPr>
            <w:tcW w:type="dxa" w:w="1199"/>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083"/>
            <w:tcBorders>
              <w:top w:val="none" w:color="000000" w:sz="4"/>
              <w:left w:val="none" w:color="000000" w:sz="4"/>
              <w:bottom w:val="single" w:color="000000" w:sz="4"/>
              <w:right w:val="single" w:color="000000" w:sz="4"/>
            </w:tcBorders>
            <w:shd w:fill="FFFFFF"/>
            <w:vAlign w:val="top"/>
          </w:tcPr>
          <w:p>
            <w:pPr>
              <w:jc w:val="center"/>
            </w:pPr>
            <w:r>
              <w:rPr>
                <w:color w:val="000000"/>
                <w:sz w:val="21"/>
              </w:rPr>
              <w:t>珠宝首饰设计软件（升级）</w:t>
            </w:r>
          </w:p>
        </w:tc>
        <w:tc>
          <w:tcPr>
            <w:tcW w:type="dxa" w:w="1541"/>
            <w:tcBorders>
              <w:top w:val="none" w:color="000000" w:sz="4"/>
              <w:left w:val="none" w:color="000000" w:sz="4"/>
              <w:bottom w:val="single" w:color="000000" w:sz="4"/>
              <w:right w:val="single" w:color="000000" w:sz="4"/>
            </w:tcBorders>
            <w:shd w:fill="FFFFFF"/>
            <w:vAlign w:val="top"/>
          </w:tcPr>
          <w:p>
            <w:pPr>
              <w:jc w:val="center"/>
            </w:pPr>
            <w:r>
              <w:rPr>
                <w:color w:val="000000"/>
                <w:sz w:val="21"/>
              </w:rPr>
              <w:t>60</w:t>
            </w:r>
          </w:p>
        </w:tc>
        <w:tc>
          <w:tcPr>
            <w:tcW w:type="dxa" w:w="1284"/>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1199"/>
            <w:tcBorders>
              <w:top w:val="none" w:color="000000" w:sz="4"/>
              <w:left w:val="none" w:color="000000" w:sz="4"/>
              <w:bottom w:val="single" w:color="000000" w:sz="4"/>
              <w:right w:val="single" w:color="000000" w:sz="4"/>
            </w:tcBorders>
            <w:shd w:fill="FFFFFF"/>
            <w:vAlign w:val="top"/>
          </w:tcPr>
          <w:p>
            <w:pPr>
              <w:jc w:val="center"/>
            </w:pPr>
            <w:r>
              <w:rPr>
                <w:color w:val="000000"/>
                <w:sz w:val="21"/>
              </w:rPr>
              <w:t>永久授权</w:t>
            </w:r>
          </w:p>
        </w:tc>
      </w:tr>
    </w:tbl>
    <w:p>
      <w:pPr>
        <w:jc w:val="both"/>
      </w:pPr>
      <w:r>
        <w:rPr>
          <w:b/>
          <w:sz w:val="21"/>
        </w:rPr>
        <w:t>注：★</w:t>
      </w:r>
      <w:r>
        <w:rPr>
          <w:b/>
          <w:sz w:val="21"/>
        </w:rPr>
        <w:t>本项目所有软件须提供正版授权码，有生产厂商官方授权，软件应提供永久使用授权，并出具有效的服务承诺书。（投标人须提供证明材料或承诺，格式自拟）</w:t>
      </w:r>
    </w:p>
    <w:p/>
    <w:p>
      <w:pPr>
        <w:ind w:firstLine="480"/>
      </w:pPr>
    </w:p>
    <w:p/>
    <w:p>
      <w:r>
        <w:rPr/>
        <w:t>采购包1（广州番禺职业技术学院珠宝学院实训室升级改造项目——首饰设计与工艺专业实训室升级（进口））</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合同签订后20个工作日内完成供货、安装、调试和验收工作，并交付使用。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1期：支付比例50%,合同签署生效且资金到位后5个工作日内，采购人支付合同总价的50%给中标人。</w:t>
            </w:r>
          </w:p>
          <w:p/>
          <w:p>
            <w:r>
              <w:rPr/>
              <w:t>2期：支付比例50%,项目所有货物供货、安装、调试完成，并通过采购人组织的验收签字后5个工作日内，采购人支付合同总价的50%给中标人。 中标人须在采购人办理付款手续之前5个工作日，提供等额的正式发票给采购人，以便采购人及时办理支付手续。中标人逾期提供发票的，支付时间相应顺延。采购人支付以中标人无违约为前提，若中标人违约，采购人有权在应付款项中作相应扣除。采购人在约定的付款时间内向主管部门完成支付材料提交即视为完成支付手续。由于资金支付流程导致付款迟延的，不视为采购人违约。</w:t>
            </w:r>
          </w:p>
        </w:tc>
      </w:tr>
      <w:tr>
        <w:tc>
          <w:tcPr>
            <w:tcW w:type="dxa" w:w="4153"/>
          </w:tcPr>
          <w:p>
            <w:r>
              <w:rPr/>
              <w:t>验收要求</w:t>
            </w:r>
          </w:p>
        </w:tc>
        <w:tc>
          <w:tcPr>
            <w:tcW w:type="dxa" w:w="4153"/>
          </w:tcPr>
          <w:p/>
          <w:p/>
          <w:p/>
          <w:p>
            <w:r>
              <w:rPr/>
              <w:t>1期：1．采购人收到中标人项目验收建议之日起7日内按照合同的约定对履约情况进行验收，并对每一项技术、服务、安全标准的履约情况进行确认。 2．货物若有国家标准按照国家标准验收，若无国家标准按行业标准验收，为原制造商制造的全新产品，无侵权行为，无任何缺陷隐患，在中国境内可依常规安全合法使用。验收时如发现所交付的货物有短装、次品、损坏或其它不符合本合同规定的情况，采购人应作出详尽的现场记录，或由采购人和中标人双方签署备忘录。此现场记录或备忘录可用作补充、缺失和更换损坏部件的有效证据。由此产生的相关费用由中标人承担。 3．中标人提供的货物未达到招标文件规定要求，且对采购人造成损失的，由中标人承担一切责任，并赔偿所造成的损失。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投标货币为人民币报价，投标报价应包括：货物费、安装费、材料费、技术服务费（含联络费、培训费、调试费、保修费）、税费、不可预见费等完成本招标内容所需的一切费用。</w:t>
            </w:r>
          </w:p>
        </w:tc>
      </w:tr>
      <w:tr>
        <w:tc>
          <w:tcPr>
            <w:tcW w:type="dxa" w:w="2076"/>
          </w:tcPr>
          <w:p>
            <w:pPr>
              <w:jc w:val="center"/>
            </w:pPr>
          </w:p>
        </w:tc>
        <w:tc>
          <w:tcPr>
            <w:tcW w:type="dxa" w:w="2076"/>
          </w:tcPr>
          <w:p>
            <w:pPr>
              <w:jc w:val="center"/>
            </w:pPr>
            <w:r>
              <w:rPr/>
              <w:t>2</w:t>
            </w:r>
          </w:p>
        </w:tc>
        <w:tc>
          <w:tcPr>
            <w:tcW w:type="dxa" w:w="2076"/>
          </w:tcPr>
          <w:p>
            <w:pPr>
              <w:jc w:val="left"/>
            </w:pPr>
            <w:r>
              <w:rPr/>
              <w:t>供货要求</w:t>
            </w:r>
          </w:p>
        </w:tc>
        <w:tc>
          <w:tcPr>
            <w:tcW w:type="dxa" w:w="2076"/>
          </w:tcPr>
          <w:p>
            <w:pPr>
              <w:jc w:val="left"/>
            </w:pPr>
            <w:r>
              <w:rPr/>
              <w:t>1．产品须提供正版授权码，有生产厂商官方授权，保证产品有永久使用许可。 2．产品质量应符合本项目招标文件的技术指标与出厂标准。如货物质量出现问题，中标人应负责三包（包修、包换、包退），费用由中标人负担。 3．产品所有技术参数，应符合招标文件和中标人投标文件所注明的技术标准及生产厂商公开的宣传资料和生产厂商官方网站宣传内容的标准要求。 4．中标人应保证提供的产品是全新未使用过的原厂合格正品（包括零部件），表面无划损、无任何缺陷隐患，在中国境内可依常规安全合法使用。全部货物送到采购人指定场地后，如发现与供货合同条款不符的货物，采购人提出异议，中标人应无条件更换。 5．投标人所投报的货物必须成套和完整，在项目需求中未列明但属于产品运行的所需配件必须一并投报。如果在安装运行过程中发现有缺项漏项，且又是产品正常运行所必要的，中标人必须按要求提供。</w:t>
            </w:r>
          </w:p>
        </w:tc>
      </w:tr>
      <w:tr>
        <w:tc>
          <w:tcPr>
            <w:tcW w:type="dxa" w:w="2076"/>
          </w:tcPr>
          <w:p>
            <w:pPr>
              <w:jc w:val="center"/>
            </w:pPr>
          </w:p>
        </w:tc>
        <w:tc>
          <w:tcPr>
            <w:tcW w:type="dxa" w:w="2076"/>
          </w:tcPr>
          <w:p>
            <w:pPr>
              <w:jc w:val="center"/>
            </w:pPr>
            <w:r>
              <w:rPr/>
              <w:t>3</w:t>
            </w:r>
          </w:p>
        </w:tc>
        <w:tc>
          <w:tcPr>
            <w:tcW w:type="dxa" w:w="2076"/>
          </w:tcPr>
          <w:p>
            <w:pPr>
              <w:jc w:val="left"/>
            </w:pPr>
            <w:r>
              <w:rPr/>
              <w:t>安装、调试要求</w:t>
            </w:r>
          </w:p>
        </w:tc>
        <w:tc>
          <w:tcPr>
            <w:tcW w:type="dxa" w:w="2076"/>
          </w:tcPr>
          <w:p>
            <w:pPr>
              <w:jc w:val="left"/>
            </w:pPr>
            <w:r>
              <w:rPr/>
              <w:t>1．中标人投标报价应包含合同项下货物的购置、运输、安装、调试、税金、培训、售后服务以及招标文件中要求投标人提供的专项服务等一切费用。 2．中标人必须依照招投标文件和合同的相关内容要求，将货物安装并调试至正常运行的最佳状态。中标人在货物采购、运输、安装、调试、运行试、维护、保修的过程中必须负责一切安全责任。 3．货物为原厂商未启用过的全新产品，具有原厂官方正版授权及授权码，并可追索查阅。所有随货物的附件必须齐全。 4．中标人应将与货物相关的用户手册、保修手册、说明书等全部技术资料及配备件、随机工具等交付给采购人，使用操作及安全须知等重要资料应附有中文说明。 5．如果货物运输和安装调试过程中因事故造成货物短缺、损坏，中标人应及时安排换货，以保证合同货物安装调试的成功完成。换货的相关费用由中标人承担。 6．中标人必须拟定项目进度安排计划，并按照进度安排计划派出适当的技术人员到安装现场负责安装和调试工作。在安装施工期间，严格遵守采购人的有关制度。 7．安装施工期间需做到安全文明施工，不损坏采购人的设备设施，否则原价赔偿。</w:t>
            </w:r>
          </w:p>
        </w:tc>
      </w:tr>
      <w:tr>
        <w:tc>
          <w:tcPr>
            <w:tcW w:type="dxa" w:w="2076"/>
          </w:tcPr>
          <w:p>
            <w:pPr>
              <w:jc w:val="center"/>
            </w:pPr>
          </w:p>
        </w:tc>
        <w:tc>
          <w:tcPr>
            <w:tcW w:type="dxa" w:w="2076"/>
          </w:tcPr>
          <w:p>
            <w:pPr>
              <w:jc w:val="center"/>
            </w:pPr>
            <w:r>
              <w:rPr/>
              <w:t>4</w:t>
            </w:r>
          </w:p>
        </w:tc>
        <w:tc>
          <w:tcPr>
            <w:tcW w:type="dxa" w:w="2076"/>
          </w:tcPr>
          <w:p>
            <w:pPr>
              <w:jc w:val="left"/>
            </w:pPr>
            <w:r>
              <w:rPr/>
              <w:t>质保期、售后服务要求</w:t>
            </w:r>
          </w:p>
        </w:tc>
        <w:tc>
          <w:tcPr>
            <w:tcW w:type="dxa" w:w="2076"/>
          </w:tcPr>
          <w:p>
            <w:pPr>
              <w:jc w:val="left"/>
            </w:pPr>
            <w:r>
              <w:rPr/>
              <w:t>1．质量保证期（简称“质保期”）为3年。质保期自项目通过用户验收之日起计算，质保费用计入总价。 2．质保期内，中标人负责对其提供的货物实行包修、包换、包退、包维护更新，不再收取任何费用，但不可抗力（如火灾、雷击等）造成的故障除外。 3．中标人必须提供24小时电话服务热线，且需设有专业的售后服务中心，保证在接到故障申报后5个工作日内排除故障。 4．货物故障报修响应时间：1小时，若电话中无法解决，则24小时内到达现场进行维护。 5．所有货物质保服务方式均为中标人上门服务，即由中标人派出适当的技术人员到货物使用现场维修，由此产生的一切费用、人员的保险均由中标人承担。 6．质保期后的货物维护由双方协商再定。</w:t>
            </w:r>
          </w:p>
        </w:tc>
      </w:tr>
      <w:tr>
        <w:tc>
          <w:tcPr>
            <w:tcW w:type="dxa" w:w="2076"/>
          </w:tcPr>
          <w:p>
            <w:pPr>
              <w:jc w:val="center"/>
            </w:pPr>
          </w:p>
        </w:tc>
        <w:tc>
          <w:tcPr>
            <w:tcW w:type="dxa" w:w="2076"/>
          </w:tcPr>
          <w:p>
            <w:pPr>
              <w:jc w:val="center"/>
            </w:pPr>
            <w:r>
              <w:rPr/>
              <w:t>5</w:t>
            </w:r>
          </w:p>
        </w:tc>
        <w:tc>
          <w:tcPr>
            <w:tcW w:type="dxa" w:w="2076"/>
          </w:tcPr>
          <w:p>
            <w:pPr>
              <w:jc w:val="left"/>
            </w:pPr>
            <w:r>
              <w:rPr/>
              <w:t>培训要求</w:t>
            </w:r>
          </w:p>
        </w:tc>
        <w:tc>
          <w:tcPr>
            <w:tcW w:type="dxa" w:w="2076"/>
          </w:tcPr>
          <w:p>
            <w:pPr>
              <w:jc w:val="left"/>
            </w:pPr>
            <w:r>
              <w:rPr/>
              <w:t>1．中标人需要免费为采购人提供与本项目配套的培训（包含在报价总价内，采购人不再另行支付），制定培训计划和方案，包括但不限于以下内容。 2．培训内容：中标人需为采购人提供完整的操作培训及相关案例应用指导。 3．培训地点、时间、受训人员：由采购人确定受训人员，采购人、中标人双方商定时间和地点。 4．培训方式：根据实际情况，采取线上线下相结合的方式。具体方式按采购人的要求进行。</w:t>
            </w:r>
          </w:p>
        </w:tc>
      </w:tr>
      <w:tr>
        <w:tc>
          <w:tcPr>
            <w:tcW w:type="dxa" w:w="2076"/>
          </w:tcPr>
          <w:p>
            <w:pPr>
              <w:jc w:val="center"/>
            </w:pPr>
          </w:p>
        </w:tc>
        <w:tc>
          <w:tcPr>
            <w:tcW w:type="dxa" w:w="2076"/>
          </w:tcPr>
          <w:p>
            <w:pPr>
              <w:jc w:val="center"/>
            </w:pPr>
            <w:r>
              <w:rPr/>
              <w:t>6</w:t>
            </w:r>
          </w:p>
        </w:tc>
        <w:tc>
          <w:tcPr>
            <w:tcW w:type="dxa" w:w="2076"/>
          </w:tcPr>
          <w:p>
            <w:pPr>
              <w:jc w:val="left"/>
            </w:pPr>
            <w:r>
              <w:rPr/>
              <w:t>其他补充说明</w:t>
            </w:r>
          </w:p>
        </w:tc>
        <w:tc>
          <w:tcPr>
            <w:tcW w:type="dxa" w:w="2076"/>
          </w:tcPr>
          <w:p>
            <w:pPr>
              <w:jc w:val="left"/>
            </w:pPr>
            <w:r>
              <w:rPr/>
              <w:t>1．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2．投标人如提供3C认证产品、质量免检产品、节能产品、环境标志产品和无线局域网产品的，应在投标文件中提供相关证明文件。国家有关部门对投标人所投报的产品有强制性规定或要求的，投标人所投报的产品应当符合相应规定或要求。 3．投标人所投报的产品必须成套和完整，在技术要求中未列明但属于产品运行所需附件必须一并投报。如果在安装运行过程中发现有缺项漏项，且又是产品正常运行所必要的，投标人应当无偿提供。 4．投标人应当按照采购人要求及其他资料对产品进行设计、制作、安装和调试，所提供的产品在生产、安装和调试时应能满足国家相应的标准要求。投标人在产品采购、运输、安装、调试、维护、保修的过程中必须负责一切安全责任。 5．产品到货时投标人应当提供主要产品的维修、使用、保养手册，产品出厂检验合格证书，质量保证书，产品到货清单，保修证，系统技术文档和操作说明书等。 6．投标人必须保证所投报货物为在售产品，投标前应自行做好充分的市场调查，中标后不得以笔误等情况为由，提出更改中标产品参数或更换中标产品。更改产品参数或更换产品需由学校组织专家组确认后再批准。 7．投标人所投质量保证期不得低于采购人的需求，质量保证期内产品实行三包。 8．投标人必须具备相应的维护保养服务能力，能提供完善的售后服务（包括技术人员、响应时间及备品、备件方面等）。 9．知识产权和专利权 （1）中标人提供的货物应是无知识产权争议，且全新的产品（含零部件、配件、随机工具等），表面无划损、无碰撞。 （2）中标人应保证采购人在中华人民共和国使用货物或其任何一部分时，如有第三方向采购人提出侵犯其专利权、商标权或者其他知识产权的主张，该责任由中标人承担。 （3）中标人应保护所有应向所有权人支付的专利权、商标权或其他知识产权的有关费用及税费。</w:t>
            </w:r>
          </w:p>
        </w:tc>
      </w:tr>
      <w:tr>
        <w:tc>
          <w:tcPr>
            <w:tcW w:type="dxa" w:w="2076"/>
          </w:tcPr>
          <w:p>
            <w:pPr>
              <w:jc w:val="center"/>
            </w:pPr>
          </w:p>
        </w:tc>
        <w:tc>
          <w:tcPr>
            <w:tcW w:type="dxa" w:w="2076"/>
          </w:tcPr>
          <w:p>
            <w:pPr>
              <w:jc w:val="center"/>
            </w:pPr>
            <w:r>
              <w:rPr/>
              <w:t>7</w:t>
            </w:r>
          </w:p>
        </w:tc>
        <w:tc>
          <w:tcPr>
            <w:tcW w:type="dxa" w:w="2076"/>
          </w:tcPr>
          <w:p>
            <w:pPr>
              <w:jc w:val="left"/>
            </w:pPr>
            <w:r>
              <w:rPr/>
              <w:t>功能演示要求</w:t>
            </w:r>
          </w:p>
        </w:tc>
        <w:tc>
          <w:tcPr>
            <w:tcW w:type="dxa" w:w="2076"/>
          </w:tcPr>
          <w:p>
            <w:pPr>
              <w:jc w:val="left"/>
            </w:pPr>
            <w:r>
              <w:rPr/>
              <w:t>本项目要求在评审过程中进行功能演示，建议投标人在投标文件解密时间截止后1小时内到达采购代理机构等候。功能演示开始时间由评标委员会确定，如投标人未在评标委员会规定的时间内到达功能演示地点进行功能演示，评标委员会有权视其放弃功能演示。 （一）本项目由有效投标人于评标过程中进行功能演示，请投标人自行准备相关文件。 （二）授权委托代理人须凭身份证原件参加功能演示，参加人数不超过3人（含授权委托代理人在内）。 （三）如功能演示过程中需要用到电脑等设备（设备不能共用），请投标人自带，评标现场仅提供电源和投影设备。 （四）功能演示时间不超过15分钟。 要求演示内容： 1．珠宝首饰设计软件：灰阶贴图生成高低纹理和浮雕。 2．珠宝首饰设计软件：可根据宝石生成多种首饰部件。 3．珠宝首饰设计软件：有渲染命令，能选择不同材质灯光、背景、渲染模式、角度。 4．珠宝首饰设计软件（升级）：剖面放置，可在曲线上任意放置所需要的剖面，解决传统软件成型不灵活的问题。 5．珠宝首饰设计软件（升级）：自适应围石款，可根据石头形状生成不同类型的围石形状。</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应用软件</w:t>
            </w:r>
          </w:p>
        </w:tc>
        <w:tc>
          <w:tcPr>
            <w:tcW w:type="dxa" w:w="831"/>
          </w:tcPr>
          <w:p>
            <w:pPr>
              <w:jc w:val="left"/>
            </w:pPr>
            <w:r>
              <w:rPr/>
              <w:t>珠宝首饰设计软件</w:t>
            </w:r>
          </w:p>
        </w:tc>
        <w:tc>
          <w:tcPr>
            <w:tcW w:type="dxa" w:w="831"/>
          </w:tcPr>
          <w:p>
            <w:pPr>
              <w:jc w:val="left"/>
            </w:pPr>
            <w:r>
              <w:rPr/>
              <w:t>套</w:t>
            </w:r>
          </w:p>
        </w:tc>
        <w:tc>
          <w:tcPr>
            <w:tcW w:type="dxa" w:w="831"/>
          </w:tcPr>
          <w:p>
            <w:pPr>
              <w:jc w:val="right"/>
            </w:pPr>
            <w:r>
              <w:rPr/>
              <w:t>60.00</w:t>
            </w:r>
          </w:p>
        </w:tc>
        <w:tc>
          <w:tcPr>
            <w:tcW w:type="dxa" w:w="831"/>
          </w:tcPr>
          <w:p>
            <w:pPr>
              <w:jc w:val="right"/>
            </w:pPr>
            <w:r>
              <w:rPr/>
              <w:t>4,230.00</w:t>
            </w:r>
          </w:p>
        </w:tc>
        <w:tc>
          <w:tcPr>
            <w:tcW w:type="dxa" w:w="831"/>
          </w:tcPr>
          <w:p>
            <w:pPr>
              <w:jc w:val="right"/>
            </w:pPr>
            <w:r>
              <w:rPr/>
              <w:t>253,800.00</w:t>
            </w:r>
          </w:p>
        </w:tc>
        <w:tc>
          <w:tcPr>
            <w:tcW w:type="dxa" w:w="831"/>
          </w:tcPr>
          <w:p>
            <w:r>
              <w:rPr/>
              <w:t>软件和信息技术服务业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应用软件</w:t>
            </w:r>
          </w:p>
        </w:tc>
        <w:tc>
          <w:tcPr>
            <w:tcW w:type="dxa" w:w="831"/>
          </w:tcPr>
          <w:p>
            <w:pPr>
              <w:jc w:val="left"/>
            </w:pPr>
            <w:r>
              <w:rPr/>
              <w:t>珠宝首饰设计软件（升级）</w:t>
            </w:r>
          </w:p>
        </w:tc>
        <w:tc>
          <w:tcPr>
            <w:tcW w:type="dxa" w:w="831"/>
          </w:tcPr>
          <w:p>
            <w:pPr>
              <w:jc w:val="left"/>
            </w:pPr>
            <w:r>
              <w:rPr/>
              <w:t>套</w:t>
            </w:r>
          </w:p>
        </w:tc>
        <w:tc>
          <w:tcPr>
            <w:tcW w:type="dxa" w:w="831"/>
          </w:tcPr>
          <w:p>
            <w:pPr>
              <w:jc w:val="right"/>
            </w:pPr>
            <w:r>
              <w:rPr/>
              <w:t>60.00</w:t>
            </w:r>
          </w:p>
        </w:tc>
        <w:tc>
          <w:tcPr>
            <w:tcW w:type="dxa" w:w="831"/>
          </w:tcPr>
          <w:p>
            <w:pPr>
              <w:jc w:val="right"/>
            </w:pPr>
            <w:r>
              <w:rPr/>
              <w:t>2,000.00</w:t>
            </w:r>
          </w:p>
        </w:tc>
        <w:tc>
          <w:tcPr>
            <w:tcW w:type="dxa" w:w="831"/>
          </w:tcPr>
          <w:p>
            <w:pPr>
              <w:jc w:val="right"/>
            </w:pPr>
            <w:r>
              <w:rPr/>
              <w:t>120,000.00</w:t>
            </w:r>
          </w:p>
        </w:tc>
        <w:tc>
          <w:tcPr>
            <w:tcW w:type="dxa" w:w="831"/>
          </w:tcPr>
          <w:p>
            <w:r>
              <w:rPr/>
              <w:t>软件和信息技术服务业</w:t>
            </w:r>
          </w:p>
        </w:tc>
        <w:tc>
          <w:tcPr>
            <w:tcW w:type="dxa" w:w="831"/>
          </w:tcPr>
          <w:p>
            <w:r>
              <w:rPr/>
              <w:t>详见附表二</w:t>
            </w:r>
          </w:p>
        </w:tc>
      </w:tr>
    </w:tbl>
    <w:p/>
    <w:p>
      <w:r>
        <w:rPr>
          <w:b/>
        </w:rPr>
        <w:t>附表</w:t>
      </w:r>
      <w:r>
        <w:rPr>
          <w:b/>
        </w:rPr>
        <w:t>一</w:t>
      </w:r>
      <w:r>
        <w:rPr>
          <w:b/>
        </w:rPr>
        <w:t>：</w:t>
      </w:r>
      <w:r>
        <w:rPr>
          <w:b/>
        </w:rPr>
        <w:t>珠宝首饰设计软件</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★1．兼容现有设备操作系统（基于Windows平台）常用软件的基础上开发出来的设计软件；</w:t>
            </w:r>
          </w:p>
          <w:p>
            <w:pPr>
              <w:jc w:val="both"/>
            </w:pPr>
            <w:r>
              <w:rPr>
                <w:sz w:val="21"/>
              </w:rPr>
              <w:t>2</w:t>
            </w:r>
            <w:r>
              <w:rPr>
                <w:sz w:val="21"/>
              </w:rPr>
              <w:t>．编辑配置文件将其保存成文件，能转存到其他电脑里，配置文件包括界面样式、显示模式设置、快捷键设置；</w:t>
            </w:r>
          </w:p>
          <w:p>
            <w:pPr>
              <w:jc w:val="both"/>
            </w:pPr>
            <w:r>
              <w:rPr>
                <w:sz w:val="21"/>
              </w:rPr>
              <w:t>3</w:t>
            </w:r>
            <w:r>
              <w:rPr>
                <w:sz w:val="21"/>
              </w:rPr>
              <w:t>．自带渲染；</w:t>
            </w:r>
          </w:p>
          <w:p>
            <w:pPr>
              <w:jc w:val="both"/>
            </w:pPr>
            <w:r>
              <w:rPr>
                <w:sz w:val="21"/>
              </w:rPr>
              <w:t>▲4．能快速生成戒指、生成的戒指能用内置参数配置改变结构</w:t>
            </w:r>
            <w:r>
              <w:rPr>
                <w:b/>
                <w:sz w:val="21"/>
              </w:rPr>
              <w:t>（提供功能截图）</w:t>
            </w:r>
            <w:r>
              <w:rPr>
                <w:sz w:val="21"/>
              </w:rPr>
              <w:t>；</w:t>
            </w:r>
          </w:p>
          <w:p>
            <w:pPr>
              <w:jc w:val="both"/>
            </w:pPr>
            <w:r>
              <w:rPr>
                <w:sz w:val="21"/>
              </w:rPr>
              <w:t>5</w:t>
            </w:r>
            <w:r>
              <w:rPr>
                <w:sz w:val="21"/>
              </w:rPr>
              <w:t>．能在金属表面贴合宝石，个性化布局；</w:t>
            </w:r>
          </w:p>
          <w:p>
            <w:pPr>
              <w:jc w:val="both"/>
            </w:pPr>
            <w:r>
              <w:rPr>
                <w:sz w:val="21"/>
              </w:rPr>
              <w:t>▲6．线上排石，双曲线排石功能</w:t>
            </w:r>
            <w:r>
              <w:rPr>
                <w:b/>
                <w:sz w:val="21"/>
              </w:rPr>
              <w:t>（提供功能截图）</w:t>
            </w:r>
            <w:r>
              <w:rPr>
                <w:sz w:val="21"/>
              </w:rPr>
              <w:t>；</w:t>
            </w:r>
          </w:p>
          <w:p>
            <w:pPr>
              <w:jc w:val="both"/>
            </w:pPr>
            <w:r>
              <w:rPr>
                <w:sz w:val="21"/>
              </w:rPr>
              <w:t>7</w:t>
            </w:r>
            <w:r>
              <w:rPr>
                <w:sz w:val="21"/>
              </w:rPr>
              <w:t>．灰阶贴图生成高低纹理和浮雕；</w:t>
            </w:r>
            <w:r>
              <w:rPr>
                <w:b/>
                <w:sz w:val="21"/>
              </w:rPr>
              <w:t>（需提供现场演示）</w:t>
            </w:r>
          </w:p>
          <w:p>
            <w:pPr>
              <w:jc w:val="both"/>
            </w:pPr>
            <w:r>
              <w:rPr>
                <w:sz w:val="21"/>
              </w:rPr>
              <w:t>8</w:t>
            </w:r>
            <w:r>
              <w:rPr>
                <w:sz w:val="21"/>
              </w:rPr>
              <w:t>．有十种以上显示模式，且在现实模式中能显示侧切截面；</w:t>
            </w:r>
          </w:p>
          <w:p>
            <w:pPr>
              <w:jc w:val="both"/>
            </w:pPr>
            <w:r>
              <w:rPr>
                <w:sz w:val="21"/>
              </w:rPr>
              <w:t>9</w:t>
            </w:r>
            <w:r>
              <w:rPr>
                <w:sz w:val="21"/>
              </w:rPr>
              <w:t>．可以对网格文件进行编辑、修复、四角化和三角化，并在网格与曲面间进行转换；</w:t>
            </w:r>
          </w:p>
          <w:p>
            <w:pPr>
              <w:jc w:val="both"/>
            </w:pPr>
            <w:r>
              <w:rPr>
                <w:sz w:val="21"/>
              </w:rPr>
              <w:t>10</w:t>
            </w:r>
            <w:r>
              <w:rPr>
                <w:sz w:val="21"/>
              </w:rPr>
              <w:t>．有专门命令对曲线进行重构，能重构曲线的阶数与点数；</w:t>
            </w:r>
          </w:p>
          <w:p>
            <w:pPr>
              <w:jc w:val="both"/>
            </w:pPr>
            <w:r>
              <w:rPr>
                <w:sz w:val="21"/>
              </w:rPr>
              <w:t>11</w:t>
            </w:r>
            <w:r>
              <w:rPr>
                <w:sz w:val="21"/>
              </w:rPr>
              <w:t>．有专门命令能对曲线参数均匀化处理；</w:t>
            </w:r>
          </w:p>
          <w:p>
            <w:pPr>
              <w:jc w:val="both"/>
            </w:pPr>
            <w:r>
              <w:rPr>
                <w:sz w:val="21"/>
              </w:rPr>
              <w:t>▲12．曲线最高可支持十一阶非均匀有理B样条</w:t>
            </w:r>
            <w:r>
              <w:rPr>
                <w:b/>
                <w:sz w:val="21"/>
              </w:rPr>
              <w:t>（提供功能截图）</w:t>
            </w:r>
            <w:r>
              <w:rPr>
                <w:sz w:val="21"/>
              </w:rPr>
              <w:t>；</w:t>
            </w:r>
          </w:p>
          <w:p>
            <w:pPr>
              <w:jc w:val="both"/>
            </w:pPr>
            <w:r>
              <w:rPr>
                <w:sz w:val="21"/>
              </w:rPr>
              <w:t>13</w:t>
            </w:r>
            <w:r>
              <w:rPr>
                <w:sz w:val="21"/>
              </w:rPr>
              <w:t>．曲面可以组合成为多重曲面；</w:t>
            </w:r>
          </w:p>
          <w:p>
            <w:pPr>
              <w:jc w:val="both"/>
            </w:pPr>
            <w:r>
              <w:rPr>
                <w:sz w:val="21"/>
              </w:rPr>
              <w:t>14</w:t>
            </w:r>
            <w:r>
              <w:rPr>
                <w:sz w:val="21"/>
              </w:rPr>
              <w:t>．多重曲面可拆分为曲面；</w:t>
            </w:r>
          </w:p>
          <w:p>
            <w:pPr>
              <w:jc w:val="both"/>
            </w:pPr>
            <w:r>
              <w:rPr>
                <w:sz w:val="21"/>
              </w:rPr>
              <w:t>15</w:t>
            </w:r>
            <w:r>
              <w:rPr>
                <w:sz w:val="21"/>
              </w:rPr>
              <w:t>．曲面与曲面间可以混接生成过渡曲面；</w:t>
            </w:r>
          </w:p>
          <w:p>
            <w:pPr>
              <w:jc w:val="both"/>
            </w:pPr>
            <w:r>
              <w:rPr>
                <w:sz w:val="21"/>
              </w:rPr>
              <w:t>▲16．可快速生成宝石、镶口、剪口</w:t>
            </w:r>
            <w:r>
              <w:rPr>
                <w:b/>
                <w:sz w:val="21"/>
              </w:rPr>
              <w:t>（提供功能截图）</w:t>
            </w:r>
            <w:r>
              <w:rPr>
                <w:sz w:val="21"/>
              </w:rPr>
              <w:t>；</w:t>
            </w:r>
          </w:p>
          <w:p>
            <w:pPr>
              <w:jc w:val="both"/>
            </w:pPr>
            <w:r>
              <w:rPr>
                <w:sz w:val="21"/>
              </w:rPr>
              <w:t>17</w:t>
            </w:r>
            <w:r>
              <w:rPr>
                <w:sz w:val="21"/>
              </w:rPr>
              <w:t>．可根据宝石生成多种首饰部件；</w:t>
            </w:r>
            <w:r>
              <w:rPr>
                <w:b/>
                <w:sz w:val="21"/>
              </w:rPr>
              <w:t>（需提供现场演示）</w:t>
            </w:r>
          </w:p>
          <w:p>
            <w:pPr>
              <w:jc w:val="both"/>
            </w:pPr>
            <w:r>
              <w:rPr>
                <w:sz w:val="21"/>
              </w:rPr>
              <w:t>18</w:t>
            </w:r>
            <w:r>
              <w:rPr>
                <w:sz w:val="21"/>
              </w:rPr>
              <w:t>．有渲染命令，能选择不同材质灯光、背景、渲染模式、角度；</w:t>
            </w:r>
            <w:r>
              <w:rPr>
                <w:b/>
                <w:sz w:val="21"/>
              </w:rPr>
              <w:t>（需提供现场演示）</w:t>
            </w:r>
          </w:p>
          <w:p>
            <w:pPr>
              <w:jc w:val="both"/>
            </w:pPr>
            <w:r>
              <w:rPr>
                <w:sz w:val="21"/>
              </w:rPr>
              <w:t>19</w:t>
            </w:r>
            <w:r>
              <w:rPr>
                <w:sz w:val="21"/>
              </w:rPr>
              <w:t>．能制作动画；</w:t>
            </w:r>
          </w:p>
          <w:p>
            <w:pPr>
              <w:jc w:val="both"/>
            </w:pPr>
            <w:r>
              <w:rPr>
                <w:sz w:val="21"/>
              </w:rPr>
              <w:t>20</w:t>
            </w:r>
            <w:r>
              <w:rPr>
                <w:sz w:val="21"/>
              </w:rPr>
              <w:t>．能通过指令集，快速生成戒指导轨、戒指外导轨、切面；</w:t>
            </w:r>
          </w:p>
          <w:p>
            <w:pPr>
              <w:jc w:val="both"/>
            </w:pPr>
            <w:r>
              <w:rPr>
                <w:sz w:val="21"/>
              </w:rPr>
              <w:t>21</w:t>
            </w:r>
            <w:r>
              <w:rPr>
                <w:sz w:val="21"/>
              </w:rPr>
              <w:t>．能通过指令在戒指主体部分不变的情况下改变手圈号；</w:t>
            </w:r>
          </w:p>
          <w:p>
            <w:pPr>
              <w:jc w:val="both"/>
            </w:pPr>
            <w:r>
              <w:rPr>
                <w:sz w:val="21"/>
              </w:rPr>
              <w:t>22</w:t>
            </w:r>
            <w:r>
              <w:rPr>
                <w:sz w:val="21"/>
              </w:rPr>
              <w:t>．宝石或宝石集群能根据曲线或曲面去快速排列改变方向、位置。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珠宝首饰设计软件（升级）</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★1．兼容现有设备操作系统（基于Windows平台）常用软件的基础上开发出来的设计软件；</w:t>
            </w:r>
          </w:p>
          <w:p>
            <w:pPr>
              <w:jc w:val="both"/>
            </w:pPr>
            <w:r>
              <w:rPr>
                <w:sz w:val="21"/>
              </w:rPr>
              <w:t>2</w:t>
            </w:r>
            <w:r>
              <w:rPr>
                <w:sz w:val="21"/>
              </w:rPr>
              <w:t>．支持更高的软件平台，运行速度更快，兼容更好；</w:t>
            </w:r>
          </w:p>
          <w:p>
            <w:pPr>
              <w:jc w:val="both"/>
            </w:pPr>
            <w:r>
              <w:rPr>
                <w:sz w:val="21"/>
              </w:rPr>
              <w:t>3</w:t>
            </w:r>
            <w:r>
              <w:rPr>
                <w:sz w:val="21"/>
              </w:rPr>
              <w:t>．新版界面UI给用户提供自定义布局；</w:t>
            </w:r>
          </w:p>
          <w:p>
            <w:pPr>
              <w:jc w:val="both"/>
            </w:pPr>
            <w:r>
              <w:rPr>
                <w:sz w:val="21"/>
              </w:rPr>
              <w:t>4</w:t>
            </w:r>
            <w:r>
              <w:rPr>
                <w:sz w:val="21"/>
              </w:rPr>
              <w:t>．有十种以上显示模式，且在现实模式中能显示侧切截面；</w:t>
            </w:r>
          </w:p>
          <w:p>
            <w:pPr>
              <w:jc w:val="both"/>
            </w:pPr>
            <w:r>
              <w:rPr>
                <w:sz w:val="21"/>
              </w:rPr>
              <w:t>5</w:t>
            </w:r>
            <w:r>
              <w:rPr>
                <w:sz w:val="21"/>
              </w:rPr>
              <w:t>．有专门命令对曲线进行重构，能重构曲线的阶数与点数；</w:t>
            </w:r>
          </w:p>
          <w:p>
            <w:pPr>
              <w:jc w:val="both"/>
            </w:pPr>
            <w:r>
              <w:rPr>
                <w:sz w:val="21"/>
              </w:rPr>
              <w:t>6</w:t>
            </w:r>
            <w:r>
              <w:rPr>
                <w:sz w:val="21"/>
              </w:rPr>
              <w:t>．有专门命令能对曲线参数均匀化处理；</w:t>
            </w:r>
          </w:p>
          <w:p>
            <w:pPr>
              <w:jc w:val="both"/>
            </w:pPr>
            <w:r>
              <w:rPr>
                <w:sz w:val="21"/>
              </w:rPr>
              <w:t>7</w:t>
            </w:r>
            <w:r>
              <w:rPr>
                <w:sz w:val="21"/>
              </w:rPr>
              <w:t>．多重曲面可拆分为曲面；</w:t>
            </w:r>
          </w:p>
          <w:p>
            <w:pPr>
              <w:jc w:val="both"/>
            </w:pPr>
            <w:r>
              <w:rPr>
                <w:sz w:val="21"/>
              </w:rPr>
              <w:t>8</w:t>
            </w:r>
            <w:r>
              <w:rPr>
                <w:sz w:val="21"/>
              </w:rPr>
              <w:t>．曲面与曲面间可以混接生成过渡曲面；</w:t>
            </w:r>
          </w:p>
          <w:p>
            <w:pPr>
              <w:jc w:val="both"/>
            </w:pPr>
            <w:r>
              <w:rPr>
                <w:sz w:val="21"/>
              </w:rPr>
              <w:t>9</w:t>
            </w:r>
            <w:r>
              <w:rPr>
                <w:sz w:val="21"/>
              </w:rPr>
              <w:t>．能通过指令集，快速生成戒指导轨、戒指外导轨、切面；</w:t>
            </w:r>
          </w:p>
          <w:p>
            <w:pPr>
              <w:jc w:val="both"/>
            </w:pPr>
            <w:r>
              <w:rPr>
                <w:sz w:val="21"/>
              </w:rPr>
              <w:t>10</w:t>
            </w:r>
            <w:r>
              <w:rPr>
                <w:sz w:val="21"/>
              </w:rPr>
              <w:t>．剖面放置，可在曲线上任意放置所需要的剖面，解决传统软件成型不灵活的问题；</w:t>
            </w:r>
            <w:r>
              <w:rPr>
                <w:b/>
                <w:sz w:val="21"/>
              </w:rPr>
              <w:t>（需提供现场演示）</w:t>
            </w:r>
          </w:p>
          <w:p>
            <w:pPr>
              <w:jc w:val="both"/>
            </w:pPr>
            <w:r>
              <w:rPr>
                <w:sz w:val="21"/>
              </w:rPr>
              <w:t>11</w:t>
            </w:r>
            <w:r>
              <w:rPr>
                <w:sz w:val="21"/>
              </w:rPr>
              <w:t>．自适应围石款，可根据石头形状生成不同类型的围石形状；</w:t>
            </w:r>
            <w:r>
              <w:rPr>
                <w:b/>
                <w:sz w:val="21"/>
              </w:rPr>
              <w:t>（需提供现场演示）</w:t>
            </w:r>
          </w:p>
          <w:p>
            <w:pPr>
              <w:jc w:val="both"/>
            </w:pPr>
            <w:r>
              <w:rPr>
                <w:sz w:val="21"/>
              </w:rPr>
              <w:t>▲12．生成石槽，根据单排石头的位置，创建自定义切面的石槽</w:t>
            </w:r>
            <w:r>
              <w:rPr>
                <w:b/>
                <w:sz w:val="21"/>
              </w:rPr>
              <w:t>（提供功能截图）</w:t>
            </w:r>
            <w:r>
              <w:rPr>
                <w:sz w:val="21"/>
              </w:rPr>
              <w:t>；</w:t>
            </w:r>
          </w:p>
          <w:p>
            <w:pPr>
              <w:jc w:val="both"/>
            </w:pPr>
            <w:r>
              <w:rPr>
                <w:sz w:val="21"/>
              </w:rPr>
              <w:t>▲13．增强虎爪工具，可快速生成虎爪U槽，调整U槽比例</w:t>
            </w:r>
            <w:r>
              <w:rPr>
                <w:b/>
                <w:sz w:val="21"/>
              </w:rPr>
              <w:t>（提供功能截图）</w:t>
            </w:r>
            <w:r>
              <w:rPr>
                <w:sz w:val="21"/>
              </w:rPr>
              <w:t>；</w:t>
            </w:r>
          </w:p>
          <w:p>
            <w:pPr>
              <w:jc w:val="both"/>
            </w:pPr>
            <w:r>
              <w:rPr>
                <w:sz w:val="21"/>
              </w:rPr>
              <w:t>14</w:t>
            </w:r>
            <w:r>
              <w:rPr>
                <w:sz w:val="21"/>
              </w:rPr>
              <w:t>．增强铺网功能，可在指定的曲面上，用可视化的操作，快速调整网状比例；</w:t>
            </w:r>
          </w:p>
          <w:p>
            <w:pPr>
              <w:jc w:val="both"/>
            </w:pPr>
            <w:r>
              <w:rPr>
                <w:sz w:val="21"/>
              </w:rPr>
              <w:t>15</w:t>
            </w:r>
            <w:r>
              <w:rPr>
                <w:sz w:val="21"/>
              </w:rPr>
              <w:t>．智能花纹，用单一曲面，通过智能花纹即可生成，进入素材库可快速替换花纹；</w:t>
            </w:r>
          </w:p>
          <w:p>
            <w:pPr>
              <w:jc w:val="both"/>
            </w:pPr>
            <w:r>
              <w:rPr>
                <w:sz w:val="21"/>
              </w:rPr>
              <w:t>16</w:t>
            </w:r>
            <w:r>
              <w:rPr>
                <w:sz w:val="21"/>
              </w:rPr>
              <w:t>．光栅图转换矢量图，可在图片上提取反色鲜明内容的轮廓线；</w:t>
            </w:r>
          </w:p>
          <w:p>
            <w:pPr>
              <w:jc w:val="both"/>
            </w:pPr>
            <w:r>
              <w:rPr>
                <w:sz w:val="21"/>
              </w:rPr>
              <w:t>17</w:t>
            </w:r>
            <w:r>
              <w:rPr>
                <w:sz w:val="21"/>
              </w:rPr>
              <w:t>．加支撑功能，在做好的模型上添加支撑，可快速协助3D打印机作业前工序；</w:t>
            </w:r>
          </w:p>
          <w:p>
            <w:pPr>
              <w:jc w:val="both"/>
            </w:pPr>
            <w:r>
              <w:rPr>
                <w:sz w:val="21"/>
              </w:rPr>
              <w:t>▲18．网格修复功能，可修复STL格式破面漏洞</w:t>
            </w:r>
            <w:r>
              <w:rPr>
                <w:b/>
                <w:sz w:val="21"/>
              </w:rPr>
              <w:t>（提供功能截图）</w:t>
            </w:r>
            <w:r>
              <w:rPr>
                <w:sz w:val="21"/>
              </w:rPr>
              <w:t>；</w:t>
            </w:r>
          </w:p>
          <w:p>
            <w:r>
              <w:rPr>
                <w:sz w:val="21"/>
              </w:rPr>
              <w:t>▲19．增强渲染动画，增加更多的预设材质、环境、地面、动画路径，简化对渲染设置，快速生成动画</w:t>
            </w:r>
            <w:r>
              <w:rPr>
                <w:b/>
                <w:sz w:val="21"/>
              </w:rPr>
              <w:t>（提供功能截图）</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采购机构代理服务收费标准：采购机构代理服务收费标准：中标人须向采购代理机构按如下标准和规定缴纳代理服务费：本次采购代理服务费为定额收费，金额为：8000元整。增值税另行计入招标代理服务费中。</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其他信息，一、信用评价 （一）本项目商务评分部分的综合信用评价得分运用广州公共资源交易信用评价体系2.0政府采购信用评价分。参加响应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 （二）综合信用评价得分=供应商的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一）采购人负责对中标（成交）供应商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成交供应商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 三、关于提供前期服务的供应商 为采购项目提供整体设计、规范编制或者项目管理、监理、检测等服务的供应商，不得再参加该采购项目的其他采购活动。</w:t>
            </w:r>
          </w:p>
          <w:p>
            <w:pPr>
              <w:jc w:val="left"/>
            </w:pPr>
            <w:r>
              <w:rPr/>
              <w:t>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番禺职业技术学院珠宝学院实训室升级改造项目——首饰设计与工艺专业实训室升级（进口）)：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采购包1（广州番禺职业技术学院珠宝学院实训室升级改造项目——首饰设计与工艺专业实训室升级（进口））：</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对获得节能产品认证证书或环境标志产品认证证书的产品给予2%的价格扣除，具体扣除比例根据节能产品或环境标志产品在采购项目中的重要性、所占比重等因素确定。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采购包1（广州番禺职业技术学院珠宝学院实训室升级改造项目——首饰设计与工艺专业实训室升级（进口））：</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其他</w:t>
            </w:r>
          </w:p>
        </w:tc>
        <w:tc>
          <w:tcPr>
            <w:tcW w:type="dxa" w:w="4238"/>
          </w:tcPr>
          <w:p>
            <w:r>
              <w:rPr/>
              <w:t>本项目不接受联合体投标。</w:t>
            </w:r>
          </w:p>
        </w:tc>
      </w:tr>
      <w:tr>
        <w:tc>
          <w:tcPr>
            <w:tcW w:type="dxa" w:w="890"/>
          </w:tcPr>
          <w:p>
            <w:r>
              <w:rPr/>
              <w:t>9</w:t>
            </w:r>
          </w:p>
        </w:tc>
        <w:tc>
          <w:tcPr>
            <w:tcW w:type="dxa" w:w="3178"/>
          </w:tcPr>
          <w:p>
            <w:r>
              <w:rPr/>
              <w:t>本项目不属于专门面向中小企业采购的项目。</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采购包1（广州番禺职业技术学院珠宝学院实训室升级改造项目——首饰设计与工艺专业实训室升级（进口））：</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投标报价没有超出预算金额或最高限价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采购包1(广州番禺职业技术学院珠宝学院实训室升级改造项目——首饰设计与工艺专业实训室升级（进口）):</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所投产品的技术参数指标响应情况（“▲”号指标）  (16.0分)</w:t>
            </w:r>
          </w:p>
        </w:tc>
        <w:tc>
          <w:tcPr>
            <w:tcW w:type="dxa" w:w="5076"/>
          </w:tcPr>
          <w:p>
            <w:pPr>
              <w:jc w:val="left"/>
            </w:pPr>
            <w:r>
              <w:rPr/>
              <w:t>带“▲”标的为重要条款，全部满足得16分，每一项不满足扣2分，扣完为止。采购需求合计8个“▲”标。 （注：凡是标有序号的“▲”条款均以一项单独的条款计算，无论是否隶属于上一级编号；若采购需求中要求提供证明文件的，以采购需求中要求的为准，无或未按要求提供证明材料的不得分；如采购需求中无明确证明材料的，以投标人投标文件中的《技术和服务要求响应表》中的响应情况填写内容为准，未填写的或不响应的视为负偏离。）</w:t>
            </w:r>
          </w:p>
        </w:tc>
      </w:tr>
      <w:tr>
        <w:tc>
          <w:tcPr>
            <w:tcW w:type="dxa" w:w="922"/>
            <w:gridSpan w:val="2"/>
            <w:vMerge/>
          </w:tcPr>
          <w:p/>
        </w:tc>
        <w:tc>
          <w:tcPr>
            <w:tcW w:type="dxa" w:w="2307"/>
          </w:tcPr>
          <w:p>
            <w:pPr>
              <w:jc w:val="left"/>
            </w:pPr>
            <w:r>
              <w:rPr/>
              <w:t>所投产品的技术参数指标响应情况（非“▲”号指标） (5.0分)</w:t>
            </w:r>
          </w:p>
        </w:tc>
        <w:tc>
          <w:tcPr>
            <w:tcW w:type="dxa" w:w="5076"/>
          </w:tcPr>
          <w:p>
            <w:pPr>
              <w:jc w:val="left"/>
            </w:pPr>
            <w:r>
              <w:rPr/>
              <w:t>满足全部非“▲”参数要求的（演示部分参数除外），得5分； 有1至3个产品参数不满足采购需求的，得3分； 有4至8个产品参数不满足采购需求的，得1分； 有9个或以上产品参数不满足的，得0分。本项最高得5分。 （注：凡是标有序号的一般条款均以一项单独的条款计算，无论是否隶属于上一级编号；若采购需求中要求提供证明文件的，以采购需求中要求的为准，无或未按要求提供证明材料的不得分；如采购需求中无明确证明材料的，以投标人投标文件中的《技术和服务要求响应表》中的响应情况填写内容为准，未填写的或不响应的视为负偏离。）</w:t>
            </w:r>
          </w:p>
        </w:tc>
      </w:tr>
      <w:tr>
        <w:tc>
          <w:tcPr>
            <w:tcW w:type="dxa" w:w="922"/>
            <w:gridSpan w:val="2"/>
            <w:vMerge/>
          </w:tcPr>
          <w:p/>
        </w:tc>
        <w:tc>
          <w:tcPr>
            <w:tcW w:type="dxa" w:w="2307"/>
          </w:tcPr>
          <w:p>
            <w:pPr>
              <w:jc w:val="left"/>
            </w:pPr>
            <w:r>
              <w:rPr/>
              <w:t>整体技术方案 (3.0分)</w:t>
            </w:r>
            <w:r>
              <w:rPr/>
              <w:t>，（等次分值选择：</w:t>
            </w:r>
            <w:r>
              <w:rPr/>
              <w:t>0.0;</w:t>
            </w:r>
            <w:r>
              <w:rPr/>
              <w:t>1.0;</w:t>
            </w:r>
            <w:r>
              <w:rPr/>
              <w:t>2.0;</w:t>
            </w:r>
            <w:r>
              <w:rPr/>
              <w:t>3.0;</w:t>
            </w:r>
            <w:r>
              <w:rPr/>
              <w:t>）</w:t>
            </w:r>
          </w:p>
        </w:tc>
        <w:tc>
          <w:tcPr>
            <w:tcW w:type="dxa" w:w="5076"/>
          </w:tcPr>
          <w:p>
            <w:pPr>
              <w:jc w:val="left"/>
            </w:pPr>
            <w:r>
              <w:rPr/>
              <w:t>根据投标人针对本项目制定的整体实施方案（包括但不限于采购需求内容中的相关硬件、软件供货和安装调试服务要求、验收进度安排等）进行综合评审： （1）相关硬件、软件和安装调试服务有明确详细的计划和步骤，有具体详细的验收流程，项目整体实施方案各项内容均具备，完全满足或优于采购需求，得3分； （2）相关硬件、软件和安装调试服务有基本详细的计划和步骤，有基本具体的验收流程，项目整体实施方案各项内容基本具备，部分满足采购需求，得2分； （3）相关硬件、软件和安装调试服务没有明确的计划或步骤，验收流程不合理，项目整体实施方案内容明显有缺漏，无法满足采购需求，得1分； （4）其他或无响应，得0分。</w:t>
            </w:r>
          </w:p>
        </w:tc>
      </w:tr>
      <w:tr>
        <w:tc>
          <w:tcPr>
            <w:tcW w:type="dxa" w:w="922"/>
            <w:gridSpan w:val="2"/>
            <w:vMerge/>
          </w:tcPr>
          <w:p/>
        </w:tc>
        <w:tc>
          <w:tcPr>
            <w:tcW w:type="dxa" w:w="2307"/>
          </w:tcPr>
          <w:p>
            <w:pPr>
              <w:jc w:val="left"/>
            </w:pPr>
            <w:r>
              <w:rPr/>
              <w:t>售后服务方案  (3.0分)</w:t>
            </w:r>
            <w:r>
              <w:rPr/>
              <w:t>，（等次分值选择：</w:t>
            </w:r>
            <w:r>
              <w:rPr/>
              <w:t>0.0;</w:t>
            </w:r>
            <w:r>
              <w:rPr/>
              <w:t>1.0;</w:t>
            </w:r>
            <w:r>
              <w:rPr/>
              <w:t>2.0;</w:t>
            </w:r>
            <w:r>
              <w:rPr/>
              <w:t>3.0;</w:t>
            </w:r>
            <w:r>
              <w:rPr/>
              <w:t>）</w:t>
            </w:r>
          </w:p>
        </w:tc>
        <w:tc>
          <w:tcPr>
            <w:tcW w:type="dxa" w:w="5076"/>
          </w:tcPr>
          <w:p>
            <w:pPr>
              <w:jc w:val="left"/>
            </w:pPr>
            <w:r>
              <w:rPr/>
              <w:t>根据投标人针对本项目提供的售后服务方案（包括但不限于售后服务网点安排、售后服务方式、详细合理的服务承诺和维护响应时间、质保期满后的后续服务内容等）进行综合评审： （1）售后服务方案详细、合理、可行性强，服务响应时效性优于采购需求，质保期满后的后续服务内容明确详细，完全满足或优于采购需求，得3分； （2）售后服务方案较详细、较合理、有可行性，服务响应时效性基本满足采购需求，质保期满后的后续服务内容基本明确，部分满足采购需求，得2分； （3）售后服务方案不够详细、合理性欠缺，服务响应时效性低于采购需求，质保期满后的后续服务内容不够明确，得1分； （4）其他或无响应，得0分。</w:t>
            </w:r>
          </w:p>
        </w:tc>
      </w:tr>
      <w:tr>
        <w:tc>
          <w:tcPr>
            <w:tcW w:type="dxa" w:w="922"/>
            <w:gridSpan w:val="2"/>
            <w:vMerge/>
          </w:tcPr>
          <w:p/>
        </w:tc>
        <w:tc>
          <w:tcPr>
            <w:tcW w:type="dxa" w:w="2307"/>
          </w:tcPr>
          <w:p>
            <w:pPr>
              <w:jc w:val="left"/>
            </w:pPr>
            <w:r>
              <w:rPr/>
              <w:t>技术培训方案 (3.0分)</w:t>
            </w:r>
            <w:r>
              <w:rPr/>
              <w:t>，（等次分值选择：</w:t>
            </w:r>
            <w:r>
              <w:rPr/>
              <w:t>0.0;</w:t>
            </w:r>
            <w:r>
              <w:rPr/>
              <w:t>1.0;</w:t>
            </w:r>
            <w:r>
              <w:rPr/>
              <w:t>2.0;</w:t>
            </w:r>
            <w:r>
              <w:rPr/>
              <w:t>3.0;</w:t>
            </w:r>
            <w:r>
              <w:rPr/>
              <w:t>）</w:t>
            </w:r>
          </w:p>
        </w:tc>
        <w:tc>
          <w:tcPr>
            <w:tcW w:type="dxa" w:w="5076"/>
          </w:tcPr>
          <w:p>
            <w:pPr>
              <w:jc w:val="left"/>
            </w:pPr>
            <w:r>
              <w:rPr/>
              <w:t>根据投标人针对本项目提供的技术培训方案（包括但不限于培训目标、师资力量、培训内容、培训资料、培训进度计划、培训人员安排等）进行综合评审： （1）技术培训计划和方案内容详细完整，可行性强，得3分； （2）技术培训计划和方案内容比较完整，可行性较强，得2分； （3）技术培训计划和方案内容含糊不清，可行性欠缺，得1分； （4）其他或无响应，得0分。</w:t>
            </w:r>
          </w:p>
        </w:tc>
      </w:tr>
      <w:tr>
        <w:tc>
          <w:tcPr>
            <w:tcW w:type="dxa" w:w="922"/>
            <w:gridSpan w:val="2"/>
            <w:vMerge/>
          </w:tcPr>
          <w:p/>
        </w:tc>
        <w:tc>
          <w:tcPr>
            <w:tcW w:type="dxa" w:w="2307"/>
          </w:tcPr>
          <w:p>
            <w:pPr>
              <w:jc w:val="left"/>
            </w:pPr>
            <w:r>
              <w:rPr/>
              <w:t>功能演示  (15.0分)</w:t>
            </w:r>
          </w:p>
        </w:tc>
        <w:tc>
          <w:tcPr>
            <w:tcW w:type="dxa" w:w="5076"/>
          </w:tcPr>
          <w:p>
            <w:pPr>
              <w:jc w:val="left"/>
            </w:pPr>
            <w:r>
              <w:rPr/>
              <w:t>演示内容： （1）珠宝首饰设计软件：灰阶贴图生成高低纹理和浮雕。 （2）珠宝首饰设计软件：可根据宝石生成多种首饰部件。 （3）珠宝首饰设计软件：有渲染命令，能选择不同材质灯光、背景、渲染模式、角度。 （4）珠宝首饰设计软件（升级）：剖面放置，可在曲线上任意放置所需要的剖面，解决传统软件成型不灵活的问题。 （5）珠宝首饰设计软件（升级）：自适应围石款，可根据石头形状生成不同类型的围石形状。 针对演示内容进行演示，每满足一项得3分，最高得15分。以非软件系统形式（如视频、PPT、图片、文字等）进行演示的或未演示的，不得分。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投标人自2020年1月1日至今具有同类项目业绩，每提供一项得1分，最高得5分。 注：投标人必须在投标文件中提供每一个项目的中标/成交通知书或合同关键页（含项目名称、项目内容、甲乙双方签字盖章页），否则不得分（以合同签订时间为准，分支机构投标的，总公司（总所）业绩可纳入评审）</w:t>
            </w:r>
          </w:p>
        </w:tc>
      </w:tr>
      <w:tr>
        <w:tc>
          <w:tcPr>
            <w:tcW w:type="dxa" w:w="922"/>
            <w:gridSpan w:val="2"/>
            <w:vMerge/>
          </w:tcPr>
          <w:p/>
        </w:tc>
        <w:tc>
          <w:tcPr>
            <w:tcW w:type="dxa" w:w="2307"/>
          </w:tcPr>
          <w:p>
            <w:pPr>
              <w:jc w:val="left"/>
            </w:pPr>
            <w:r>
              <w:rPr/>
              <w:t>拟派本项目技术团队 (9.0分)</w:t>
            </w:r>
          </w:p>
        </w:tc>
        <w:tc>
          <w:tcPr>
            <w:tcW w:type="dxa" w:w="5076"/>
          </w:tcPr>
          <w:p>
            <w:pPr>
              <w:jc w:val="left"/>
            </w:pPr>
            <w:r>
              <w:rPr/>
              <w:t>投标人具有履行合同的专业技术团队，拟派本项目团队成员中具有首饰设计师二级或以上职业资格证书，每人得3分，最高9分。 注：需提供团队成员名单、人员证书复印件和该人员与投标人签订的劳动合同复印件（或投标单位近三个月内任一个月为其缴纳社保清单复印件），提供不全或不提供不得分。</w:t>
            </w:r>
          </w:p>
        </w:tc>
      </w:tr>
      <w:tr>
        <w:tc>
          <w:tcPr>
            <w:tcW w:type="dxa" w:w="922"/>
            <w:gridSpan w:val="2"/>
            <w:vMerge/>
          </w:tcPr>
          <w:p/>
        </w:tc>
        <w:tc>
          <w:tcPr>
            <w:tcW w:type="dxa" w:w="2307"/>
          </w:tcPr>
          <w:p>
            <w:pPr>
              <w:jc w:val="left"/>
            </w:pPr>
            <w:r>
              <w:rPr/>
              <w:t>管理体系认证 (6.0分)</w:t>
            </w:r>
          </w:p>
        </w:tc>
        <w:tc>
          <w:tcPr>
            <w:tcW w:type="dxa" w:w="5076"/>
          </w:tcPr>
          <w:p>
            <w:pPr>
              <w:jc w:val="left"/>
            </w:pPr>
            <w:r>
              <w:rPr/>
              <w:t>本项目投标人同时满足以下条件的得6分，每提供一项有效证书得2分，最高得6分： （1）具有质量管理体系认证证书； （2）具有环境管理体系认证证书； （3）具有职业健康安全管理体系认证证书。 注：须提供有效证书复印件，及在“全国认证认可信息公共服务平台”（http://cx.cnca.cn）对体系证书的信息查询截图作为评审依据，已失效、撤销、暂停或不提供的不得分。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color w:val="666666"/>
          <w:sz w:val="27"/>
        </w:rPr>
        <w:t>合同文本</w:t>
      </w:r>
    </w:p>
    <w:p>
      <w:pPr>
        <w:ind w:firstLine="480"/>
        <w:jc w:val="center"/>
      </w:pPr>
      <w:r>
        <w:rPr>
          <w:b/>
          <w:sz w:val="24"/>
        </w:rPr>
        <w:t xml:space="preserve"> </w:t>
      </w:r>
    </w:p>
    <w:p>
      <w:pPr>
        <w:jc w:val="center"/>
      </w:pPr>
      <w:r>
        <w:rPr>
          <w:sz w:val="56"/>
        </w:rPr>
        <w:t>广州番禺职业技术学院</w:t>
      </w:r>
    </w:p>
    <w:p>
      <w:pPr>
        <w:jc w:val="center"/>
      </w:pPr>
      <w:r>
        <w:rPr>
          <w:color w:val="E74C3C"/>
          <w:sz w:val="24"/>
          <w:u w:val="single"/>
        </w:rPr>
        <w:t xml:space="preserve">                       </w:t>
      </w:r>
      <w:r>
        <w:rPr>
          <w:color w:val="E74C3C"/>
          <w:sz w:val="52"/>
          <w:u w:val="single"/>
        </w:rPr>
        <w:t>项目</w:t>
      </w:r>
    </w:p>
    <w:p>
      <w:pPr>
        <w:jc w:val="center"/>
      </w:pPr>
      <w:r>
        <w:rPr>
          <w:sz w:val="36"/>
        </w:rPr>
        <w:t>（项目编号：</w:t>
      </w:r>
      <w:r>
        <w:rPr>
          <w:color w:val="FF0000"/>
          <w:sz w:val="36"/>
        </w:rPr>
        <w:t>与中标通知书一致</w:t>
      </w:r>
      <w:r>
        <w:rPr>
          <w:sz w:val="36"/>
        </w:rPr>
        <w:t>）</w:t>
      </w:r>
    </w:p>
    <w:p>
      <w:pPr>
        <w:jc w:val="center"/>
      </w:pPr>
    </w:p>
    <w:p>
      <w:pPr>
        <w:jc w:val="center"/>
      </w:pPr>
      <w:r>
        <w:rPr>
          <w:b/>
          <w:sz w:val="52"/>
        </w:rPr>
        <w:t>合 同 书</w:t>
      </w:r>
    </w:p>
    <w:p>
      <w:pPr>
        <w:jc w:val="left"/>
      </w:pPr>
    </w:p>
    <w:p>
      <w:pPr>
        <w:jc w:val="left"/>
      </w:pPr>
    </w:p>
    <w:p>
      <w:pPr>
        <w:jc w:val="left"/>
      </w:pPr>
    </w:p>
    <w:p>
      <w:pPr>
        <w:ind w:firstLine="420"/>
        <w:jc w:val="left"/>
      </w:pPr>
      <w:r>
        <w:rPr>
          <w:sz w:val="28"/>
        </w:rPr>
        <w:t>甲方（采购人）：</w:t>
      </w:r>
      <w:r>
        <w:rPr>
          <w:sz w:val="28"/>
          <w:u w:val="single"/>
        </w:rPr>
        <w:t xml:space="preserve">   广州番禺职业技术学院    </w:t>
      </w:r>
    </w:p>
    <w:p>
      <w:pPr>
        <w:ind w:firstLine="420"/>
        <w:jc w:val="left"/>
      </w:pPr>
      <w:r>
        <w:rPr>
          <w:sz w:val="28"/>
        </w:rPr>
        <w:t>乙方（供应商）：</w:t>
      </w:r>
      <w:r>
        <w:rPr>
          <w:sz w:val="28"/>
          <w:u w:val="single"/>
        </w:rPr>
        <w:t xml:space="preserve">                            </w:t>
      </w:r>
    </w:p>
    <w:p>
      <w:pPr>
        <w:ind w:firstLine="420"/>
        <w:jc w:val="left"/>
      </w:pPr>
      <w:r>
        <w:rPr>
          <w:sz w:val="28"/>
        </w:rPr>
        <w:t>签  约  地  点：</w:t>
      </w:r>
      <w:r>
        <w:rPr>
          <w:sz w:val="28"/>
          <w:u w:val="single"/>
        </w:rPr>
        <w:t xml:space="preserve">      广州市番禺区        </w:t>
      </w:r>
    </w:p>
    <w:p>
      <w:pPr>
        <w:ind w:firstLine="420"/>
        <w:jc w:val="left"/>
      </w:pPr>
    </w:p>
    <w:p>
      <w:pPr>
        <w:ind w:firstLine="420"/>
        <w:jc w:val="left"/>
      </w:pPr>
    </w:p>
    <w:p>
      <w:pPr>
        <w:ind w:firstLine="420"/>
        <w:jc w:val="both"/>
      </w:pPr>
    </w:p>
    <w:p>
      <w:pPr>
        <w:jc w:val="both"/>
      </w:pPr>
      <w:r>
        <w:rPr>
          <w:b/>
          <w:color w:val="FF0000"/>
          <w:sz w:val="24"/>
        </w:rPr>
        <w:t>注：本合同模板中红色文字为参考提示，在合同草拟完成后，请删除。</w:t>
      </w:r>
    </w:p>
    <w:p/>
    <w:p/>
    <w:p>
      <w:pPr>
        <w:jc w:val="left"/>
      </w:pPr>
    </w:p>
    <w:p>
      <w:pPr>
        <w:ind w:firstLine="480"/>
        <w:jc w:val="center"/>
      </w:pPr>
    </w:p>
    <w:p>
      <w:pPr>
        <w:jc w:val="both"/>
      </w:pPr>
      <w:r>
        <w:rPr>
          <w:b/>
          <w:sz w:val="21"/>
        </w:rPr>
        <w:t>甲方（采购人）：</w:t>
      </w:r>
      <w:r>
        <w:rPr>
          <w:sz w:val="21"/>
        </w:rPr>
        <w:t>广州番禺职业技术学院</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地址：广东省广州市番禺区沙湾街市良路1342号</w:t>
      </w:r>
    </w:p>
    <w:p>
      <w:pPr>
        <w:jc w:val="both"/>
      </w:pPr>
    </w:p>
    <w:p>
      <w:pPr>
        <w:jc w:val="both"/>
      </w:pPr>
      <w:r>
        <w:rPr>
          <w:b/>
          <w:sz w:val="21"/>
        </w:rPr>
        <w:t xml:space="preserve">乙方（中标人）：                   </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ind w:firstLine="422"/>
        <w:jc w:val="both"/>
      </w:pPr>
      <w:r>
        <w:rPr>
          <w:b/>
          <w:sz w:val="21"/>
        </w:rPr>
        <w:t>一、清单内容</w:t>
      </w:r>
      <w:r>
        <w:rPr>
          <w:color w:val="FF0000"/>
          <w:sz w:val="21"/>
        </w:rPr>
        <w:t>（货物内容必须与投标文件一致。建议参照投标文件中“分项报价表”拟定）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19"/>
        <w:gridCol w:w="1132"/>
        <w:gridCol w:w="3457"/>
        <w:gridCol w:w="1055"/>
        <w:gridCol w:w="1055"/>
        <w:gridCol w:w="887"/>
      </w:tblGrid>
      <w:tr>
        <w:tc>
          <w:tcPr>
            <w:tcW w:type="dxa" w:w="719"/>
            <w:tcBorders>
              <w:top w:val="single" w:color="000000" w:sz="4"/>
              <w:left w:val="single" w:color="000000" w:sz="4"/>
              <w:bottom w:val="single" w:color="000000" w:sz="4"/>
              <w:right w:val="single" w:color="000000" w:sz="4"/>
            </w:tcBorders>
          </w:tcPr>
          <w:p>
            <w:pPr>
              <w:jc w:val="center"/>
            </w:pPr>
            <w:r>
              <w:rPr>
                <w:sz w:val="21"/>
              </w:rPr>
              <w:t>序号</w:t>
            </w:r>
          </w:p>
        </w:tc>
        <w:tc>
          <w:tcPr>
            <w:tcW w:type="dxa" w:w="1132"/>
            <w:tcBorders>
              <w:top w:val="single" w:color="000000" w:sz="4"/>
              <w:left w:val="none" w:color="000000" w:sz="4"/>
              <w:bottom w:val="single" w:color="000000" w:sz="4"/>
              <w:right w:val="single" w:color="000000" w:sz="4"/>
            </w:tcBorders>
          </w:tcPr>
          <w:p>
            <w:pPr>
              <w:jc w:val="center"/>
            </w:pPr>
            <w:r>
              <w:rPr>
                <w:sz w:val="21"/>
              </w:rPr>
              <w:t>货物名称</w:t>
            </w:r>
          </w:p>
        </w:tc>
        <w:tc>
          <w:tcPr>
            <w:tcW w:type="dxa" w:w="3457"/>
            <w:tcBorders>
              <w:top w:val="single" w:color="000000" w:sz="4"/>
              <w:left w:val="none" w:color="000000" w:sz="4"/>
              <w:bottom w:val="single" w:color="000000" w:sz="4"/>
              <w:right w:val="single" w:color="000000" w:sz="4"/>
            </w:tcBorders>
          </w:tcPr>
          <w:p>
            <w:pPr>
              <w:jc w:val="center"/>
            </w:pPr>
            <w:r>
              <w:rPr>
                <w:sz w:val="21"/>
              </w:rPr>
              <w:t>品牌、规格型号、配置（性能参数）</w:t>
            </w:r>
          </w:p>
        </w:tc>
        <w:tc>
          <w:tcPr>
            <w:tcW w:type="dxa" w:w="1055"/>
            <w:tcBorders>
              <w:top w:val="single" w:color="000000" w:sz="4"/>
              <w:left w:val="none" w:color="000000" w:sz="4"/>
              <w:bottom w:val="single" w:color="000000" w:sz="4"/>
              <w:right w:val="single" w:color="000000" w:sz="4"/>
            </w:tcBorders>
          </w:tcPr>
          <w:p>
            <w:pPr>
              <w:jc w:val="center"/>
            </w:pPr>
            <w:r>
              <w:rPr>
                <w:sz w:val="21"/>
              </w:rPr>
              <w:t>数量</w:t>
            </w:r>
          </w:p>
        </w:tc>
        <w:tc>
          <w:tcPr>
            <w:tcW w:type="dxa" w:w="1055"/>
            <w:tcBorders>
              <w:top w:val="single" w:color="000000" w:sz="4"/>
              <w:left w:val="none" w:color="000000" w:sz="4"/>
              <w:bottom w:val="none" w:color="000000" w:sz="4"/>
              <w:right w:val="single" w:color="000000" w:sz="4"/>
            </w:tcBorders>
          </w:tcPr>
          <w:p>
            <w:pPr>
              <w:jc w:val="center"/>
            </w:pPr>
            <w:r>
              <w:rPr>
                <w:sz w:val="21"/>
              </w:rPr>
              <w:t>单价(元)</w:t>
            </w:r>
          </w:p>
        </w:tc>
        <w:tc>
          <w:tcPr>
            <w:tcW w:type="dxa" w:w="887"/>
            <w:tcBorders>
              <w:top w:val="single" w:color="000000" w:sz="4"/>
              <w:left w:val="none" w:color="000000" w:sz="4"/>
              <w:bottom w:val="none" w:color="000000" w:sz="4"/>
              <w:right w:val="single" w:color="000000" w:sz="4"/>
            </w:tcBorders>
          </w:tcPr>
          <w:p>
            <w:pPr>
              <w:jc w:val="center"/>
            </w:pPr>
            <w:r>
              <w:rPr>
                <w:sz w:val="21"/>
              </w:rPr>
              <w:t>金额(元)</w:t>
            </w:r>
          </w:p>
        </w:tc>
      </w:tr>
      <w:tr>
        <w:tc>
          <w:tcPr>
            <w:tcW w:type="dxa" w:w="719"/>
            <w:tcBorders>
              <w:top w:val="none" w:color="000000" w:sz="4"/>
              <w:left w:val="single" w:color="000000" w:sz="4"/>
              <w:bottom w:val="single" w:color="000000" w:sz="4"/>
              <w:right w:val="single" w:color="000000" w:sz="4"/>
            </w:tcBorders>
          </w:tcPr>
          <w:p>
            <w:pPr>
              <w:jc w:val="center"/>
            </w:pPr>
            <w:r>
              <w:rPr>
                <w:sz w:val="21"/>
              </w:rPr>
              <w:t>1</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2</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3</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single" w:color="000000" w:sz="4"/>
              <w:right w:val="single" w:color="000000" w:sz="4"/>
            </w:tcBorders>
          </w:tcPr>
          <w:p>
            <w:pPr>
              <w:jc w:val="both"/>
            </w:pPr>
          </w:p>
        </w:tc>
        <w:tc>
          <w:tcPr>
            <w:tcW w:type="dxa" w:w="887"/>
            <w:tcBorders>
              <w:top w:val="single" w:color="000000" w:sz="4"/>
              <w:left w:val="none" w:color="000000" w:sz="4"/>
              <w:bottom w:val="single" w:color="000000" w:sz="4"/>
              <w:right w:val="single" w:color="000000" w:sz="4"/>
            </w:tcBorders>
          </w:tcPr>
          <w:p>
            <w:pPr>
              <w:jc w:val="both"/>
            </w:pPr>
          </w:p>
        </w:tc>
      </w:tr>
    </w:tbl>
    <w:p>
      <w:pPr>
        <w:ind w:firstLine="420"/>
        <w:jc w:val="both"/>
      </w:pPr>
    </w:p>
    <w:p>
      <w:pPr>
        <w:ind w:firstLine="422"/>
        <w:jc w:val="both"/>
      </w:pPr>
      <w:r>
        <w:rPr>
          <w:b/>
          <w:sz w:val="21"/>
        </w:rPr>
        <w:t>二、合同金额</w:t>
      </w:r>
    </w:p>
    <w:p>
      <w:pPr>
        <w:ind w:firstLine="420"/>
        <w:jc w:val="both"/>
      </w:pPr>
      <w:r>
        <w:rPr>
          <w:sz w:val="21"/>
        </w:rPr>
        <w:t>合同金额为人民币（大写）：_________________元整（￥_______________元）。</w:t>
      </w:r>
    </w:p>
    <w:p>
      <w:pPr>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ind w:firstLine="422"/>
        <w:jc w:val="both"/>
      </w:pPr>
      <w:r>
        <w:rPr>
          <w:b/>
          <w:sz w:val="21"/>
        </w:rPr>
        <w:t>三、</w:t>
      </w:r>
      <w:r>
        <w:rPr>
          <w:b/>
          <w:sz w:val="21"/>
        </w:rPr>
        <w:t>货物</w:t>
      </w:r>
      <w:r>
        <w:rPr>
          <w:b/>
          <w:sz w:val="21"/>
        </w:rPr>
        <w:t>要求</w:t>
      </w:r>
    </w:p>
    <w:p>
      <w:pPr>
        <w:ind w:firstLine="420"/>
        <w:jc w:val="both"/>
      </w:pPr>
      <w:r>
        <w:rPr>
          <w:sz w:val="21"/>
        </w:rPr>
        <w:t>1.</w:t>
      </w:r>
      <w:r>
        <w:rPr>
          <w:sz w:val="21"/>
        </w:rPr>
        <w:t>货物为全新产品，无侵权行为、表面无划损、无任何缺陷隐患，在中国境内可安全合法使用。</w:t>
      </w:r>
    </w:p>
    <w:p>
      <w:pPr>
        <w:ind w:firstLine="420"/>
        <w:jc w:val="both"/>
      </w:pPr>
      <w:r>
        <w:rPr>
          <w:sz w:val="21"/>
        </w:rPr>
        <w:t>2.</w:t>
      </w:r>
      <w:r>
        <w:rPr>
          <w:sz w:val="21"/>
        </w:rPr>
        <w:t>交付</w:t>
      </w:r>
      <w:r>
        <w:rPr>
          <w:sz w:val="21"/>
        </w:rPr>
        <w:t>验收标准的先后</w:t>
      </w:r>
      <w:r>
        <w:rPr>
          <w:sz w:val="21"/>
        </w:rPr>
        <w:t>次序为：</w:t>
      </w:r>
      <w:r>
        <w:rPr>
          <w:sz w:val="21"/>
        </w:rPr>
        <w:t>①符合采购文件和响应承诺中甲方认可、</w:t>
      </w:r>
      <w:r>
        <w:rPr>
          <w:sz w:val="21"/>
        </w:rPr>
        <w:t>且不低于</w:t>
      </w:r>
      <w:r>
        <w:rPr>
          <w:sz w:val="21"/>
        </w:rPr>
        <w:t>②的合理最佳配置、参数及各项要求；②符合中华人民共和国国家安全质量标准、环保标准或行业标准；③货物来源国官方标准。</w:t>
      </w:r>
    </w:p>
    <w:p>
      <w:pPr>
        <w:ind w:firstLine="420"/>
        <w:jc w:val="both"/>
      </w:pPr>
      <w:r>
        <w:rPr>
          <w:sz w:val="21"/>
        </w:rPr>
        <w:t>3.</w:t>
      </w:r>
      <w:r>
        <w:rPr>
          <w:sz w:val="21"/>
        </w:rPr>
        <w:t>货物为未启封全新包装，具出厂合格证，序列号、包装箱号与出厂批号一致，并可追索查阅。</w:t>
      </w:r>
    </w:p>
    <w:p>
      <w:pPr>
        <w:ind w:firstLine="420"/>
        <w:jc w:val="both"/>
      </w:pPr>
      <w:r>
        <w:rPr>
          <w:sz w:val="21"/>
        </w:rPr>
        <w:t>4.</w:t>
      </w:r>
      <w:r>
        <w:rPr>
          <w:sz w:val="21"/>
        </w:rPr>
        <w:t>乙方应将</w:t>
      </w:r>
      <w:r>
        <w:rPr>
          <w:sz w:val="21"/>
        </w:rPr>
        <w:t>关键货物</w:t>
      </w:r>
      <w:r>
        <w:rPr>
          <w:sz w:val="21"/>
        </w:rPr>
        <w:t>、核心产品的用户手册、保修手册、有关单证资料及配备件、随机工具等交付给甲方，使用操作及安全须知等重要资料应附有中文说明。</w:t>
      </w:r>
    </w:p>
    <w:p>
      <w:pPr>
        <w:ind w:firstLine="420"/>
        <w:jc w:val="both"/>
      </w:pPr>
      <w:r>
        <w:rPr>
          <w:sz w:val="21"/>
        </w:rPr>
        <w:t>5</w:t>
      </w:r>
      <w:r>
        <w:rPr>
          <w:sz w:val="21"/>
        </w:rPr>
        <w:t>.</w:t>
      </w:r>
      <w:r>
        <w:rPr>
          <w:sz w:val="21"/>
        </w:rPr>
        <w:t>其他要求：</w:t>
      </w:r>
      <w:r>
        <w:rPr>
          <w:sz w:val="21"/>
          <w:u w:val="single"/>
        </w:rPr>
        <w:t xml:space="preserve">               </w:t>
      </w:r>
      <w:r>
        <w:rPr>
          <w:sz w:val="21"/>
        </w:rPr>
        <w:t>。</w:t>
      </w:r>
    </w:p>
    <w:p>
      <w:pPr>
        <w:ind w:firstLine="422"/>
        <w:jc w:val="both"/>
      </w:pPr>
      <w:r>
        <w:rPr>
          <w:b/>
          <w:sz w:val="21"/>
        </w:rPr>
        <w:t>四、交货期、交货方式及交货地点</w:t>
      </w:r>
      <w:r>
        <w:rPr>
          <w:color w:val="FF0000"/>
          <w:sz w:val="21"/>
        </w:rPr>
        <w:t>（交货期、交货方式、交货地点均应与投标文件中响应条款一致。）</w:t>
      </w:r>
    </w:p>
    <w:p>
      <w:pPr>
        <w:ind w:firstLine="420"/>
        <w:jc w:val="both"/>
      </w:pPr>
      <w:r>
        <w:rPr>
          <w:sz w:val="21"/>
        </w:rPr>
        <w:t>1.</w:t>
      </w:r>
      <w:r>
        <w:rPr>
          <w:sz w:val="21"/>
        </w:rPr>
        <w:t xml:space="preserve">交货期：  </w:t>
      </w:r>
      <w:r>
        <w:rPr>
          <w:sz w:val="21"/>
        </w:rPr>
        <w:t>年</w:t>
      </w:r>
      <w:r>
        <w:rPr>
          <w:sz w:val="24"/>
        </w:rPr>
        <w:t xml:space="preserve">  </w:t>
      </w:r>
      <w:r>
        <w:rPr>
          <w:sz w:val="21"/>
        </w:rPr>
        <w:t>月</w:t>
      </w:r>
      <w:r>
        <w:rPr>
          <w:sz w:val="24"/>
        </w:rPr>
        <w:t xml:space="preserve">  </w:t>
      </w:r>
      <w:r>
        <w:rPr>
          <w:sz w:val="21"/>
        </w:rPr>
        <w:t>日之前交货，并</w:t>
      </w:r>
      <w:r>
        <w:rPr>
          <w:sz w:val="21"/>
        </w:rPr>
        <w:t>按</w:t>
      </w:r>
      <w:r>
        <w:rPr>
          <w:sz w:val="21"/>
        </w:rPr>
        <w:t>甲方</w:t>
      </w:r>
      <w:r>
        <w:rPr>
          <w:sz w:val="21"/>
        </w:rPr>
        <w:t>要求完成安装、调试及验收。</w:t>
      </w:r>
    </w:p>
    <w:p>
      <w:pPr>
        <w:ind w:firstLine="420"/>
        <w:jc w:val="both"/>
      </w:pPr>
      <w:r>
        <w:rPr>
          <w:sz w:val="21"/>
        </w:rPr>
        <w:t>2.</w:t>
      </w:r>
      <w:r>
        <w:rPr>
          <w:sz w:val="21"/>
        </w:rPr>
        <w:t>交货方式：详见采购（招标）文件要求。</w:t>
      </w:r>
    </w:p>
    <w:p>
      <w:pPr>
        <w:ind w:firstLine="420"/>
        <w:jc w:val="both"/>
      </w:pPr>
      <w:r>
        <w:rPr>
          <w:sz w:val="21"/>
        </w:rPr>
        <w:t>3.</w:t>
      </w:r>
      <w:r>
        <w:rPr>
          <w:sz w:val="21"/>
        </w:rPr>
        <w:t>交货地点：甲方指定地点。</w:t>
      </w:r>
    </w:p>
    <w:p>
      <w:pPr>
        <w:ind w:firstLine="422"/>
        <w:jc w:val="both"/>
      </w:pPr>
      <w:r>
        <w:rPr>
          <w:b/>
          <w:sz w:val="21"/>
        </w:rPr>
        <w:t>五、付款方式</w:t>
      </w:r>
      <w:r>
        <w:rPr>
          <w:color w:val="FF0000"/>
          <w:sz w:val="21"/>
        </w:rPr>
        <w:t>（付款方式中付款比例、付款时间必须与招、投标文件中约定一致。）</w:t>
      </w:r>
    </w:p>
    <w:p>
      <w:pPr>
        <w:ind w:firstLine="420"/>
        <w:jc w:val="both"/>
      </w:pPr>
      <w:r>
        <w:rPr>
          <w:sz w:val="21"/>
        </w:rPr>
        <w:t>1.</w:t>
      </w:r>
      <w:r>
        <w:rPr>
          <w:sz w:val="21"/>
        </w:rPr>
        <w:t>合同生效且财政资金到位后5个工作日内，甲方支付给乙方合同总价的</w:t>
      </w:r>
      <w:r>
        <w:rPr>
          <w:sz w:val="21"/>
          <w:u w:val="single"/>
        </w:rPr>
        <w:t xml:space="preserve">   %</w:t>
      </w:r>
      <w:r>
        <w:rPr>
          <w:sz w:val="21"/>
        </w:rPr>
        <w:t>。</w:t>
      </w:r>
    </w:p>
    <w:p>
      <w:pPr>
        <w:ind w:firstLine="420"/>
        <w:jc w:val="both"/>
      </w:pPr>
      <w:r>
        <w:rPr>
          <w:sz w:val="21"/>
        </w:rPr>
        <w:t>2.</w:t>
      </w:r>
      <w:r>
        <w:rPr>
          <w:sz w:val="21"/>
        </w:rPr>
        <w:t>乙方按约定供货及完成安装调试，并通过甲方验收合格后5个工作日内，甲方支付给乙方合同总价的</w:t>
      </w:r>
      <w:r>
        <w:rPr>
          <w:sz w:val="21"/>
          <w:u w:val="single"/>
        </w:rPr>
        <w:t xml:space="preserve">   %</w:t>
      </w:r>
      <w:r>
        <w:rPr>
          <w:sz w:val="21"/>
        </w:rPr>
        <w:t>；</w:t>
      </w:r>
    </w:p>
    <w:p>
      <w:pPr>
        <w:ind w:firstLine="420"/>
        <w:jc w:val="both"/>
      </w:pPr>
      <w:r>
        <w:rPr>
          <w:sz w:val="21"/>
        </w:rPr>
        <w:t>3.</w:t>
      </w:r>
      <w:r>
        <w:rPr>
          <w:sz w:val="21"/>
        </w:rPr>
        <w:t>其他约定的付款方式：                               。</w:t>
      </w:r>
    </w:p>
    <w:p>
      <w:pPr>
        <w:ind w:firstLine="420"/>
        <w:jc w:val="both"/>
      </w:pPr>
      <w:r>
        <w:rPr>
          <w:sz w:val="21"/>
        </w:rPr>
        <w:t>4.</w:t>
      </w:r>
      <w:r>
        <w:rPr>
          <w:sz w:val="21"/>
        </w:rPr>
        <w:t>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ind w:firstLine="422"/>
        <w:jc w:val="both"/>
      </w:pPr>
      <w:r>
        <w:rPr>
          <w:b/>
          <w:sz w:val="21"/>
        </w:rPr>
        <w:t>六、安装与调试</w:t>
      </w:r>
    </w:p>
    <w:p>
      <w:pPr>
        <w:ind w:firstLine="420"/>
        <w:jc w:val="both"/>
      </w:pPr>
      <w:r>
        <w:rPr>
          <w:sz w:val="21"/>
        </w:rPr>
        <w:t>乙方必须依照采购文件的要求和投标文件的承诺，将</w:t>
      </w:r>
      <w:r>
        <w:rPr>
          <w:sz w:val="21"/>
        </w:rPr>
        <w:t>货物</w:t>
      </w:r>
      <w:r>
        <w:rPr>
          <w:sz w:val="21"/>
        </w:rPr>
        <w:t>安装并调试至正常运行的最佳状态。</w:t>
      </w:r>
    </w:p>
    <w:p>
      <w:pPr>
        <w:ind w:firstLine="422"/>
        <w:jc w:val="both"/>
      </w:pPr>
      <w:r>
        <w:rPr>
          <w:b/>
          <w:sz w:val="21"/>
        </w:rPr>
        <w:t>七、验收</w:t>
      </w:r>
    </w:p>
    <w:p>
      <w:pPr>
        <w:ind w:firstLine="420"/>
        <w:jc w:val="both"/>
      </w:pPr>
      <w:r>
        <w:rPr>
          <w:sz w:val="21"/>
        </w:rPr>
        <w:t>1.</w:t>
      </w:r>
      <w:r>
        <w:rPr>
          <w:sz w:val="21"/>
        </w:rPr>
        <w:t>验收步骤和具体验收要求如下：</w:t>
      </w:r>
    </w:p>
    <w:p>
      <w:pPr>
        <w:ind w:firstLine="420"/>
        <w:jc w:val="both"/>
      </w:pPr>
      <w:r>
        <w:rPr>
          <w:sz w:val="21"/>
        </w:rPr>
        <w:t>（1）</w:t>
      </w:r>
    </w:p>
    <w:p>
      <w:pPr>
        <w:ind w:firstLine="420"/>
        <w:jc w:val="both"/>
      </w:pPr>
      <w:r>
        <w:rPr>
          <w:sz w:val="21"/>
        </w:rPr>
        <w:t>（2）</w:t>
      </w:r>
    </w:p>
    <w:p>
      <w:pPr>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ind w:firstLine="422"/>
        <w:jc w:val="both"/>
      </w:pPr>
      <w:r>
        <w:rPr>
          <w:b/>
          <w:sz w:val="21"/>
        </w:rPr>
        <w:t>八、质保期及售后服务要求</w:t>
      </w:r>
      <w:r>
        <w:rPr>
          <w:color w:val="FF0000"/>
          <w:sz w:val="21"/>
        </w:rPr>
        <w:t>（根据投标文件中“商务条款响应”内容和售后服务详细条款拟定）</w:t>
      </w:r>
    </w:p>
    <w:p>
      <w:pPr>
        <w:ind w:firstLine="420"/>
        <w:jc w:val="left"/>
      </w:pPr>
      <w:r>
        <w:rPr>
          <w:sz w:val="21"/>
        </w:rPr>
        <w:t>1.</w:t>
      </w:r>
      <w:r>
        <w:rPr>
          <w:sz w:val="21"/>
        </w:rPr>
        <w:t>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年质量保证期，（若国家和/或生产厂家对本项目所涉及货物的质量保证期的规定高于本项目的要求，应按国家和/或生产厂家的规定履行）。</w:t>
      </w:r>
    </w:p>
    <w:p>
      <w:pPr>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60天则质保期重新计算。</w:t>
      </w:r>
    </w:p>
    <w:p>
      <w:pPr>
        <w:ind w:firstLine="420"/>
        <w:jc w:val="both"/>
      </w:pPr>
      <w:r>
        <w:rPr>
          <w:sz w:val="21"/>
        </w:rPr>
        <w:t>2.</w:t>
      </w:r>
      <w:r>
        <w:rPr>
          <w:sz w:val="21"/>
        </w:rPr>
        <w:t>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p>
    <w:p>
      <w:pPr>
        <w:ind w:firstLine="420"/>
        <w:jc w:val="both"/>
      </w:pPr>
      <w:r>
        <w:rPr>
          <w:sz w:val="21"/>
        </w:rPr>
        <w:t>3.</w:t>
      </w:r>
      <w:r>
        <w:rPr>
          <w:sz w:val="21"/>
        </w:rPr>
        <w:t>质保期内</w:t>
      </w:r>
      <w:r>
        <w:rPr>
          <w:sz w:val="21"/>
        </w:rPr>
        <w:t>乙方</w:t>
      </w:r>
      <w:r>
        <w:rPr>
          <w:sz w:val="21"/>
        </w:rPr>
        <w:t>提供上门免费服务，在质保期内设置7×24小时技术支持热线电话（固话、手机）。保证在接到故障电话后响应时间小于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ind w:firstLine="420"/>
        <w:jc w:val="both"/>
      </w:pPr>
      <w:r>
        <w:rPr>
          <w:sz w:val="21"/>
        </w:rPr>
        <w:t>4.</w:t>
      </w:r>
      <w:r>
        <w:rPr>
          <w:sz w:val="21"/>
        </w:rPr>
        <w:t>其他要求：按采购文件与投标文件商定</w:t>
      </w:r>
    </w:p>
    <w:p>
      <w:pPr>
        <w:ind w:firstLine="422"/>
        <w:jc w:val="both"/>
      </w:pPr>
      <w:r>
        <w:rPr>
          <w:b/>
          <w:sz w:val="21"/>
        </w:rPr>
        <w:t>九、</w:t>
      </w:r>
      <w:r>
        <w:rPr>
          <w:b/>
          <w:sz w:val="21"/>
        </w:rPr>
        <w:t>违约责任与赔偿损失</w:t>
      </w:r>
    </w:p>
    <w:p>
      <w:pPr>
        <w:ind w:firstLine="420"/>
        <w:jc w:val="both"/>
      </w:pPr>
      <w:r>
        <w:rPr>
          <w:sz w:val="21"/>
        </w:rPr>
        <w:t>1.</w:t>
      </w:r>
      <w:r>
        <w:rPr>
          <w:sz w:val="21"/>
        </w:rPr>
        <w:t>如乙方交付的货物、工程/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ind w:firstLine="420"/>
        <w:jc w:val="both"/>
      </w:pPr>
      <w:r>
        <w:rPr>
          <w:sz w:val="21"/>
        </w:rPr>
        <w:t>2.</w:t>
      </w:r>
      <w:r>
        <w:rPr>
          <w:sz w:val="21"/>
        </w:rPr>
        <w:t>乙方未能按本合同规定的交货时间交付货物的/提供服务，从逾期之日起每日按本合同总价3‰的数额向甲方支付违约金，违约金累计总额不超过合同总价的5%；逾期半个月（</w:t>
      </w:r>
      <w:r>
        <w:rPr>
          <w:sz w:val="21"/>
        </w:rPr>
        <w:t>含本数</w:t>
      </w:r>
      <w:r>
        <w:rPr>
          <w:sz w:val="21"/>
        </w:rPr>
        <w:t>）以上的，甲方有权</w:t>
      </w:r>
      <w:r>
        <w:rPr>
          <w:sz w:val="21"/>
        </w:rPr>
        <w:t>单方解除本</w:t>
      </w:r>
      <w:r>
        <w:rPr>
          <w:sz w:val="21"/>
        </w:rPr>
        <w:t>合同，由此造成的甲方经济损失（包括但不限于直接损失、诉讼费/仲裁费、律师费等）由乙方承担。</w:t>
      </w:r>
    </w:p>
    <w:p>
      <w:pPr>
        <w:ind w:firstLine="420"/>
        <w:jc w:val="both"/>
      </w:pPr>
      <w:r>
        <w:rPr>
          <w:sz w:val="21"/>
        </w:rPr>
        <w:t>3.</w:t>
      </w:r>
      <w:r>
        <w:rPr>
          <w:sz w:val="21"/>
        </w:rPr>
        <w:t>甲方无正当理由拒收货物/接受服务，甲方向乙方偿付本合同总价5%的违约金。甲方逾期付款，则每日按本合同总价的3‰向乙方偿付违约金，违约金累计总额不超过欠款总价的5%。</w:t>
      </w:r>
    </w:p>
    <w:p>
      <w:pPr>
        <w:ind w:firstLine="420"/>
        <w:jc w:val="both"/>
      </w:pPr>
      <w:r>
        <w:rPr>
          <w:sz w:val="21"/>
        </w:rPr>
        <w:t>4</w:t>
      </w:r>
      <w:r>
        <w:rPr>
          <w:sz w:val="21"/>
        </w:rPr>
        <w:t>.</w:t>
      </w:r>
      <w:r>
        <w:rPr>
          <w:sz w:val="21"/>
        </w:rPr>
        <w:t>其它违约责任按《中华人民共和国民法典》处理。</w:t>
      </w:r>
    </w:p>
    <w:p>
      <w:pPr>
        <w:ind w:firstLine="422"/>
        <w:jc w:val="both"/>
      </w:pPr>
      <w:r>
        <w:rPr>
          <w:b/>
          <w:sz w:val="21"/>
        </w:rPr>
        <w:t>十、争议解决</w:t>
      </w:r>
      <w:r>
        <w:rPr>
          <w:b/>
          <w:sz w:val="21"/>
        </w:rPr>
        <w:t>方式及通知送达</w:t>
      </w:r>
    </w:p>
    <w:p>
      <w:pPr>
        <w:ind w:firstLine="420"/>
        <w:jc w:val="both"/>
      </w:pPr>
      <w:r>
        <w:rPr>
          <w:sz w:val="21"/>
        </w:rPr>
        <w:t>1.</w:t>
      </w:r>
      <w:r>
        <w:rPr>
          <w:sz w:val="21"/>
        </w:rPr>
        <w:t>合同履行过程中发生的任何争议，如双方不能通过友好协商解决，应将争议提交至甲方所在地的人民法院诉讼解决。</w:t>
      </w:r>
    </w:p>
    <w:p>
      <w:pPr>
        <w:ind w:firstLine="420"/>
        <w:jc w:val="both"/>
      </w:pPr>
      <w:r>
        <w:rPr>
          <w:sz w:val="21"/>
        </w:rPr>
        <w:t>2.</w:t>
      </w:r>
      <w:r>
        <w:rPr>
          <w:sz w:val="21"/>
        </w:rPr>
        <w:t>任何一方因履行本合同而相互发出或者提供的所有通知、文件、材料，均以本合同所列明的地址送达，一方迁址或者变更联系方式的，应提前三</w:t>
      </w:r>
      <w:r>
        <w:rPr>
          <w:sz w:val="21"/>
        </w:rPr>
        <w:t>天</w:t>
      </w:r>
      <w:r>
        <w:rPr>
          <w:sz w:val="21"/>
        </w:rPr>
        <w:t>书面通知对方。否则，因联系方式错误致使无法送达而造成的不利后果均由未通知方承担</w:t>
      </w:r>
      <w:r>
        <w:rPr>
          <w:sz w:val="21"/>
        </w:rPr>
        <w:t>。</w:t>
      </w:r>
    </w:p>
    <w:p>
      <w:pPr>
        <w:ind w:firstLine="422"/>
        <w:jc w:val="both"/>
      </w:pPr>
      <w:r>
        <w:rPr>
          <w:b/>
          <w:sz w:val="21"/>
        </w:rPr>
        <w:t>十一、不可抗力</w:t>
      </w:r>
    </w:p>
    <w:p>
      <w:pPr>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日内以书面形式（加盖公章）向对方通报，以减轻可能给对方造成的损失，在取得有关机构的不可抗力证明或双方谅解确认后，允许延期履行或变更合同，并根据情况可部分或全部免于承担违约责任。</w:t>
      </w:r>
    </w:p>
    <w:p>
      <w:pPr>
        <w:ind w:firstLine="422"/>
        <w:jc w:val="both"/>
      </w:pPr>
      <w:r>
        <w:rPr>
          <w:b/>
          <w:sz w:val="21"/>
        </w:rPr>
        <w:t>十二、税费</w:t>
      </w:r>
    </w:p>
    <w:p>
      <w:pPr>
        <w:ind w:firstLine="420"/>
        <w:jc w:val="both"/>
      </w:pPr>
      <w:r>
        <w:rPr>
          <w:sz w:val="21"/>
        </w:rPr>
        <w:t>在中国境内、外发生的与本合同履行有关的一切税费均由乙方负担。</w:t>
      </w:r>
    </w:p>
    <w:p>
      <w:pPr>
        <w:ind w:firstLine="422"/>
        <w:jc w:val="both"/>
      </w:pPr>
      <w:r>
        <w:rPr>
          <w:b/>
          <w:sz w:val="21"/>
        </w:rPr>
        <w:t>十三、其它</w:t>
      </w:r>
    </w:p>
    <w:p>
      <w:pPr>
        <w:ind w:firstLine="420"/>
        <w:jc w:val="both"/>
      </w:pPr>
      <w:r>
        <w:rPr>
          <w:sz w:val="21"/>
        </w:rPr>
        <w:t>1.</w:t>
      </w:r>
      <w:r>
        <w:rPr>
          <w:sz w:val="21"/>
        </w:rPr>
        <w:t>本合同所有附件、采购文件、投标文件、中标通知书通知书均为合同的有效组成部分。</w:t>
      </w:r>
    </w:p>
    <w:p>
      <w:pPr>
        <w:ind w:firstLine="420"/>
        <w:jc w:val="both"/>
      </w:pPr>
      <w:r>
        <w:rPr>
          <w:sz w:val="21"/>
        </w:rPr>
        <w:t>2.</w:t>
      </w:r>
      <w:r>
        <w:rPr>
          <w:sz w:val="21"/>
        </w:rPr>
        <w:t>在履行本合同的过程中，所有经双方签署确认的文件（包括会议纪要、补充协议、往来信函）即成为本合同的有效组成部分。</w:t>
      </w:r>
    </w:p>
    <w:p>
      <w:pPr>
        <w:ind w:firstLine="420"/>
        <w:jc w:val="both"/>
      </w:pPr>
      <w:r>
        <w:rPr>
          <w:sz w:val="21"/>
        </w:rPr>
        <w:t>3.</w:t>
      </w:r>
      <w:r>
        <w:rPr>
          <w:sz w:val="21"/>
        </w:rPr>
        <w:t>甲</w:t>
      </w:r>
      <w:r>
        <w:rPr>
          <w:sz w:val="21"/>
        </w:rPr>
        <w:t>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ind w:firstLine="420"/>
        <w:jc w:val="both"/>
      </w:pPr>
      <w:r>
        <w:rPr>
          <w:sz w:val="21"/>
        </w:rPr>
        <w:t>4.</w:t>
      </w:r>
      <w:r>
        <w:rPr>
          <w:sz w:val="21"/>
        </w:rPr>
        <w:t>乙方账户信息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ind w:firstLine="422"/>
        <w:jc w:val="both"/>
      </w:pPr>
      <w:r>
        <w:rPr>
          <w:b/>
          <w:sz w:val="21"/>
        </w:rPr>
        <w:t>十四、合同生效</w:t>
      </w:r>
    </w:p>
    <w:p>
      <w:pPr>
        <w:ind w:firstLine="420"/>
        <w:jc w:val="both"/>
      </w:pPr>
      <w:r>
        <w:rPr>
          <w:sz w:val="21"/>
        </w:rPr>
        <w:t>1.</w:t>
      </w:r>
      <w:r>
        <w:rPr>
          <w:sz w:val="21"/>
        </w:rPr>
        <w:t>本合同在甲乙双方法定代表人或其授权代表签字盖章后生效。</w:t>
      </w:r>
    </w:p>
    <w:p>
      <w:pPr>
        <w:ind w:firstLine="420"/>
        <w:jc w:val="both"/>
      </w:pPr>
      <w:r>
        <w:rPr>
          <w:sz w:val="21"/>
        </w:rPr>
        <w:t>2.</w:t>
      </w:r>
      <w:r>
        <w:rPr>
          <w:sz w:val="21"/>
        </w:rPr>
        <w:t>合同一式</w:t>
      </w:r>
      <w:r>
        <w:rPr>
          <w:sz w:val="21"/>
          <w:u w:val="single"/>
        </w:rPr>
        <w:t xml:space="preserve">    </w:t>
      </w:r>
      <w:r>
        <w:rPr>
          <w:sz w:val="21"/>
        </w:rPr>
        <w:t>份，甲方执</w:t>
      </w:r>
      <w:r>
        <w:rPr>
          <w:sz w:val="21"/>
          <w:u w:val="single"/>
        </w:rPr>
        <w:t>3</w:t>
      </w:r>
      <w:r>
        <w:rPr>
          <w:sz w:val="21"/>
        </w:rPr>
        <w:t>份，乙方执</w:t>
      </w:r>
      <w:r>
        <w:rPr>
          <w:sz w:val="21"/>
          <w:u w:val="single"/>
        </w:rPr>
        <w:t xml:space="preserve">  </w:t>
      </w:r>
      <w:r>
        <w:rPr>
          <w:sz w:val="21"/>
        </w:rPr>
        <w:t>份。</w:t>
      </w:r>
    </w:p>
    <w:p>
      <w:pPr>
        <w:ind w:firstLine="422"/>
        <w:jc w:val="both"/>
      </w:pPr>
      <w:r>
        <w:rPr>
          <w:b/>
          <w:sz w:val="21"/>
        </w:rPr>
        <w:t>（</w:t>
      </w:r>
      <w:r>
        <w:rPr>
          <w:b/>
          <w:sz w:val="21"/>
        </w:rPr>
        <w:t>以下无正文</w:t>
      </w:r>
      <w:r>
        <w:rPr>
          <w:b/>
          <w:sz w:val="21"/>
        </w:rPr>
        <w:t>）</w:t>
      </w:r>
    </w:p>
    <w:p>
      <w:pPr>
        <w:ind w:firstLine="420"/>
        <w:jc w:val="both"/>
      </w:pPr>
    </w:p>
    <w:p>
      <w:pPr>
        <w:ind w:firstLine="420"/>
        <w:jc w:val="both"/>
      </w:pPr>
    </w:p>
    <w:p>
      <w:pPr>
        <w:ind w:firstLine="420"/>
        <w:jc w:val="both"/>
      </w:pPr>
    </w:p>
    <w:p>
      <w:pPr>
        <w:jc w:val="both"/>
      </w:pPr>
      <w:r>
        <w:rPr>
          <w:b/>
          <w:sz w:val="21"/>
        </w:rPr>
        <w:t>甲方（盖章）：</w:t>
      </w:r>
      <w:r>
        <w:rPr>
          <w:sz w:val="21"/>
        </w:rPr>
        <w:t xml:space="preserve">广州番禺职业技术学院       </w:t>
      </w:r>
      <w:r>
        <w:rPr>
          <w:b/>
          <w:sz w:val="21"/>
        </w:rPr>
        <w:t>乙方（盖章）：</w:t>
      </w:r>
    </w:p>
    <w:p>
      <w:pPr>
        <w:jc w:val="both"/>
      </w:pPr>
      <w:r>
        <w:rPr>
          <w:sz w:val="21"/>
        </w:rPr>
        <w:t>法定代表人/授权代表：                    法定代表人/授权代表：</w:t>
      </w:r>
    </w:p>
    <w:p>
      <w:pPr>
        <w:jc w:val="both"/>
      </w:pPr>
      <w:r>
        <w:rPr>
          <w:sz w:val="21"/>
        </w:rPr>
        <w:t>签</w:t>
      </w:r>
      <w:r>
        <w:rPr>
          <w:sz w:val="21"/>
        </w:rPr>
        <w:t>订</w:t>
      </w:r>
      <w:r>
        <w:rPr>
          <w:sz w:val="21"/>
        </w:rPr>
        <w:t>日期：   年   月   日                签</w:t>
      </w:r>
      <w:r>
        <w:rPr>
          <w:sz w:val="21"/>
        </w:rPr>
        <w:t>订</w:t>
      </w:r>
      <w:r>
        <w:rPr>
          <w:sz w:val="21"/>
        </w:rPr>
        <w:t xml:space="preserve">日期：    年   月    日  </w:t>
      </w:r>
      <w:r>
        <w:rPr>
          <w:sz w:val="24"/>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440101-2023-22250</w:t>
      </w:r>
    </w:p>
    <w:p>
      <w:pPr>
        <w:jc w:val="center"/>
      </w:pPr>
      <w:r>
        <w:rPr>
          <w:b/>
          <w:sz w:val="24"/>
        </w:rPr>
        <w:t>采购项目编号：</w:t>
      </w:r>
      <w:r>
        <w:rPr>
          <w:b/>
          <w:sz w:val="24"/>
        </w:rPr>
        <w:t>440101-2023-22250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广州番禺职业技术学院珠宝学院实训室升级改造项目——首饰设计与工艺专业实训室升级（进口）</w:t>
      </w:r>
      <w:r>
        <w:rPr>
          <w:u w:val="single"/>
        </w:rPr>
        <w:t>”</w:t>
      </w:r>
      <w:r>
        <w:rPr/>
        <w:t>项目的招标[采购项目编号为：</w:t>
      </w:r>
      <w:r>
        <w:rPr>
          <w:u w:val="single"/>
        </w:rPr>
        <w:t>440101-2023-22250</w:t>
      </w:r>
      <w:r>
        <w:rPr/>
        <w:t>]，我方愿参与投标。</w:t>
      </w:r>
    </w:p>
    <w:p>
      <w:pPr>
        <w:ind w:firstLine="480"/>
      </w:pPr>
      <w:r>
        <w:rPr/>
        <w:t>我方确认收到贵方提供的</w:t>
      </w:r>
      <w:r>
        <w:rPr>
          <w:u w:val="single"/>
        </w:rPr>
        <w:t>“</w:t>
      </w:r>
      <w:r>
        <w:rPr>
          <w:u w:val="single"/>
        </w:rPr>
        <w:t>广州番禺职业技术学院珠宝学院实训室升级改造项目——首饰设计与工艺专业实训室升级（进口）</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广州番禺职业技术学院珠宝学院实训室升级改造项目——首饰设计与工艺专业实训室升级（进口）</w:t>
      </w:r>
      <w:r>
        <w:rPr/>
        <w:t>”项目采购[采购项目编号为</w:t>
      </w:r>
      <w:r>
        <w:rPr/>
        <w:t>440101-2023-22250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广州番禺职业技术学院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广州番禺职业技术学院珠宝学院实训室升级改造项目——首饰设计与工艺专业实训室升级（进口）</w:t>
      </w:r>
      <w:r>
        <w:rPr/>
        <w:t>招标中获中标（采购项目编号：</w:t>
      </w:r>
      <w:r>
        <w:rPr/>
        <w:t>440101-2023-22250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