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440001-2023-00215</w:t>
      </w:r>
    </w:p>
    <w:p>
      <w:pPr>
        <w:jc w:val="center"/>
      </w:pPr>
      <w:r>
        <w:rPr>
          <w:b/>
          <w:sz w:val="24"/>
        </w:rPr>
        <w:t>采购项目编号：</w:t>
      </w:r>
      <w:r>
        <w:rPr>
          <w:b/>
          <w:sz w:val="24"/>
        </w:rPr>
        <w:t>440001-2023-00215</w:t>
      </w:r>
    </w:p>
    <w:p>
      <w:pPr>
        <w:jc w:val="center"/>
      </w:pPr>
      <w:r>
        <w:rPr>
          <w:b/>
          <w:sz w:val="24"/>
        </w:rPr>
        <w:t>项目名称：</w:t>
      </w:r>
      <w:r>
        <w:rPr>
          <w:b/>
          <w:sz w:val="24"/>
        </w:rPr>
        <w:t>超高效液相色谱仪等设备一批</w:t>
      </w:r>
    </w:p>
    <w:p>
      <w:pPr>
        <w:jc w:val="center"/>
      </w:pPr>
      <w:r>
        <w:rPr>
          <w:b/>
          <w:sz w:val="24"/>
        </w:rPr>
        <w:t>采购人：</w:t>
      </w:r>
      <w:r>
        <w:rPr>
          <w:b/>
          <w:sz w:val="24"/>
        </w:rPr>
        <w:t>广州中医药大学</w:t>
      </w:r>
    </w:p>
    <w:p>
      <w:pPr>
        <w:jc w:val="center"/>
      </w:pPr>
      <w:r>
        <w:rPr>
          <w:b/>
          <w:sz w:val="24"/>
        </w:rPr>
        <w:t>采购代理机构：</w:t>
      </w:r>
      <w:r>
        <w:rPr>
          <w:b/>
          <w:sz w:val="24"/>
        </w:rPr>
        <w:t>广东志正招标有限公司</w:t>
      </w:r>
    </w:p>
    <w:p>
      <w:pPr>
        <w:ind w:firstLine="480"/>
      </w:pPr>
    </w:p>
    <w:p>
      <w:r>
        <w:rPr/>
        <w:t xml:space="preserve"> </w:t>
      </w:r>
    </w:p>
    <w:p/>
    <w:p>
      <w:pPr>
        <w:jc w:val="center"/>
      </w:pPr>
      <w:r>
        <w:rPr>
          <w:b/>
          <w:sz w:val="36"/>
        </w:rPr>
        <w:t>第一章投标邀请</w:t>
      </w:r>
    </w:p>
    <w:p>
      <w:pPr>
        <w:ind w:firstLine="480"/>
      </w:pPr>
      <w:r>
        <w:rPr/>
        <w:t>广东志正招标有限公司</w:t>
      </w:r>
      <w:r>
        <w:rPr/>
        <w:t>受</w:t>
      </w:r>
      <w:r>
        <w:rPr/>
        <w:t>广州中医药大学</w:t>
      </w:r>
      <w:r>
        <w:rPr/>
        <w:t>的委托，采用</w:t>
      </w:r>
      <w:r>
        <w:rPr/>
        <w:t>公开招标</w:t>
      </w:r>
      <w:r>
        <w:rPr/>
        <w:t>方式组织采购</w:t>
      </w:r>
      <w:r>
        <w:rPr/>
        <w:t>超高效液相色谱仪等设备一批</w:t>
      </w:r>
      <w:r>
        <w:rPr/>
        <w:t>。欢迎符合资格条件的国内供应商参加投标。</w:t>
      </w:r>
    </w:p>
    <w:p>
      <w:r>
        <w:rPr>
          <w:b/>
          <w:sz w:val="28"/>
        </w:rPr>
        <w:t>一.项目概述</w:t>
      </w:r>
    </w:p>
    <w:p>
      <w:r>
        <w:rPr>
          <w:b/>
          <w:sz w:val="24"/>
        </w:rPr>
        <w:t>1.名称与编号</w:t>
      </w:r>
    </w:p>
    <w:p>
      <w:pPr>
        <w:ind w:firstLine="480"/>
      </w:pPr>
      <w:r>
        <w:rPr/>
        <w:t>项目名称：</w:t>
      </w:r>
      <w:r>
        <w:rPr/>
        <w:t>超高效液相色谱仪等设备一批</w:t>
      </w:r>
    </w:p>
    <w:p>
      <w:pPr>
        <w:ind w:firstLine="480"/>
      </w:pPr>
      <w:r>
        <w:rPr/>
        <w:t>采购计划编号：</w:t>
      </w:r>
      <w:r>
        <w:rPr/>
        <w:t>440001-2023-00215</w:t>
      </w:r>
    </w:p>
    <w:p>
      <w:pPr>
        <w:ind w:firstLine="480"/>
      </w:pPr>
      <w:r>
        <w:rPr/>
        <w:t>采购项目编号：</w:t>
      </w:r>
      <w:r>
        <w:rPr/>
        <w:t>440001-2023-00215</w:t>
      </w:r>
    </w:p>
    <w:p>
      <w:pPr>
        <w:ind w:firstLine="480"/>
      </w:pPr>
      <w:r>
        <w:rPr/>
        <w:t>采购方式：</w:t>
      </w:r>
      <w:r>
        <w:rPr/>
        <w:t>公开招标</w:t>
      </w:r>
    </w:p>
    <w:p>
      <w:pPr>
        <w:ind w:firstLine="480"/>
      </w:pPr>
      <w:r>
        <w:rPr/>
        <w:t>预算金额：</w:t>
      </w:r>
      <w:r>
        <w:rPr/>
        <w:t>8,000,000.00</w:t>
      </w:r>
      <w:r>
        <w:rPr/>
        <w:t>元</w:t>
      </w:r>
    </w:p>
    <w:p>
      <w:r>
        <w:rPr>
          <w:b/>
          <w:sz w:val="24"/>
        </w:rPr>
        <w:t>2.项目内容及需求情况（采购项目技术规格、参数及要求）</w:t>
      </w:r>
    </w:p>
    <w:p>
      <w:pPr>
        <w:ind w:firstLine="480"/>
      </w:pPr>
    </w:p>
    <w:p/>
    <w:p>
      <w:r>
        <w:rPr/>
        <w:t>采购包1(超高效液相色谱-四极杆飞行时间质谱联用仪):</w:t>
      </w:r>
    </w:p>
    <w:p>
      <w:r>
        <w:rPr/>
        <w:t>采购包预算金额：2,900,000.00元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其他专用仪器仪表</w:t>
            </w:r>
          </w:p>
        </w:tc>
        <w:tc>
          <w:tcPr>
            <w:tcW w:type="dxa" w:w="2136"/>
          </w:tcPr>
          <w:p>
            <w:r>
              <w:rPr/>
              <w:t>超高效液相色谱-四极杆飞行时间质谱联用仪</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合同履行期限：按采购人指定的合同履行期限。</w:t>
      </w:r>
    </w:p>
    <w:p/>
    <w:p>
      <w:r>
        <w:rPr/>
        <w:t>采购包2(数字病理切片扫描系统):</w:t>
      </w:r>
    </w:p>
    <w:p>
      <w:r>
        <w:rPr/>
        <w:t>采购包预算金额：1,420,000.00元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其他专用仪器仪表</w:t>
            </w:r>
          </w:p>
        </w:tc>
        <w:tc>
          <w:tcPr>
            <w:tcW w:type="dxa" w:w="2136"/>
          </w:tcPr>
          <w:p>
            <w:r>
              <w:rPr/>
              <w:t>数字病理扫描仪</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2-2</w:t>
            </w:r>
          </w:p>
        </w:tc>
        <w:tc>
          <w:tcPr>
            <w:tcW w:type="dxa" w:w="1424"/>
          </w:tcPr>
          <w:p>
            <w:r>
              <w:rPr/>
              <w:t>其他专用仪器仪表</w:t>
            </w:r>
          </w:p>
        </w:tc>
        <w:tc>
          <w:tcPr>
            <w:tcW w:type="dxa" w:w="2136"/>
          </w:tcPr>
          <w:p>
            <w:r>
              <w:rPr/>
              <w:t>数字病理切片扫描系统（其他设备）</w:t>
            </w:r>
          </w:p>
        </w:tc>
        <w:tc>
          <w:tcPr>
            <w:tcW w:type="dxa" w:w="1187"/>
          </w:tcPr>
          <w:p>
            <w:r>
              <w:rPr/>
              <w:t>1.0000(批)</w:t>
            </w:r>
          </w:p>
        </w:tc>
        <w:tc>
          <w:tcPr>
            <w:tcW w:type="dxa" w:w="1187"/>
          </w:tcPr>
          <w:p>
            <w:r>
              <w:rPr/>
              <w:t>详见第二章</w:t>
            </w:r>
          </w:p>
        </w:tc>
        <w:tc>
          <w:tcPr>
            <w:tcW w:type="dxa" w:w="1187"/>
          </w:tcPr>
          <w:p>
            <w:r>
              <w:rPr/>
              <w:t>是</w:t>
            </w:r>
          </w:p>
        </w:tc>
      </w:tr>
    </w:tbl>
    <w:p/>
    <w:p>
      <w:r>
        <w:rPr/>
        <w:t>本采购包不接受联合体投标</w:t>
      </w:r>
    </w:p>
    <w:p/>
    <w:p>
      <w:r>
        <w:rPr/>
        <w:t>合同履行期限：按采购人指定的合同履行期限。</w:t>
      </w:r>
    </w:p>
    <w:p/>
    <w:p>
      <w:r>
        <w:rPr/>
        <w:t>采购包3(荧光定量PCR仪):</w:t>
      </w:r>
    </w:p>
    <w:p>
      <w:r>
        <w:rPr/>
        <w:t>采购包预算金额：490,000.00元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其他专用仪器仪表</w:t>
            </w:r>
          </w:p>
        </w:tc>
        <w:tc>
          <w:tcPr>
            <w:tcW w:type="dxa" w:w="2136"/>
          </w:tcPr>
          <w:p>
            <w:r>
              <w:rPr/>
              <w:t>荧光定量PCR仪</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合同履行期限：按采购人指定的合同履行期限。</w:t>
      </w:r>
    </w:p>
    <w:p/>
    <w:p>
      <w:r>
        <w:rPr/>
        <w:t>采购包4(生态学研究级显微镜等仪器设备采购项目):</w:t>
      </w:r>
    </w:p>
    <w:p>
      <w:r>
        <w:rPr/>
        <w:t>采购包预算金额：2,090,000.00元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4-1</w:t>
            </w:r>
          </w:p>
        </w:tc>
        <w:tc>
          <w:tcPr>
            <w:tcW w:type="dxa" w:w="1424"/>
          </w:tcPr>
          <w:p>
            <w:r>
              <w:rPr/>
              <w:t>其他专用仪器仪表</w:t>
            </w:r>
          </w:p>
        </w:tc>
        <w:tc>
          <w:tcPr>
            <w:tcW w:type="dxa" w:w="2136"/>
          </w:tcPr>
          <w:p>
            <w:r>
              <w:rPr/>
              <w:t>小动物步态分析系统</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4-2</w:t>
            </w:r>
          </w:p>
        </w:tc>
        <w:tc>
          <w:tcPr>
            <w:tcW w:type="dxa" w:w="1424"/>
          </w:tcPr>
          <w:p>
            <w:r>
              <w:rPr/>
              <w:t>其他专用仪器仪表</w:t>
            </w:r>
          </w:p>
        </w:tc>
        <w:tc>
          <w:tcPr>
            <w:tcW w:type="dxa" w:w="2136"/>
          </w:tcPr>
          <w:p>
            <w:r>
              <w:rPr/>
              <w:t>研究级倒置荧光显微镜</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4-3</w:t>
            </w:r>
          </w:p>
        </w:tc>
        <w:tc>
          <w:tcPr>
            <w:tcW w:type="dxa" w:w="1424"/>
          </w:tcPr>
          <w:p>
            <w:r>
              <w:rPr/>
              <w:t>其他专用仪器仪表</w:t>
            </w:r>
          </w:p>
        </w:tc>
        <w:tc>
          <w:tcPr>
            <w:tcW w:type="dxa" w:w="2136"/>
          </w:tcPr>
          <w:p>
            <w:r>
              <w:rPr/>
              <w:t>生态学研究级显微镜等仪器设备采购项目（其它设备）</w:t>
            </w:r>
          </w:p>
        </w:tc>
        <w:tc>
          <w:tcPr>
            <w:tcW w:type="dxa" w:w="1187"/>
          </w:tcPr>
          <w:p>
            <w:r>
              <w:rPr/>
              <w:t>1.0000(批)</w:t>
            </w:r>
          </w:p>
        </w:tc>
        <w:tc>
          <w:tcPr>
            <w:tcW w:type="dxa" w:w="1187"/>
          </w:tcPr>
          <w:p>
            <w:r>
              <w:rPr/>
              <w:t>详见第二章</w:t>
            </w:r>
          </w:p>
        </w:tc>
        <w:tc>
          <w:tcPr>
            <w:tcW w:type="dxa" w:w="1187"/>
          </w:tcPr>
          <w:p>
            <w:r>
              <w:rPr/>
              <w:t>是</w:t>
            </w:r>
          </w:p>
        </w:tc>
      </w:tr>
    </w:tbl>
    <w:p/>
    <w:p>
      <w:r>
        <w:rPr/>
        <w:t>本采购包不接受联合体投标</w:t>
      </w:r>
    </w:p>
    <w:p/>
    <w:p>
      <w:r>
        <w:rPr/>
        <w:t>合同履行期限：按采购人指定的合同履行期限。</w:t>
      </w:r>
    </w:p>
    <w:p/>
    <w:p>
      <w:r>
        <w:rPr/>
        <w:t>采购包5(气质联用-激光散斑成像项目):</w:t>
      </w:r>
    </w:p>
    <w:p>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5-1</w:t>
            </w:r>
          </w:p>
        </w:tc>
        <w:tc>
          <w:tcPr>
            <w:tcW w:type="dxa" w:w="1424"/>
          </w:tcPr>
          <w:p>
            <w:r>
              <w:rPr/>
              <w:t>其他专用仪器仪表</w:t>
            </w:r>
          </w:p>
        </w:tc>
        <w:tc>
          <w:tcPr>
            <w:tcW w:type="dxa" w:w="2136"/>
          </w:tcPr>
          <w:p>
            <w:r>
              <w:rPr/>
              <w:t>激光散斑血流灌注成像监测系统</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5-2</w:t>
            </w:r>
          </w:p>
        </w:tc>
        <w:tc>
          <w:tcPr>
            <w:tcW w:type="dxa" w:w="1424"/>
          </w:tcPr>
          <w:p>
            <w:r>
              <w:rPr/>
              <w:t>其他专用仪器仪表</w:t>
            </w:r>
          </w:p>
        </w:tc>
        <w:tc>
          <w:tcPr>
            <w:tcW w:type="dxa" w:w="2136"/>
          </w:tcPr>
          <w:p>
            <w:r>
              <w:rPr/>
              <w:t>气质联用仪</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合同履行期限：按采购人指定的合同履行期限。</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Pr>
        <w:jc w:val="left"/>
      </w:pPr>
    </w:p>
    <w:p/>
    <w:p>
      <w:pPr>
        <w:jc w:val="left"/>
      </w:pPr>
    </w:p>
    <w:p/>
    <w:p>
      <w:pPr>
        <w:jc w:val="left"/>
      </w:pPr>
    </w:p>
    <w:p/>
    <w:p>
      <w:pPr>
        <w:jc w:val="left"/>
      </w:pPr>
    </w:p>
    <w:p/>
    <w:p/>
    <w:p>
      <w:r>
        <w:rPr>
          <w:b/>
          <w:sz w:val="24"/>
        </w:rPr>
        <w:t>3.本项目特定的资格要求：</w:t>
      </w:r>
    </w:p>
    <w:p>
      <w:pPr>
        <w:ind w:firstLine="480"/>
      </w:pPr>
    </w:p>
    <w:p/>
    <w:p>
      <w:r>
        <w:rPr/>
        <w:t>采购包1（超高效液相色谱-四极杆飞行时间质谱联用仪）：</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t>采购包2（数字病理切片扫描系统）：</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t>采购包3（荧光定量PCR仪）：</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t>采购包4（生态学研究级显微镜等仪器设备采购项目）：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t>采购包5（气质联用-激光散斑成像项目）：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3)本项目不接受联合体投标。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广东志正招标有限公司（https://www.zztender.com/）</w:t>
      </w:r>
    </w:p>
    <w:p>
      <w:r>
        <w:rPr>
          <w:b/>
          <w:sz w:val="28"/>
        </w:rPr>
        <w:t>六.本项目联系方式：</w:t>
      </w:r>
    </w:p>
    <w:p>
      <w:r>
        <w:rPr>
          <w:b/>
          <w:sz w:val="24"/>
        </w:rPr>
        <w:t>1.采购人信息</w:t>
      </w:r>
    </w:p>
    <w:p>
      <w:pPr>
        <w:ind w:firstLine="480"/>
      </w:pPr>
      <w:r>
        <w:rPr/>
        <w:t>名称：</w:t>
      </w:r>
      <w:r>
        <w:rPr/>
        <w:t>广州中医药大学</w:t>
      </w:r>
    </w:p>
    <w:p>
      <w:pPr>
        <w:ind w:firstLine="480"/>
      </w:pPr>
      <w:r>
        <w:rPr/>
        <w:t>地址：</w:t>
      </w:r>
      <w:r>
        <w:rPr/>
        <w:t>广州市番禺区广州大学城外环东路232号广州中医药大学</w:t>
      </w:r>
    </w:p>
    <w:p>
      <w:pPr>
        <w:ind w:firstLine="480"/>
      </w:pPr>
      <w:r>
        <w:rPr/>
        <w:t>联系方式：</w:t>
      </w:r>
      <w:r>
        <w:rPr/>
        <w:t>020-39356298</w:t>
      </w:r>
    </w:p>
    <w:p>
      <w:r>
        <w:rPr>
          <w:b/>
          <w:sz w:val="24"/>
        </w:rPr>
        <w:t>2.采购代理机构信息</w:t>
      </w:r>
    </w:p>
    <w:p>
      <w:pPr>
        <w:ind w:firstLine="480"/>
      </w:pPr>
      <w:r>
        <w:rPr/>
        <w:t>名称：</w:t>
      </w:r>
      <w:r>
        <w:rPr/>
        <w:t>广东志正招标有限公司</w:t>
      </w:r>
    </w:p>
    <w:p>
      <w:pPr>
        <w:ind w:firstLine="480"/>
      </w:pPr>
      <w:r>
        <w:rPr/>
        <w:t>地址：</w:t>
      </w:r>
      <w:r>
        <w:rPr/>
        <w:t>广东省广州市天河区龙怡路117号501、503、504、505、506房</w:t>
      </w:r>
    </w:p>
    <w:p>
      <w:pPr>
        <w:ind w:firstLine="480"/>
      </w:pPr>
      <w:r>
        <w:rPr/>
        <w:t>联系方式：</w:t>
      </w:r>
      <w:r>
        <w:rPr/>
        <w:t>02087554238</w:t>
      </w:r>
    </w:p>
    <w:p>
      <w:r>
        <w:rPr>
          <w:b/>
          <w:sz w:val="24"/>
        </w:rPr>
        <w:t>3.项目联系方式</w:t>
      </w:r>
    </w:p>
    <w:p>
      <w:pPr>
        <w:ind w:firstLine="480"/>
      </w:pPr>
      <w:r>
        <w:rPr/>
        <w:t>项目联系人：</w:t>
      </w:r>
      <w:r>
        <w:rPr/>
        <w:t>潘先生、陆小姐</w:t>
      </w:r>
    </w:p>
    <w:p>
      <w:pPr>
        <w:ind w:firstLine="480"/>
      </w:pPr>
      <w:r>
        <w:rPr/>
        <w:t>电话：</w:t>
      </w:r>
      <w:r>
        <w:rPr/>
        <w:t>02087554238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广东志正招标有限公司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2"/>
        <w:jc w:val="both"/>
      </w:pPr>
      <w:r>
        <w:rPr>
          <w:b/>
          <w:color w:val="000000"/>
          <w:sz w:val="24"/>
        </w:rPr>
        <w:t>说明：</w:t>
      </w:r>
    </w:p>
    <w:p>
      <w:pPr>
        <w:ind w:firstLine="422"/>
        <w:jc w:val="both"/>
      </w:pPr>
      <w:r>
        <w:rPr>
          <w:b/>
          <w:color w:val="000000"/>
          <w:sz w:val="21"/>
        </w:rPr>
        <w:t>（一）投标人须对本项目为单位</w:t>
      </w:r>
      <w:r>
        <w:rPr>
          <w:b/>
          <w:color w:val="000000"/>
          <w:sz w:val="21"/>
          <w:u w:val="single"/>
        </w:rPr>
        <w:t>（有划分包组的，则以包组为单位）</w:t>
      </w:r>
      <w:r>
        <w:rPr>
          <w:b/>
          <w:color w:val="000000"/>
          <w:sz w:val="21"/>
        </w:rPr>
        <w:t>的所有标的物进行整体投标，任何只对其中一部分内容进行的投标都被视为无效投标。</w:t>
      </w:r>
    </w:p>
    <w:p>
      <w:pPr>
        <w:ind w:firstLine="422"/>
        <w:jc w:val="both"/>
      </w:pPr>
      <w:r>
        <w:rPr>
          <w:b/>
          <w:color w:val="000000"/>
          <w:sz w:val="21"/>
        </w:rPr>
        <w:t>（二）本招标文件中，凡标有“★”的地方，投标人要特别加以注意，必须对此作出一一响应。若有一项带“★”的指标未响应或不满足，将导致其废标或投标无效。</w:t>
      </w:r>
    </w:p>
    <w:p>
      <w:pPr>
        <w:ind w:firstLine="422"/>
        <w:jc w:val="both"/>
      </w:pPr>
      <w:r>
        <w:rPr>
          <w:b/>
          <w:color w:val="000000"/>
          <w:sz w:val="21"/>
        </w:rPr>
        <w:t>（三）经政府采购管理部门同意，本项目（所有设备：超高效液相色谱-四极杆飞行时间质谱联用仪、数字病理切片扫描系统、荧光定量PCR仪、生态学研究级显微镜等仪器设备采购项目、气质联用-激光散斑成像项目）采购本国产品或不属于国家法律法规政策明确规定限制的进口产品。</w:t>
      </w:r>
    </w:p>
    <w:p>
      <w:pPr>
        <w:ind w:firstLine="316"/>
      </w:pPr>
      <w:r>
        <w:rPr>
          <w:b/>
          <w:color w:val="000000"/>
          <w:sz w:val="21"/>
        </w:rPr>
        <w:t>（四）本项目核心产品为：</w:t>
      </w:r>
      <w:r>
        <w:rPr>
          <w:b/>
          <w:color w:val="000000"/>
          <w:sz w:val="21"/>
          <w:u w:val="single"/>
        </w:rPr>
        <w:t>采购包1：超高效液相色谱-四极杆飞行时间质谱联用仪；采购包2：数字病理扫描仪；采购包3：荧光定量PCR仪；采购包4：小动物步态分析系统、研究级倒置荧光显微镜；采购包5: 激光散斑血流灌注成像监测系统</w:t>
      </w:r>
      <w:r>
        <w:rPr>
          <w:b/>
          <w:color w:val="000000"/>
          <w:sz w:val="21"/>
        </w:rPr>
        <w:t>。投标人需在核心产品品牌表中列明所投产品的品牌。</w:t>
      </w:r>
    </w:p>
    <w:p>
      <w:pPr>
        <w:ind w:firstLine="422"/>
        <w:jc w:val="both"/>
      </w:pPr>
      <w:r>
        <w:rPr>
          <w:b/>
          <w:color w:val="000000"/>
          <w:sz w:val="21"/>
        </w:rPr>
        <w:t>多家投标人提供的核心产品品牌相同的，按一家投标人计算，评审后得分最高的同品牌投标人获得中标人推荐资格；评审得分相同的，按照“投标须知前附表”约定的原则确定一个投标人获得中标人推荐资格，其他同品牌投标人不作为中标候选人。</w:t>
      </w:r>
    </w:p>
    <w:p>
      <w:pPr>
        <w:ind w:firstLine="422"/>
        <w:jc w:val="both"/>
      </w:pPr>
      <w:r>
        <w:rPr>
          <w:b/>
          <w:color w:val="000000"/>
          <w:sz w:val="21"/>
        </w:rPr>
        <w:t>（五）中小企业声明函中，本项目属于（工业）行业。</w:t>
      </w:r>
    </w:p>
    <w:p>
      <w:pPr>
        <w:ind w:firstLine="422"/>
        <w:jc w:val="both"/>
      </w:pPr>
      <w:r>
        <w:rPr>
          <w:b/>
          <w:color w:val="000000"/>
          <w:sz w:val="21"/>
        </w:rPr>
        <w:t>（六）项目名称：</w:t>
      </w:r>
      <w:r>
        <w:rPr>
          <w:color w:val="000000"/>
          <w:sz w:val="21"/>
        </w:rPr>
        <w:t>超高效液相色谱仪等设备一批。</w:t>
      </w:r>
    </w:p>
    <w:p>
      <w:pPr>
        <w:ind w:firstLine="422"/>
        <w:jc w:val="both"/>
      </w:pPr>
      <w:r>
        <w:rPr>
          <w:b/>
          <w:color w:val="000000"/>
          <w:sz w:val="21"/>
        </w:rPr>
        <w:t>（七）项目预算：</w:t>
      </w:r>
      <w:r>
        <w:rPr>
          <w:color w:val="000000"/>
          <w:sz w:val="21"/>
        </w:rPr>
        <w:t>人民币8,000,000.00元，其中采购包1为人民币2,900,000.00元，采购包2为人民币1,420,000.00元，采购包3为人民币490,000.00元，采购包4为人民币2,090,000.00元，采购包5为人民币1,100,000.00元。</w:t>
      </w:r>
    </w:p>
    <w:p>
      <w:pPr>
        <w:ind w:firstLine="422"/>
        <w:jc w:val="both"/>
      </w:pPr>
      <w:r>
        <w:rPr>
          <w:b/>
          <w:color w:val="000000"/>
          <w:sz w:val="21"/>
        </w:rPr>
        <w:t>（八）采购内容：</w:t>
      </w:r>
      <w:r>
        <w:rPr>
          <w:color w:val="000000"/>
          <w:sz w:val="21"/>
        </w:rPr>
        <w:t>科研平台建设仪器设备采购项目。</w:t>
      </w:r>
    </w:p>
    <w:p/>
    <w:p/>
    <w:p>
      <w:r>
        <w:rPr>
          <w:b/>
          <w:color w:val="000000"/>
          <w:sz w:val="21"/>
        </w:rPr>
        <w:t xml:space="preserve">   （九）采购清单：</w:t>
      </w:r>
    </w:p>
    <w:tbl>
      <w:tblPr>
        <w:tblW w:w="0" w:type="auto"/>
        <w:tblBorders>
          <w:top w:val="none" w:color="000000" w:sz="4"/>
          <w:left w:val="none" w:color="000000" w:sz="4"/>
          <w:bottom w:val="none" w:color="000000" w:sz="4"/>
          <w:right w:val="none" w:color="000000" w:sz="4"/>
          <w:insideH w:val="none"/>
          <w:insideV w:val="none"/>
        </w:tblBorders>
      </w:tblPr>
      <w:tblGrid>
        <w:gridCol w:w="935"/>
        <w:gridCol w:w="1871"/>
        <w:gridCol w:w="1871"/>
        <w:gridCol w:w="850"/>
        <w:gridCol w:w="1275"/>
        <w:gridCol w:w="1446"/>
      </w:tblGrid>
      <w:tr>
        <w:tc>
          <w:tcPr>
            <w:tcW w:type="dxa" w:w="935"/>
            <w:tcBorders>
              <w:top w:val="single" w:color="000000" w:sz="4"/>
              <w:left w:val="single" w:color="000000" w:sz="4"/>
              <w:bottom w:val="single" w:color="000000" w:sz="4"/>
              <w:right w:val="single" w:color="000000" w:sz="4"/>
            </w:tcBorders>
          </w:tcPr>
          <w:p>
            <w:pPr>
              <w:jc w:val="center"/>
            </w:pPr>
            <w:r>
              <w:rPr>
                <w:b/>
                <w:color w:val="000000"/>
                <w:sz w:val="21"/>
              </w:rPr>
              <w:t>包组号</w:t>
            </w:r>
          </w:p>
        </w:tc>
        <w:tc>
          <w:tcPr>
            <w:tcW w:type="dxa" w:w="1871"/>
            <w:tcBorders>
              <w:top w:val="single" w:color="000000" w:sz="4"/>
              <w:left w:val="none" w:color="000000" w:sz="4"/>
              <w:bottom w:val="single" w:color="000000" w:sz="4"/>
              <w:right w:val="single" w:color="000000" w:sz="4"/>
            </w:tcBorders>
          </w:tcPr>
          <w:p>
            <w:pPr>
              <w:jc w:val="center"/>
            </w:pPr>
            <w:r>
              <w:rPr>
                <w:b/>
                <w:color w:val="000000"/>
                <w:sz w:val="21"/>
              </w:rPr>
              <w:t>采购包名称</w:t>
            </w:r>
          </w:p>
        </w:tc>
        <w:tc>
          <w:tcPr>
            <w:tcW w:type="dxa" w:w="1871"/>
            <w:tcBorders>
              <w:top w:val="single" w:color="000000" w:sz="4"/>
              <w:left w:val="none" w:color="000000" w:sz="4"/>
              <w:bottom w:val="single" w:color="000000" w:sz="4"/>
              <w:right w:val="single" w:color="000000" w:sz="4"/>
            </w:tcBorders>
          </w:tcPr>
          <w:p>
            <w:pPr>
              <w:jc w:val="center"/>
            </w:pPr>
            <w:r>
              <w:rPr>
                <w:b/>
                <w:color w:val="000000"/>
                <w:sz w:val="21"/>
              </w:rPr>
              <w:t>采购标的</w:t>
            </w:r>
          </w:p>
        </w:tc>
        <w:tc>
          <w:tcPr>
            <w:tcW w:type="dxa" w:w="850"/>
            <w:tcBorders>
              <w:top w:val="single" w:color="000000" w:sz="4"/>
              <w:left w:val="none" w:color="000000" w:sz="4"/>
              <w:bottom w:val="single" w:color="000000" w:sz="4"/>
              <w:right w:val="single" w:color="000000" w:sz="4"/>
            </w:tcBorders>
          </w:tcPr>
          <w:p>
            <w:pPr>
              <w:jc w:val="center"/>
            </w:pPr>
            <w:r>
              <w:rPr>
                <w:b/>
                <w:color w:val="000000"/>
                <w:sz w:val="21"/>
              </w:rPr>
              <w:t>数量</w:t>
            </w:r>
          </w:p>
        </w:tc>
        <w:tc>
          <w:tcPr>
            <w:tcW w:type="dxa" w:w="1275"/>
            <w:tcBorders>
              <w:top w:val="single" w:color="000000" w:sz="4"/>
              <w:left w:val="none" w:color="000000" w:sz="4"/>
              <w:bottom w:val="single" w:color="000000" w:sz="4"/>
              <w:right w:val="single" w:color="000000" w:sz="4"/>
            </w:tcBorders>
          </w:tcPr>
          <w:p>
            <w:pPr>
              <w:jc w:val="center"/>
            </w:pPr>
            <w:r>
              <w:rPr>
                <w:b/>
                <w:color w:val="000000"/>
                <w:sz w:val="21"/>
              </w:rPr>
              <w:t>是否允许</w:t>
            </w:r>
          </w:p>
          <w:p>
            <w:pPr>
              <w:jc w:val="center"/>
            </w:pPr>
            <w:r>
              <w:rPr>
                <w:b/>
                <w:color w:val="000000"/>
                <w:sz w:val="21"/>
              </w:rPr>
              <w:t>进口产品</w:t>
            </w:r>
          </w:p>
        </w:tc>
        <w:tc>
          <w:tcPr>
            <w:tcW w:type="dxa" w:w="1446"/>
            <w:tcBorders>
              <w:top w:val="single" w:color="000000" w:sz="4"/>
              <w:left w:val="none" w:color="000000" w:sz="4"/>
              <w:bottom w:val="single" w:color="000000" w:sz="4"/>
              <w:right w:val="single" w:color="000000" w:sz="4"/>
            </w:tcBorders>
          </w:tcPr>
          <w:p>
            <w:pPr>
              <w:jc w:val="center"/>
            </w:pPr>
            <w:r>
              <w:rPr>
                <w:b/>
                <w:color w:val="000000"/>
                <w:sz w:val="21"/>
              </w:rPr>
              <w:t>预算金额（元）</w:t>
            </w:r>
          </w:p>
        </w:tc>
      </w:tr>
      <w:tr>
        <w:tc>
          <w:tcPr>
            <w:tcW w:type="dxa" w:w="935"/>
            <w:tcBorders>
              <w:top w:val="none" w:color="000000" w:sz="4"/>
              <w:left w:val="single" w:color="000000" w:sz="4"/>
              <w:bottom w:val="single" w:color="000000" w:sz="4"/>
              <w:right w:val="single" w:color="000000" w:sz="4"/>
            </w:tcBorders>
          </w:tcPr>
          <w:p>
            <w:pPr>
              <w:jc w:val="center"/>
            </w:pPr>
            <w:r>
              <w:rPr>
                <w:color w:val="000000"/>
                <w:sz w:val="21"/>
              </w:rPr>
              <w:t>采购包1</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超高效液相色谱-四极杆飞行时间质谱联用仪</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超高效液相色谱-四极杆飞行时间质谱联用仪</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c>
          <w:tcPr>
            <w:tcW w:type="dxa" w:w="1446"/>
            <w:tcBorders>
              <w:top w:val="none" w:color="000000" w:sz="4"/>
              <w:left w:val="none" w:color="000000" w:sz="4"/>
              <w:bottom w:val="single" w:color="000000" w:sz="4"/>
              <w:right w:val="single" w:color="000000" w:sz="4"/>
            </w:tcBorders>
          </w:tcPr>
          <w:p>
            <w:pPr>
              <w:jc w:val="center"/>
            </w:pPr>
            <w:r>
              <w:rPr>
                <w:color w:val="000000"/>
                <w:sz w:val="21"/>
              </w:rPr>
              <w:t>2,900,000.00</w:t>
            </w:r>
            <w:r>
              <w:rPr>
                <w:color w:val="000000"/>
                <w:sz w:val="21"/>
              </w:rPr>
              <w:t>元</w:t>
            </w:r>
          </w:p>
        </w:tc>
      </w:tr>
      <w:tr>
        <w:tc>
          <w:tcPr>
            <w:tcW w:type="dxa" w:w="935"/>
            <w:vMerge w:val="restart"/>
            <w:tcBorders>
              <w:top w:val="none" w:color="000000" w:sz="4"/>
              <w:left w:val="single" w:color="000000" w:sz="4"/>
              <w:bottom w:val="single" w:color="000000" w:sz="4"/>
              <w:right w:val="single" w:color="000000" w:sz="4"/>
            </w:tcBorders>
          </w:tcPr>
          <w:p>
            <w:pPr>
              <w:jc w:val="center"/>
            </w:pPr>
            <w:r>
              <w:rPr>
                <w:color w:val="000000"/>
                <w:sz w:val="21"/>
              </w:rPr>
              <w:t>采购包2</w:t>
            </w:r>
          </w:p>
        </w:tc>
        <w:tc>
          <w:tcPr>
            <w:tcW w:type="dxa" w:w="1871"/>
            <w:vMerge w:val="restart"/>
            <w:tcBorders>
              <w:top w:val="none" w:color="000000" w:sz="4"/>
              <w:left w:val="none" w:color="000000" w:sz="4"/>
              <w:bottom w:val="single" w:color="000000" w:sz="4"/>
              <w:right w:val="single" w:color="000000" w:sz="4"/>
            </w:tcBorders>
          </w:tcPr>
          <w:p>
            <w:pPr>
              <w:jc w:val="center"/>
            </w:pPr>
            <w:r>
              <w:rPr>
                <w:color w:val="000000"/>
                <w:sz w:val="21"/>
              </w:rPr>
              <w:t>数字病理切片扫描系统</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数字病理扫描仪</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c>
          <w:tcPr>
            <w:tcW w:type="dxa" w:w="1446"/>
            <w:vMerge w:val="restart"/>
            <w:tcBorders>
              <w:top w:val="none" w:color="000000" w:sz="4"/>
              <w:left w:val="none" w:color="000000" w:sz="4"/>
              <w:bottom w:val="single" w:color="000000" w:sz="4"/>
              <w:right w:val="single" w:color="000000" w:sz="4"/>
            </w:tcBorders>
          </w:tcPr>
          <w:p>
            <w:pPr>
              <w:jc w:val="center"/>
            </w:pPr>
            <w:r>
              <w:rPr>
                <w:color w:val="000000"/>
                <w:sz w:val="21"/>
              </w:rPr>
              <w:t>1,420,000.00</w:t>
            </w:r>
            <w:r>
              <w:rPr>
                <w:color w:val="000000"/>
                <w:sz w:val="21"/>
              </w:rPr>
              <w:t>元</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数字病理扫描工作站</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扫描控制系统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病理案例编辑系统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病理案例管理系统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tcBorders>
              <w:top w:val="none" w:color="000000" w:sz="4"/>
              <w:left w:val="single" w:color="000000" w:sz="4"/>
              <w:bottom w:val="single" w:color="000000" w:sz="4"/>
              <w:right w:val="single" w:color="000000" w:sz="4"/>
            </w:tcBorders>
          </w:tcPr>
          <w:p>
            <w:pPr>
              <w:jc w:val="center"/>
            </w:pPr>
            <w:r>
              <w:rPr>
                <w:color w:val="000000"/>
                <w:sz w:val="21"/>
              </w:rPr>
              <w:t>采购包3</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荧光定量PCR仪</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荧光定量PCR仪</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c>
          <w:tcPr>
            <w:tcW w:type="dxa" w:w="1446"/>
            <w:tcBorders>
              <w:top w:val="none" w:color="000000" w:sz="4"/>
              <w:left w:val="none" w:color="000000" w:sz="4"/>
              <w:bottom w:val="single" w:color="000000" w:sz="4"/>
              <w:right w:val="single" w:color="000000" w:sz="4"/>
            </w:tcBorders>
          </w:tcPr>
          <w:p>
            <w:pPr>
              <w:jc w:val="center"/>
            </w:pPr>
            <w:r>
              <w:rPr>
                <w:color w:val="000000"/>
                <w:sz w:val="21"/>
              </w:rPr>
              <w:t>490,000.00</w:t>
            </w:r>
            <w:r>
              <w:rPr>
                <w:color w:val="000000"/>
                <w:sz w:val="21"/>
              </w:rPr>
              <w:t>元</w:t>
            </w:r>
          </w:p>
        </w:tc>
      </w:tr>
      <w:tr>
        <w:tc>
          <w:tcPr>
            <w:tcW w:type="dxa" w:w="935"/>
            <w:vMerge w:val="restart"/>
            <w:tcBorders>
              <w:top w:val="none" w:color="000000" w:sz="4"/>
              <w:left w:val="single" w:color="000000" w:sz="4"/>
              <w:bottom w:val="single" w:color="000000" w:sz="4"/>
              <w:right w:val="single" w:color="000000" w:sz="4"/>
            </w:tcBorders>
          </w:tcPr>
          <w:p>
            <w:pPr>
              <w:jc w:val="center"/>
            </w:pPr>
            <w:r>
              <w:rPr>
                <w:color w:val="000000"/>
                <w:sz w:val="21"/>
              </w:rPr>
              <w:t>采购包4</w:t>
            </w:r>
          </w:p>
        </w:tc>
        <w:tc>
          <w:tcPr>
            <w:tcW w:type="dxa" w:w="1871"/>
            <w:vMerge w:val="restart"/>
            <w:tcBorders>
              <w:top w:val="none" w:color="000000" w:sz="4"/>
              <w:left w:val="none" w:color="000000" w:sz="4"/>
              <w:bottom w:val="single" w:color="000000" w:sz="4"/>
              <w:right w:val="single" w:color="000000" w:sz="4"/>
            </w:tcBorders>
          </w:tcPr>
          <w:p>
            <w:pPr>
              <w:jc w:val="center"/>
            </w:pPr>
            <w:r>
              <w:rPr>
                <w:color w:val="000000"/>
                <w:sz w:val="21"/>
              </w:rPr>
              <w:t>生态学研究级显微镜等仪器设备采购项目</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小动物步态分析系统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c>
          <w:tcPr>
            <w:tcW w:type="dxa" w:w="1446"/>
            <w:vMerge w:val="restart"/>
            <w:tcBorders>
              <w:top w:val="none" w:color="000000" w:sz="4"/>
              <w:left w:val="none" w:color="000000" w:sz="4"/>
              <w:bottom w:val="single" w:color="000000" w:sz="4"/>
              <w:right w:val="single" w:color="000000" w:sz="4"/>
            </w:tcBorders>
          </w:tcPr>
          <w:p>
            <w:pPr>
              <w:jc w:val="center"/>
            </w:pPr>
            <w:r>
              <w:rPr>
                <w:color w:val="000000"/>
                <w:sz w:val="21"/>
              </w:rPr>
              <w:t>2,090,000.00</w:t>
            </w:r>
            <w:r>
              <w:rPr>
                <w:color w:val="000000"/>
                <w:sz w:val="21"/>
              </w:rPr>
              <w:t>元</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研究级倒置荧光显微镜</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斑马鱼饲养系统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研究级正置荧光显微镜</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r>
        <w:tc>
          <w:tcPr>
            <w:tcW w:type="dxa" w:w="935"/>
            <w:vMerge w:val="restart"/>
            <w:tcBorders>
              <w:top w:val="none" w:color="000000" w:sz="4"/>
              <w:left w:val="single" w:color="000000" w:sz="4"/>
              <w:bottom w:val="single" w:color="000000" w:sz="4"/>
              <w:right w:val="single" w:color="000000" w:sz="4"/>
            </w:tcBorders>
          </w:tcPr>
          <w:p>
            <w:pPr>
              <w:jc w:val="center"/>
            </w:pPr>
            <w:r>
              <w:rPr>
                <w:color w:val="000000"/>
                <w:sz w:val="21"/>
              </w:rPr>
              <w:t>采购包5</w:t>
            </w:r>
          </w:p>
        </w:tc>
        <w:tc>
          <w:tcPr>
            <w:tcW w:type="dxa" w:w="1871"/>
            <w:vMerge w:val="restart"/>
            <w:tcBorders>
              <w:top w:val="none" w:color="000000" w:sz="4"/>
              <w:left w:val="none" w:color="000000" w:sz="4"/>
              <w:bottom w:val="single" w:color="000000" w:sz="4"/>
              <w:right w:val="single" w:color="000000" w:sz="4"/>
            </w:tcBorders>
          </w:tcPr>
          <w:p>
            <w:pPr>
              <w:jc w:val="center"/>
            </w:pPr>
            <w:r>
              <w:rPr>
                <w:color w:val="000000"/>
                <w:sz w:val="21"/>
              </w:rPr>
              <w:t>气质联用-激光散斑成像项目</w:t>
            </w:r>
          </w:p>
        </w:tc>
        <w:tc>
          <w:tcPr>
            <w:tcW w:type="dxa" w:w="1871"/>
            <w:tcBorders>
              <w:top w:val="none" w:color="000000" w:sz="4"/>
              <w:left w:val="none" w:color="000000" w:sz="4"/>
              <w:bottom w:val="single" w:color="000000" w:sz="4"/>
              <w:right w:val="single" w:color="000000" w:sz="4"/>
            </w:tcBorders>
          </w:tcPr>
          <w:p>
            <w:pPr>
              <w:jc w:val="center"/>
            </w:pPr>
            <w:r>
              <w:rPr>
                <w:color w:val="000000"/>
                <w:sz w:val="21"/>
              </w:rPr>
              <w:t>激光散斑血流灌注成像监测系统</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c>
          <w:tcPr>
            <w:tcW w:type="dxa" w:w="1446"/>
            <w:vMerge w:val="restart"/>
            <w:tcBorders>
              <w:top w:val="none" w:color="000000" w:sz="4"/>
              <w:left w:val="none" w:color="000000" w:sz="4"/>
              <w:bottom w:val="single" w:color="000000" w:sz="4"/>
              <w:right w:val="single" w:color="000000" w:sz="4"/>
            </w:tcBorders>
          </w:tcPr>
          <w:p>
            <w:pPr>
              <w:jc w:val="center"/>
            </w:pPr>
            <w:r>
              <w:rPr>
                <w:color w:val="000000"/>
                <w:sz w:val="21"/>
              </w:rPr>
              <w:t>1,100,000.00</w:t>
            </w:r>
            <w:r>
              <w:rPr>
                <w:color w:val="000000"/>
                <w:sz w:val="21"/>
              </w:rPr>
              <w:t>元</w:t>
            </w:r>
          </w:p>
        </w:tc>
      </w:tr>
      <w:tr>
        <w:tc>
          <w:tcPr>
            <w:tcW w:type="dxa" w:w="935"/>
            <w:vMerge/>
            <w:tcBorders>
              <w:top w:val="none" w:color="000000" w:sz="4"/>
              <w:left w:val="single" w:color="000000" w:sz="4"/>
              <w:bottom w:val="single" w:color="000000" w:sz="4"/>
              <w:right w:val="single" w:color="000000" w:sz="4"/>
            </w:tcBorders>
          </w:tcPr>
          <w:p/>
        </w:tc>
        <w:tc>
          <w:tcPr>
            <w:tcW w:type="dxa" w:w="1871"/>
            <w:vMerge/>
            <w:tcBorders>
              <w:top w:val="none" w:color="000000" w:sz="4"/>
              <w:left w:val="none" w:color="000000" w:sz="4"/>
              <w:bottom w:val="single" w:color="000000" w:sz="4"/>
              <w:right w:val="single" w:color="000000" w:sz="4"/>
            </w:tcBorders>
          </w:tcPr>
          <w:p/>
        </w:tc>
        <w:tc>
          <w:tcPr>
            <w:tcW w:type="dxa" w:w="1871"/>
            <w:tcBorders>
              <w:top w:val="none" w:color="000000" w:sz="4"/>
              <w:left w:val="none" w:color="000000" w:sz="4"/>
              <w:bottom w:val="single" w:color="000000" w:sz="4"/>
              <w:right w:val="single" w:color="000000" w:sz="4"/>
            </w:tcBorders>
          </w:tcPr>
          <w:p>
            <w:pPr>
              <w:jc w:val="center"/>
            </w:pPr>
            <w:r>
              <w:rPr>
                <w:color w:val="000000"/>
                <w:sz w:val="21"/>
              </w:rPr>
              <w:t>气质联用仪</w:t>
            </w:r>
          </w:p>
        </w:tc>
        <w:tc>
          <w:tcPr>
            <w:tcW w:type="dxa" w:w="850"/>
            <w:tcBorders>
              <w:top w:val="none" w:color="000000" w:sz="4"/>
              <w:left w:val="none" w:color="000000" w:sz="4"/>
              <w:bottom w:val="single" w:color="000000" w:sz="4"/>
              <w:right w:val="single" w:color="000000" w:sz="4"/>
            </w:tcBorders>
          </w:tcPr>
          <w:p>
            <w:pPr>
              <w:jc w:val="center"/>
            </w:pPr>
            <w:r>
              <w:rPr>
                <w:color w:val="000000"/>
                <w:sz w:val="21"/>
              </w:rPr>
              <w:t>1</w:t>
            </w:r>
            <w:r>
              <w:rPr>
                <w:color w:val="000000"/>
                <w:sz w:val="21"/>
              </w:rPr>
              <w:t>台</w:t>
            </w:r>
          </w:p>
        </w:tc>
        <w:tc>
          <w:tcPr>
            <w:tcW w:type="dxa" w:w="1275"/>
            <w:tcBorders>
              <w:top w:val="none" w:color="000000" w:sz="4"/>
              <w:left w:val="none" w:color="000000" w:sz="4"/>
              <w:bottom w:val="single" w:color="000000" w:sz="4"/>
              <w:right w:val="single" w:color="000000" w:sz="4"/>
            </w:tcBorders>
          </w:tcPr>
          <w:p>
            <w:pPr>
              <w:jc w:val="center"/>
            </w:pPr>
            <w:r>
              <w:rPr>
                <w:color w:val="000000"/>
                <w:sz w:val="21"/>
              </w:rPr>
              <w:t>是</w:t>
            </w:r>
          </w:p>
        </w:tc>
      </w:tr>
    </w:tbl>
    <w:p>
      <w:pPr>
        <w:jc w:val="both"/>
      </w:pPr>
    </w:p>
    <w:p/>
    <w:p>
      <w:pPr>
        <w:ind w:firstLine="480"/>
      </w:pPr>
    </w:p>
    <w:p/>
    <w:p>
      <w:r>
        <w:rPr/>
        <w:t>采购包1（超高效液相色谱-四极杆飞行时间质谱联用仪）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国产仪器：供货时间为签定合同后 15 天内完成。 进口仪器：供货时间为签定合同后 90 天内完成。</w:t>
            </w:r>
          </w:p>
        </w:tc>
      </w:tr>
      <w:tr>
        <w:tc>
          <w:tcPr>
            <w:tcW w:type="dxa" w:w="4153"/>
          </w:tcPr>
          <w:p>
            <w:r>
              <w:rPr/>
              <w:t>标的提供的地点</w:t>
            </w:r>
          </w:p>
        </w:tc>
        <w:tc>
          <w:tcPr>
            <w:tcW w:type="dxa" w:w="4153"/>
          </w:tcPr>
          <w:p/>
          <w:p>
            <w:r>
              <w:rPr/>
              <w:t>广州中医药大学三元里校区实验/重点学科楼</w:t>
            </w:r>
          </w:p>
        </w:tc>
      </w:tr>
      <w:tr>
        <w:tc>
          <w:tcPr>
            <w:tcW w:type="dxa" w:w="4153"/>
          </w:tcPr>
          <w:p>
            <w:r>
              <w:rPr/>
              <w:t>付款方式</w:t>
            </w:r>
          </w:p>
        </w:tc>
        <w:tc>
          <w:tcPr>
            <w:tcW w:type="dxa" w:w="4153"/>
          </w:tcPr>
          <w:p/>
          <w:p/>
          <w:p>
            <w:r>
              <w:rPr/>
              <w:t>1期：支付比例100%,国产仪器： 鉴于中标人为：中小企业（  ）非中小企业（  ），付款方式按以下第（  ）种执行。 1．如中标人为中小企业：      （1）合同签订且收到履约保证金后5个工作日内采购人向中标人支付合同金额的30%（支付方式含银行转账、支票、银行承兑汇票、商业承兑汇票等形式）。      （2）所有货物验收合格且收到发票后15日内采购人向中标人支付至合同总价的100%（支付方式含银行转账、支票、银行承兑汇票、商业承兑汇票等形式）。      2．如中标人为非中小企业：      所有货物验收合格且收到发票后15日内采购人向中标人支付合同总价的100%（支付方式含银行转账、支票、银行承兑汇票、商业承兑汇票等形式）。 3.采购人在上述期限内，按广东省财政厅规定的支付手续将付款的申请文件递出, 即完成付款义务。但可以协助中标人查询政府审核和支付的进度。 4．履约保证金提交：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5．履约保证金退还： 验收合格至免费保修期满，中标人向采购人申请退还履约保证金，采购人于接到申请后15个工作日内将履约保证金无息退回中标人。 进口仪器： 1.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采购人收到履约保证金后，凭《代理进口合同》按广东省财政厅规定的支付手续在15日内开始办理支付合同总额100%货款给指定外贸代理商。外贸代理商收到全部货款后开具100%的L/C并凭L/C规定的发货单据对外支付全款，或全部货物交采购人后以T/T方式支付100%的货款。 3.采购人在上述期限内，按广东省财政厅规定的支付手续将付款的申请文件递出, 即完成付款义务。但可以协助中标人查询政府审核和支付的进度。 4.验收合格至免费保修期满，中标人向采购人申请退还履约保证金，采购人于接到申请后15个工作日内将履约保证金无息退回中标人。  5.采购人全权委托         公司（外贸代理商）办理进口业务（另行签订代理进口合同），由该公司与中标人结算，代理进口有关的一切费用由中标人承担。</w:t>
            </w:r>
          </w:p>
        </w:tc>
      </w:tr>
      <w:tr>
        <w:tc>
          <w:tcPr>
            <w:tcW w:type="dxa" w:w="4153"/>
          </w:tcPr>
          <w:p>
            <w:r>
              <w:rPr/>
              <w:t>验收要求</w:t>
            </w:r>
          </w:p>
        </w:tc>
        <w:tc>
          <w:tcPr>
            <w:tcW w:type="dxa" w:w="4153"/>
          </w:tcPr>
          <w:p/>
          <w:p/>
          <w:p/>
          <w:p>
            <w:r>
              <w:rPr/>
              <w:t>1期：（一）验收标准：根据采购合同约定进行履约验收。 （二）验收要求： （1）交付验收标准为：符合招标文件、投标文件、合同和响应承诺中采购人认可的合理最佳配置、参数及各项要求。验收的过程如发现性能指标或功能上不符合合同要求时，或经法定第三方计量检测机构计量检定、校准、检测不合格时，均视为验收不合格。投标人应立即整改直至合格。 （2）如供应设备技术指标与项目文件偏差过大导致无法通过验收投入使用的，投标人应免费提供设备的升级以达到验收要求。 （3）货物为原制造商制造的全新产品，整机无污染，无侵权行为、表面无划损、无任何缺陷隐患，在中国境内可依常规安全合法使用。 （4）货物为原厂商未启封全新包装，所有随设备的附件必须齐全。</w:t>
            </w:r>
          </w:p>
        </w:tc>
      </w:tr>
      <w:tr>
        <w:tc>
          <w:tcPr>
            <w:tcW w:type="dxa" w:w="4153"/>
          </w:tcPr>
          <w:p>
            <w:r>
              <w:rPr/>
              <w:t>履约保证金</w:t>
            </w:r>
          </w:p>
        </w:tc>
        <w:tc>
          <w:tcPr>
            <w:tcW w:type="dxa" w:w="4153"/>
          </w:tcPr>
          <w:p/>
          <w:p/>
          <w:p/>
          <w:p/>
          <w:p>
            <w:r>
              <w:rPr/>
              <w:t>收取比例：10%,说明：1.国产仪器： （1）履约保证金提交：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 2.进口仪器： （1）履约保证金提交： 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w:t>
            </w:r>
          </w:p>
        </w:tc>
      </w:tr>
      <w:tr>
        <w:tc>
          <w:tcPr>
            <w:tcW w:type="dxa" w:w="4153"/>
          </w:tcPr>
          <w:p>
            <w:r>
              <w:rPr/>
              <w:t>其他</w:t>
            </w:r>
          </w:p>
        </w:tc>
        <w:tc>
          <w:tcPr>
            <w:tcW w:type="dxa" w:w="4153"/>
          </w:tcPr>
          <w:p/>
          <w:p/>
          <w:p>
            <w:r>
              <w:rPr/>
              <w:t>报价要求，1.投标人报价应为包干总价，该包干总价为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 2.合同价款为包干总价，该包干总价为中标人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人承担。除本合同明确约定的费用外，采购人无需支付任何额外费用和承担任何额外义务。上述合同价款等各项内容在本合同履行过程中保持不变，经双方协商一致以书面形式予以变更的除外。</w:t>
            </w:r>
          </w:p>
          <w:p/>
          <w:p>
            <w:r>
              <w:rPr/>
              <w:t>售后服务，（1)保修期限：中标人承诺本合同项下设备物资的免费保修期为3年，保修承担方为_中标人或生产厂商__（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 （2)对采购人的服务通知，中标人在接报后12小时内到达现场处理。若在故障48小时内仍未能有效解决，中标人应免费提供主要参数不低于原设备的替代设备并保证其正常运行。 （3)免费保修期满后，如有零部件出现故障，且属于寿命异常问题（明显短于该零部件正常寿命）的，由中标人负责免费更换及维修。 （4) 免费保修期满后，配件及试剂耗材可享官方报价75折优惠。</w:t>
            </w:r>
          </w:p>
          <w:p/>
          <w:p>
            <w:r>
              <w:rPr/>
              <w:t>项目实施要求（安装、调试），（1）所有设备均应按出厂标准及国家有关要求进行包装及运输，免费送货至采购人指定的交货地点，由投标人负责派人负责设备的现场安装和调试。按合同规定的时间交货、安装、调试、验收完毕。在设备的安装、调试、试运行期间, 中标人安装调试人员一切费用自理。 （2）所投设备必须是已注册商标的品牌设备，必须是厂商原装、全新的正品，符合国家及该产品的出厂标准。 （3）设备外观清洁，标记编号以及盘面显示等字体清晰，明确。 （4）对于影响设备正常工作的必要组成部分，无论在技术规范中指出与否，投标人都应提供在投标文件中明确列出。 （5）所有产品、设备提供出厂合格证等质量证明文件。 （6）所投的设备必须是在中国范围内合法销售，符合国家产品质量、技术、安全标准及环保标准。 （7）设备在正确安装后，能确保在正常的使用过程中安全、可靠，并达到有关规定的要求。 （8）投标人须保证提供的产品不侵犯任何第三方的专利、商标或版权。否则，投标人须承担对第三方的专利或版权的侵权责任并承担因此而发生的所有费用。</w:t>
            </w:r>
          </w:p>
          <w:p/>
          <w:p>
            <w:r>
              <w:rPr/>
              <w:t>培训要求，1.投标人必须根据招标文件采购的设备及采用的相关技术，提出培训初步计划，在征得采购人同意后制定详细计划并实施。 2.培训内容：包括安全知识学习、产品体系架构学习、安装、调试、操作的培训、产品的日常维护学习、产品的故障紧急处理。 3.培训对象：技术人员和操作人员。</w:t>
            </w:r>
          </w:p>
          <w:p/>
          <w:p>
            <w:r>
              <w:rPr/>
              <w:t>其他要求，1. 投标人在保证质量的前提下，应能按时完成所有工作内容。 2.在中标后的整个作业期间，中标人若发生人身伤亡、财物或其它损失，无论何种原因所致，采购人和采购代理机构均不负责。</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超高效液相色谱-四极杆飞行时间质谱联用仪</w:t>
            </w:r>
          </w:p>
        </w:tc>
        <w:tc>
          <w:tcPr>
            <w:tcW w:type="dxa" w:w="831"/>
          </w:tcPr>
          <w:p>
            <w:pPr>
              <w:jc w:val="left"/>
            </w:pPr>
            <w:r>
              <w:rPr/>
              <w:t>台</w:t>
            </w:r>
          </w:p>
        </w:tc>
        <w:tc>
          <w:tcPr>
            <w:tcW w:type="dxa" w:w="831"/>
          </w:tcPr>
          <w:p>
            <w:pPr>
              <w:jc w:val="right"/>
            </w:pPr>
            <w:r>
              <w:rPr/>
              <w:t>1.00</w:t>
            </w:r>
          </w:p>
        </w:tc>
        <w:tc>
          <w:tcPr>
            <w:tcW w:type="dxa" w:w="831"/>
          </w:tcPr>
          <w:p>
            <w:pPr>
              <w:jc w:val="right"/>
            </w:pPr>
            <w:r>
              <w:rPr/>
              <w:t>2,900,000.00</w:t>
            </w:r>
          </w:p>
        </w:tc>
        <w:tc>
          <w:tcPr>
            <w:tcW w:type="dxa" w:w="831"/>
          </w:tcPr>
          <w:p>
            <w:pPr>
              <w:jc w:val="right"/>
            </w:pPr>
            <w:r>
              <w:rPr/>
              <w:t>2,900,000.00</w:t>
            </w:r>
          </w:p>
        </w:tc>
        <w:tc>
          <w:tcPr>
            <w:tcW w:type="dxa" w:w="831"/>
          </w:tcPr>
          <w:p>
            <w:r>
              <w:rPr/>
              <w:t>工业</w:t>
            </w:r>
          </w:p>
        </w:tc>
        <w:tc>
          <w:tcPr>
            <w:tcW w:type="dxa" w:w="831"/>
          </w:tcPr>
          <w:p>
            <w:r>
              <w:rPr/>
              <w:t>详见附表一</w:t>
            </w:r>
          </w:p>
        </w:tc>
      </w:tr>
    </w:tbl>
    <w:p/>
    <w:p>
      <w:r>
        <w:rPr>
          <w:b/>
        </w:rPr>
        <w:t>附表</w:t>
      </w:r>
      <w:r>
        <w:rPr>
          <w:b/>
        </w:rPr>
        <w:t>一</w:t>
      </w:r>
      <w:r>
        <w:rPr>
          <w:b/>
        </w:rPr>
        <w:t>：</w:t>
      </w:r>
      <w:r>
        <w:rPr>
          <w:b/>
        </w:rPr>
        <w:t>超高效液相色谱-四极杆飞行时间质谱联用仪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center"/>
                  </w:pPr>
                  <w:r>
                    <w:rPr>
                      <w:b/>
                      <w:sz w:val="21"/>
                    </w:rPr>
                    <w:t>参数性质</w:t>
                  </w:r>
                </w:p>
              </w:tc>
              <w:tc>
                <w:tcPr>
                  <w:tcW w:type="dxa" w:w="452"/>
                  <w:tcBorders>
                    <w:top w:val="single" w:color="000000" w:sz="4"/>
                    <w:left w:val="none" w:color="000000" w:sz="4"/>
                    <w:bottom w:val="single" w:color="000000" w:sz="4"/>
                    <w:right w:val="single" w:color="000000" w:sz="4"/>
                  </w:tcBorders>
                </w:tcPr>
                <w:p>
                  <w:pPr>
                    <w:jc w:val="center"/>
                  </w:pPr>
                  <w:r>
                    <w:rPr>
                      <w:b/>
                      <w:sz w:val="21"/>
                    </w:rPr>
                    <w:t>序号</w:t>
                  </w:r>
                </w:p>
              </w:tc>
              <w:tc>
                <w:tcPr>
                  <w:tcW w:type="dxa" w:w="4411"/>
                  <w:tcBorders>
                    <w:top w:val="single" w:color="000000" w:sz="4"/>
                    <w:left w:val="none" w:color="000000" w:sz="4"/>
                    <w:bottom w:val="single" w:color="000000" w:sz="4"/>
                    <w:right w:val="single" w:color="000000" w:sz="4"/>
                  </w:tcBorders>
                </w:tcPr>
                <w:p>
                  <w:pPr>
                    <w:jc w:val="center"/>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w:t>
                  </w:r>
                </w:p>
              </w:tc>
              <w:tc>
                <w:tcPr>
                  <w:tcW w:type="dxa" w:w="4411"/>
                  <w:tcBorders>
                    <w:top w:val="none" w:color="000000" w:sz="4"/>
                    <w:left w:val="none" w:color="000000" w:sz="4"/>
                    <w:bottom w:val="single" w:color="000000" w:sz="4"/>
                    <w:right w:val="single" w:color="000000" w:sz="4"/>
                  </w:tcBorders>
                </w:tcPr>
                <w:p>
                  <w:pPr>
                    <w:jc w:val="center"/>
                  </w:pPr>
                  <w:r>
                    <w:rPr>
                      <w:b/>
                      <w:sz w:val="21"/>
                    </w:rPr>
                    <w:t>主机参数：</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w:t>
                  </w:r>
                  <w:r>
                    <w:rPr>
                      <w:sz w:val="21"/>
                    </w:rPr>
                    <w:t>超高压混合二元梯度泵</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1.1</w:t>
                  </w:r>
                  <w:r>
                    <w:rPr>
                      <w:sz w:val="21"/>
                    </w:rPr>
                    <w:t>双柱塞串联泵设计，20-100 µL自动连续可变冲程，可在软件里直接调节并提供软件截图证明</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1.2</w:t>
                  </w:r>
                  <w:r>
                    <w:rPr>
                      <w:sz w:val="21"/>
                    </w:rPr>
                    <w:t>流量范围：0.001 mL/min – 5.0 mL/min，递增率0.001 mL/min</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1.3</w:t>
                  </w:r>
                  <w:r>
                    <w:rPr>
                      <w:sz w:val="21"/>
                    </w:rPr>
                    <w:t>流量精度：≤0.07 %RSD</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1.4</w:t>
                  </w:r>
                  <w:r>
                    <w:rPr>
                      <w:sz w:val="21"/>
                    </w:rPr>
                    <w:t>二元泵最大操作压力：不低于18800psi，在0.001ml/min～2.0ml/min范围内可耐受；</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1.5</w:t>
                  </w:r>
                  <w:r>
                    <w:rPr>
                      <w:sz w:val="21"/>
                    </w:rPr>
                    <w:t>组分精度：≤ 0.15 %RSD</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1.6</w:t>
                  </w:r>
                  <w:r>
                    <w:rPr>
                      <w:sz w:val="21"/>
                    </w:rPr>
                    <w:t>延迟体积≤10 µL</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w:t>
                  </w:r>
                  <w:r>
                    <w:rPr>
                      <w:sz w:val="21"/>
                    </w:rPr>
                    <w:t>自动进样器</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10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2.1</w:t>
                  </w:r>
                  <w:r>
                    <w:rPr>
                      <w:sz w:val="21"/>
                    </w:rPr>
                    <w:t>样品容量：可同时容纳≥430位以上2 mL样品瓶,可自动更换样品盘，无需人为干预</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2.2</w:t>
                  </w:r>
                  <w:r>
                    <w:rPr>
                      <w:sz w:val="21"/>
                    </w:rPr>
                    <w:t>进样范围：0.1–20uL，增量为0.1uL，进样精度：≤0.15 % RSD</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2.3</w:t>
                  </w:r>
                  <w:r>
                    <w:rPr>
                      <w:sz w:val="21"/>
                    </w:rPr>
                    <w:t>进样器耐压不低于18800psi，可实现柱前衍生、自动稀释、氨基酸自动衍生分析</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2.4</w:t>
                  </w:r>
                  <w:r>
                    <w:rPr>
                      <w:sz w:val="21"/>
                    </w:rPr>
                    <w:t>交叉污染度：≤ 0.003 %</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2.5</w:t>
                  </w:r>
                  <w:r>
                    <w:rPr>
                      <w:sz w:val="21"/>
                    </w:rPr>
                    <w:t>样品盘温度控制：具有制冷功能，可控制进样温度4-40℃</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3.</w:t>
                  </w:r>
                  <w:r>
                    <w:rPr>
                      <w:sz w:val="21"/>
                    </w:rPr>
                    <w:t>智能化温控柱箱</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16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3.1</w:t>
                  </w:r>
                  <w:r>
                    <w:rPr>
                      <w:sz w:val="21"/>
                    </w:rPr>
                    <w:t>柱温范围：具有智能升、降温功能，控温范围5 – 110℃</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3.2</w:t>
                  </w:r>
                  <w:r>
                    <w:rPr>
                      <w:sz w:val="21"/>
                    </w:rPr>
                    <w:t>温度精度：0.05℃，温度稳定性： 0.03℃</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3.3</w:t>
                  </w:r>
                  <w:r>
                    <w:rPr>
                      <w:sz w:val="21"/>
                    </w:rPr>
                    <w:t>柱容量：可同时放置≥8根10 cm长色谱柱，且可以通过柱温箱内置阀系统进行切换；独立控温区不低于2个（提供厂商官方技术证明文件）</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w:t>
                  </w:r>
                  <w:r>
                    <w:rPr>
                      <w:sz w:val="21"/>
                    </w:rPr>
                    <w:t>四极杆飞行时间质谱</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w:t>
                  </w:r>
                  <w:r>
                    <w:rPr>
                      <w:sz w:val="21"/>
                    </w:rPr>
                    <w:t>灵敏度：柱上进样1 pg 利血平考察子离子174, 195, 397, 448 m/z， S/N&gt; 1500:1</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4.2</w:t>
                  </w:r>
                  <w:r>
                    <w:rPr>
                      <w:sz w:val="21"/>
                    </w:rPr>
                    <w:t>分辨率：</w:t>
                  </w:r>
                  <w:r>
                    <w:rPr>
                      <w:sz w:val="21"/>
                    </w:rPr>
                    <w:t>≥50,000 FWHM at m/z 2,722。改分辨率下扫描速度≥30张谱图/秒</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22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4.3</w:t>
                  </w:r>
                  <w:r>
                    <w:rPr>
                      <w:sz w:val="21"/>
                    </w:rPr>
                    <w:t>谱内动态范围（非线性范围）：</w:t>
                  </w:r>
                  <w:r>
                    <w:rPr>
                      <w:sz w:val="21"/>
                    </w:rPr>
                    <w:t>≥5个数量级</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4.4</w:t>
                  </w:r>
                  <w:r>
                    <w:rPr>
                      <w:sz w:val="21"/>
                    </w:rPr>
                    <w:t>质量精度： &lt; 0.8 ppm</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24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4.5</w:t>
                  </w:r>
                  <w:r>
                    <w:rPr>
                      <w:sz w:val="21"/>
                    </w:rPr>
                    <w:t>质量范围：m/z 30-30,000</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4.6</w:t>
                  </w:r>
                  <w:r>
                    <w:rPr>
                      <w:sz w:val="21"/>
                    </w:rPr>
                    <w:t>质量精度的温度稳定性: 当室温漂移 &lt; 3</w:t>
                  </w:r>
                  <w:r>
                    <w:rPr>
                      <w:sz w:val="21"/>
                    </w:rPr>
                    <w:t>°</w:t>
                  </w:r>
                  <w:r>
                    <w:rPr>
                      <w:sz w:val="21"/>
                    </w:rPr>
                    <w:t>C</w:t>
                  </w:r>
                  <w:r>
                    <w:rPr>
                      <w:sz w:val="21"/>
                    </w:rPr>
                    <w:t>时，质量精度维持1 ppm（提供数据证明文件）</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4.7</w:t>
                  </w:r>
                  <w:r>
                    <w:rPr>
                      <w:sz w:val="21"/>
                    </w:rPr>
                    <w:t>采样速度： 每秒扫描不低于50 张谱图</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4.8</w:t>
                  </w:r>
                  <w:r>
                    <w:rPr>
                      <w:sz w:val="21"/>
                    </w:rPr>
                    <w:t>大气压电离源: 离子源采用喷雾针和毛细管交叉垂直以及加热反吹干燥气设计，并且采用流动相和校准样品双流路喷雾设计，以保证质量准确度。</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4.9</w:t>
                  </w:r>
                  <w:r>
                    <w:rPr>
                      <w:sz w:val="21"/>
                    </w:rPr>
                    <w:t>离子源接口可适用于微径柱、常规分析柱、毛细管电泳和LC-Chip</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4.10</w:t>
                  </w:r>
                  <w:r>
                    <w:rPr>
                      <w:sz w:val="21"/>
                    </w:rPr>
                    <w:t>适用于100%有机相到100%水相，耐用一定浓度的缓冲液</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4.11</w:t>
                  </w:r>
                  <w:r>
                    <w:rPr>
                      <w:sz w:val="21"/>
                    </w:rPr>
                    <w:t>采用喷雾针和毛细管交叉垂直以及加热反吹干燥气设计计的抗污染气喷雾接口，喷雾针位置无需调节，适应全流速范围，同时保持高灵敏度和优异的抗污染能力</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4.12</w:t>
                  </w:r>
                  <w:r>
                    <w:rPr>
                      <w:sz w:val="21"/>
                    </w:rPr>
                    <w:t>离子源切换方便、快速，无需放空; 清洗、维护方便</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32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4.13</w:t>
                  </w:r>
                  <w:r>
                    <w:rPr>
                      <w:sz w:val="21"/>
                    </w:rPr>
                    <w:t>质谱调谐和校正系统： 采用内置调谐液传输系统(CDS)进行全自动质谱调谐及质量轴校正。通过软件控制，可自动进行正负模式的全扫描的质谱参数调谐及质量轴校正，并将调谐结果自动存储为分析方法的一部份。操作简便，完全消除人为干扰。采用 CDS系统，全自动导入参比离子，配合双喷雾口设计，简便高效地进行内标参比质量校正</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33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4.14</w:t>
                  </w:r>
                  <w:r>
                    <w:rPr>
                      <w:sz w:val="21"/>
                    </w:rPr>
                    <w:t>四极杆质量过滤器：双曲面金属四极杆，加热温度≥100度（加热温度提供软件截图证明）</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4.15</w:t>
                  </w:r>
                  <w:r>
                    <w:rPr>
                      <w:sz w:val="21"/>
                    </w:rPr>
                    <w:t>飞行管设计：采用热膨胀系数最小的合金材料制造，且飞行管中还有真空隔热夹套用以维持飞行管的温度，从最大限度防止了实验室环境对质量数的影响。</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4.16</w:t>
                  </w:r>
                  <w:r>
                    <w:rPr>
                      <w:sz w:val="21"/>
                    </w:rPr>
                    <w:t>碰撞池采取线性加速高压六极杆技术消除“记忆效应”及提高采集速度</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4.17</w:t>
                  </w:r>
                  <w:r>
                    <w:rPr>
                      <w:sz w:val="21"/>
                    </w:rPr>
                    <w:t>检测器：高性能光电倍增管检测器，采用模拟数字转换（ADC）操作模式</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4.18</w:t>
                  </w:r>
                  <w:r>
                    <w:rPr>
                      <w:sz w:val="21"/>
                    </w:rPr>
                    <w:t>采集数据速度：≥4G Hz</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4.19</w:t>
                  </w:r>
                  <w:r>
                    <w:rPr>
                      <w:sz w:val="21"/>
                    </w:rPr>
                    <w:t>真空系统: 配有一个大抽速的机械泵和两个独立空气冷却的差分分子涡轮泵。免维护。自动断电保护功能</w:t>
                  </w:r>
                </w:p>
              </w:tc>
            </w:tr>
            <w:tr>
              <w:tc>
                <w:tcPr>
                  <w:tcW w:type="dxa" w:w="735"/>
                  <w:tcBorders>
                    <w:top w:val="none" w:color="000000" w:sz="4"/>
                    <w:left w:val="single" w:color="000000" w:sz="4"/>
                    <w:bottom w:val="single" w:color="000000" w:sz="4"/>
                    <w:right w:val="single" w:color="000000" w:sz="4"/>
                  </w:tcBorders>
                </w:tcPr>
                <w:p>
                  <w:pPr>
                    <w:ind w:firstLine="420"/>
                    <w:jc w:val="center"/>
                  </w:pPr>
                  <w:r>
                    <w:rPr>
                      <w:sz w:val="21"/>
                    </w:rPr>
                    <w:t>▲</w:t>
                  </w:r>
                </w:p>
              </w:tc>
              <w:tc>
                <w:tcPr>
                  <w:tcW w:type="dxa" w:w="452"/>
                  <w:tcBorders>
                    <w:top w:val="none" w:color="000000" w:sz="4"/>
                    <w:left w:val="none" w:color="000000" w:sz="4"/>
                    <w:bottom w:val="single" w:color="000000" w:sz="4"/>
                    <w:right w:val="single" w:color="000000" w:sz="4"/>
                  </w:tcBorders>
                </w:tcPr>
                <w:p>
                  <w:pPr>
                    <w:jc w:val="center"/>
                  </w:pPr>
                  <w:r>
                    <w:rPr>
                      <w:sz w:val="21"/>
                    </w:rPr>
                    <w:t>39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4.20</w:t>
                  </w:r>
                  <w:r>
                    <w:rPr>
                      <w:sz w:val="21"/>
                    </w:rPr>
                    <w:t>飞行时间真空器真空度：不低于10</w:t>
                  </w:r>
                  <w:r>
                    <w:rPr>
                      <w:sz w:val="21"/>
                      <w:vertAlign w:val="superscript"/>
                    </w:rPr>
                    <w:t>-8</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4.21</w:t>
                  </w:r>
                  <w:r>
                    <w:rPr>
                      <w:sz w:val="21"/>
                    </w:rPr>
                    <w:t>色谱和质谱系统需为同一制造厂商生产，以确保软件兼容性和系统稳定性。</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w:t>
                  </w:r>
                  <w:r>
                    <w:rPr>
                      <w:sz w:val="21"/>
                    </w:rPr>
                    <w:t>工作站软件</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5.1</w:t>
                  </w:r>
                  <w:r>
                    <w:rPr>
                      <w:sz w:val="21"/>
                    </w:rPr>
                    <w:t>全自动调谐系统，调谐液自动输送，自动参数优化，无需针泵，无需手动步骤。</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5.2</w:t>
                  </w:r>
                  <w:r>
                    <w:rPr>
                      <w:sz w:val="21"/>
                    </w:rPr>
                    <w:t>数据采集模式：全扫描（SCAN）、选择离子扫描（SIM）</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5.3</w:t>
                  </w:r>
                  <w:r>
                    <w:rPr>
                      <w:sz w:val="21"/>
                    </w:rPr>
                    <w:t>数据相关(Data dependent)扫描功能：离子排除与优先离子选择扫描功能；智能碎裂能量选择功能；优先价态选择扫描</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5.4</w:t>
                  </w:r>
                  <w:r>
                    <w:rPr>
                      <w:sz w:val="21"/>
                    </w:rPr>
                    <w:t>目标离子的质谱/质谱采集: 针对筛查出来的目标化合物进行结构分析和确定</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5.5</w:t>
                  </w:r>
                  <w:r>
                    <w:rPr>
                      <w:sz w:val="21"/>
                    </w:rPr>
                    <w:t>自动的质谱/质谱采集: 根据设定的阈值，自动选择母离子进行二级碎裂，同时得到含有精确质量数信息的母离子和子离子。</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5.6</w:t>
                  </w:r>
                  <w:r>
                    <w:rPr>
                      <w:sz w:val="21"/>
                    </w:rPr>
                    <w:t>一二级质谱同时采集功能: 在一次采集中，同时采集一二级离子的信息</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5.7</w:t>
                  </w:r>
                  <w:r>
                    <w:rPr>
                      <w:sz w:val="21"/>
                    </w:rPr>
                    <w:t>解卷积功能：自动针对非目标物或目标物的小分子或生物大分子进行特征峰（也称化合物或组分）提取</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5.8</w:t>
                  </w:r>
                  <w:r>
                    <w:rPr>
                      <w:sz w:val="21"/>
                    </w:rPr>
                    <w:t>自动依据精确分子量，同位素间隔和同位素比计算每个峰（也称化合物或组分）的分子式</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5.9</w:t>
                  </w:r>
                  <w:r>
                    <w:rPr>
                      <w:sz w:val="21"/>
                    </w:rPr>
                    <w:t>能够进行二级精确质量数的谱库检索</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5.10</w:t>
                  </w:r>
                  <w:r>
                    <w:rPr>
                      <w:sz w:val="21"/>
                    </w:rPr>
                    <w:t>全自动未知物结构推导与解析功能，可自动连接第三方或者本地数据库进行检索</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6.</w:t>
                  </w:r>
                  <w:r>
                    <w:rPr>
                      <w:sz w:val="21"/>
                    </w:rPr>
                    <w:t>工作站硬件</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6.1</w:t>
                  </w:r>
                  <w:r>
                    <w:rPr>
                      <w:sz w:val="21"/>
                    </w:rPr>
                    <w:t>服务器级工作站：配置不低于Intel 4核CPU档次, ≥8GB内存, ≥4×500GB硬盘（两个备份）, 独立显卡，DVD/CD-RW, Microsoft windows 10 操作系统，液晶显示器</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7.</w:t>
                  </w:r>
                  <w:r>
                    <w:rPr>
                      <w:sz w:val="21"/>
                    </w:rPr>
                    <w:t>氮气要求</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7.1</w:t>
                  </w:r>
                  <w:r>
                    <w:rPr>
                      <w:sz w:val="21"/>
                    </w:rPr>
                    <w:t>最大气体输出流速：≥ 35 L/min</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7.2</w:t>
                  </w:r>
                  <w:r>
                    <w:rPr>
                      <w:sz w:val="21"/>
                    </w:rPr>
                    <w:t>最大气体输出压力：≥ 6.9 bar</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配置要求：</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1.</w:t>
                  </w:r>
                  <w:r>
                    <w:rPr>
                      <w:sz w:val="21"/>
                    </w:rPr>
                    <w:t>超高效液相色谱系统包括：二元高压混合梯度泵（含真空脱气机）1台、自动进样器1台、高容量柱温箱1台</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2.</w:t>
                  </w:r>
                  <w:r>
                    <w:rPr>
                      <w:sz w:val="21"/>
                    </w:rPr>
                    <w:t>四极杆-飞行时间质谱系统包括：独立的高灵敏度ESI离子源1个，四极杆-飞行时间质谱主机1台，质谱工作站（含电脑）1套，蛋白分析软件1套</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60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3.</w:t>
                  </w:r>
                  <w:r>
                    <w:rPr>
                      <w:sz w:val="21"/>
                    </w:rPr>
                    <w:t>配套设备：不间断电源1套（10Kva，一小时）、氮气发生器1套</w:t>
                  </w:r>
                </w:p>
              </w:tc>
            </w:tr>
            <w:tr>
              <w:tc>
                <w:tcPr>
                  <w:tcW w:type="dxa" w:w="735"/>
                  <w:tcBorders>
                    <w:top w:val="none" w:color="000000" w:sz="4"/>
                    <w:left w:val="single" w:color="000000" w:sz="4"/>
                    <w:bottom w:val="single" w:color="000000" w:sz="4"/>
                    <w:right w:val="single" w:color="000000" w:sz="4"/>
                  </w:tcBorders>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61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4.</w:t>
                  </w:r>
                  <w:r>
                    <w:rPr>
                      <w:sz w:val="21"/>
                    </w:rPr>
                    <w:t>雾化器针头工具包5个、机械泵油5瓶、色谱柱5根、样品瓶500套</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采购包2（数字病理切片扫描系统）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国产仪器：供货时间为签定合同后 15 天内完成。 进口仪器：供货时间为签定合同后 90 天内完成。</w:t>
            </w:r>
          </w:p>
        </w:tc>
      </w:tr>
      <w:tr>
        <w:tc>
          <w:tcPr>
            <w:tcW w:type="dxa" w:w="4153"/>
          </w:tcPr>
          <w:p>
            <w:r>
              <w:rPr/>
              <w:t>标的提供的地点</w:t>
            </w:r>
          </w:p>
        </w:tc>
        <w:tc>
          <w:tcPr>
            <w:tcW w:type="dxa" w:w="4153"/>
          </w:tcPr>
          <w:p/>
          <w:p>
            <w:r>
              <w:rPr/>
              <w:t>广州中医药大学三元里校区实验/重点学科楼</w:t>
            </w:r>
          </w:p>
        </w:tc>
      </w:tr>
      <w:tr>
        <w:tc>
          <w:tcPr>
            <w:tcW w:type="dxa" w:w="4153"/>
          </w:tcPr>
          <w:p>
            <w:r>
              <w:rPr/>
              <w:t>付款方式</w:t>
            </w:r>
          </w:p>
        </w:tc>
        <w:tc>
          <w:tcPr>
            <w:tcW w:type="dxa" w:w="4153"/>
          </w:tcPr>
          <w:p/>
          <w:p/>
          <w:p>
            <w:r>
              <w:rPr/>
              <w:t>1期：支付比例100%,国产仪器： 鉴于中标人为：中小企业（  ）非中小企业（  ），付款方式按以下第（  ）种执行。 1．如中标人为中小企业：      （1）合同签订且收到履约保证金后5个工作日内采购人向中标人支付合同金额的30%（支付方式含银行转账、支票、银行承兑汇票、商业承兑汇票等形式）。      （2）所有货物验收合格且收到发票后15日内采购人向中标人支付至合同总价的100%（支付方式含银行转账、支票、银行承兑汇票、商业承兑汇票等形式）。      2．如中标人为非中小企业：      所有货物验收合格且收到发票后15日内采购人向中标人支付合同总价的100%（支付方式含银行转账、支票、银行承兑汇票、商业承兑汇票等形式）。 3.采购人在上述期限内，按广东省财政厅规定的支付手续将付款的申请文件递出, 即完成付款义务。但可以协助中标人查询政府审核和支付的进度。 4．履约保证金提交：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5．履约保证金退还： 验收合格至免费保修期满，中标人向采购人申请退还履约保证金，采购人于接到申请后15个工作日内将履约保证金无息退回中标人。 进口仪器： 1.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采购人收到履约保证金后，凭《代理进口合同》按广东省财政厅规定的支付手续在15日内开始办理支付合同总额100%货款给指定外贸代理商。外贸代理商收到全部货款后开具100%的L/C并凭L/C规定的发货单据对外支付全款，或全部货物交采购人后以T/T方式支付100%的货款。 3.采购人在上述期限内，按广东省财政厅规定的支付手续将付款的申请文件递出, 即完成付款义务。但可以协助中标人查询政府审核和支付的进度。 4.验收合格至免费保修期满，中标人向采购人申请退还履约保证金，采购人于接到申请后15个工作日内将履约保证金无息退回中标人。  5.采购人全权委托         公司（外贸代理商）办理进口业务（另行签订代理进口合同），由该公司与中标人结算，代理进口有关的一切费用由中标人承担。</w:t>
            </w:r>
          </w:p>
        </w:tc>
      </w:tr>
      <w:tr>
        <w:tc>
          <w:tcPr>
            <w:tcW w:type="dxa" w:w="4153"/>
          </w:tcPr>
          <w:p>
            <w:r>
              <w:rPr/>
              <w:t>验收要求</w:t>
            </w:r>
          </w:p>
        </w:tc>
        <w:tc>
          <w:tcPr>
            <w:tcW w:type="dxa" w:w="4153"/>
          </w:tcPr>
          <w:p/>
          <w:p/>
          <w:p/>
          <w:p>
            <w:r>
              <w:rPr/>
              <w:t>1期：（一）验收标准：根据采购合同约定进行履约验收。 （二）验收要求： （1）交付验收标准为：符合招标文件、投标文件、合同和响应承诺中采购人认可的合理最佳配置、参数及各项要求。验收的过程如发现性能指标或功能上不符合合同要求时，或经法定第三方计量检测机构计量检定、校准、检测不合格时，均视为验收不合格。投标人应立即整改直至合格。 （2）如供应设备技术指标与项目文件偏差过大导致无法通过验收投入使用的，投标人应免费提供设备的升级以达到验收要求。 （3）货物为原制造商制造的全新产品，整机无污染，无侵权行为、表面无划损、无任何缺陷隐患，在中国境内可依常规安全合法使用。 （4）货物为原厂商未启封全新包装，所有随设备的附件必须齐全。</w:t>
            </w:r>
          </w:p>
        </w:tc>
      </w:tr>
      <w:tr>
        <w:tc>
          <w:tcPr>
            <w:tcW w:type="dxa" w:w="4153"/>
          </w:tcPr>
          <w:p>
            <w:r>
              <w:rPr/>
              <w:t>履约保证金</w:t>
            </w:r>
          </w:p>
        </w:tc>
        <w:tc>
          <w:tcPr>
            <w:tcW w:type="dxa" w:w="4153"/>
          </w:tcPr>
          <w:p/>
          <w:p/>
          <w:p/>
          <w:p/>
          <w:p>
            <w:r>
              <w:rPr/>
              <w:t>收取比例：10%,说明：1.国产仪器： （1）履约保证金提交：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 2.进口仪器： （1）履约保证金提交： 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w:t>
            </w:r>
          </w:p>
        </w:tc>
      </w:tr>
      <w:tr>
        <w:tc>
          <w:tcPr>
            <w:tcW w:type="dxa" w:w="4153"/>
          </w:tcPr>
          <w:p>
            <w:r>
              <w:rPr/>
              <w:t>其他</w:t>
            </w:r>
          </w:p>
        </w:tc>
        <w:tc>
          <w:tcPr>
            <w:tcW w:type="dxa" w:w="4153"/>
          </w:tcPr>
          <w:p/>
          <w:p/>
          <w:p>
            <w:r>
              <w:rPr/>
              <w:t>报价要求，1.投标人报价应为包干总价，该包干总价为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 2.合同价款为包干总价，该包干总价为中标人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人承担。除本合同明确约定的费用外，采购人无需支付任何额外费用和承担任何额外义务。上述合同价款等各项内容在本合同履行过程中保持不变，经双方协商一致以书面形式予以变更的除外。</w:t>
            </w:r>
          </w:p>
          <w:p/>
          <w:p>
            <w:r>
              <w:rPr/>
              <w:t>售后服务，（1)保修期限：中标人承诺本合同项下设备物资的免费保修期为3年，保修承担方为_中标人或生产厂商__（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 （2)对采购人的服务通知，中标人在接报后12小时内到达现场处理。若在故障48小时内仍未能有效解决，中标人应免费提供主要参数不低于原设备的替代设备并保证其正常运行。 （3)免费保修期满后，如有零部件出现故障，且属于寿命异常问题（明显短于该零部件正常寿命）的，由中标人负责免费更换及维修。 （4)免费保修期满后，设备物资维修服务及配件费用享受市价的八折优惠。</w:t>
            </w:r>
          </w:p>
          <w:p/>
          <w:p>
            <w:r>
              <w:rPr/>
              <w:t>项目实施要求（安装、调试），（1）所有设备均应按出厂标准及国家有关要求进行包装及运输，免费送货至采购人指定的交货地点，由投标人负责派人负责设备的现场安装和调试。按合同规定的时间交货、安装、调试、验收完毕。在设备的安装、调试、试运行期间, 中标人安装调试人员一切费用自理。 （2）所投设备必须是已注册商标的品牌设备，必须是厂商原装、全新的正品，符合国家及该产品的出厂标准。 （3）设备外观清洁，标记编号以及盘面显示等字体清晰，明确。 （4）对于影响设备正常工作的必要组成部分，无论在技术规范中指出与否，投标人都应提供在投标文件中明确列出。 （5）所有产品、设备提供出厂合格证等质量证明文件。 （6）所投的设备必须是在中国范围内合法销售，符合国家产品质量、技术、安全标准及环保标准。 （7）设备在正确安装后，能确保在正常的使用过程中安全、可靠，并达到有关规定的要求。 （8）投标人须保证提供的产品不侵犯任何第三方的专利、商标或版权。否则，投标人须承担对第三方的专利或版权的侵权责任并承担因此而发生的所有费用。</w:t>
            </w:r>
          </w:p>
          <w:p/>
          <w:p>
            <w:r>
              <w:rPr/>
              <w:t>培训要求，1.投标人必须根据招标文件采购的设备及采用的相关技术，提出培训初步计划，在征得采购人同意后制定详细计划并实施。 2.培训内容：包括安全知识学习、产品体系架构学习、安装、调试、操作的培训、产品的日常维护学习、产品的故障紧急处理。 3.培训对象：技术人员和操作人员。</w:t>
            </w:r>
          </w:p>
          <w:p/>
          <w:p>
            <w:r>
              <w:rPr/>
              <w:t>其他要求，1. 投标人在保证质量的前提下，应能按时完成所有工作内容。 2.在中标后的整个作业期间，中标人若发生人身伤亡、财物或其它损失，无论何种原因所致，采购人和采购代理机构均不负责。</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数字病理扫描仪</w:t>
            </w:r>
          </w:p>
        </w:tc>
        <w:tc>
          <w:tcPr>
            <w:tcW w:type="dxa" w:w="831"/>
          </w:tcPr>
          <w:p>
            <w:pPr>
              <w:jc w:val="left"/>
            </w:pPr>
            <w:r>
              <w:rPr/>
              <w:t>台</w:t>
            </w:r>
          </w:p>
        </w:tc>
        <w:tc>
          <w:tcPr>
            <w:tcW w:type="dxa" w:w="831"/>
          </w:tcPr>
          <w:p>
            <w:pPr>
              <w:jc w:val="right"/>
            </w:pPr>
            <w:r>
              <w:rPr/>
              <w:t>1.00</w:t>
            </w:r>
          </w:p>
        </w:tc>
        <w:tc>
          <w:tcPr>
            <w:tcW w:type="dxa" w:w="831"/>
          </w:tcPr>
          <w:p>
            <w:pPr>
              <w:jc w:val="right"/>
            </w:pPr>
            <w:r>
              <w:rPr/>
              <w:t>1,098,500.00</w:t>
            </w:r>
          </w:p>
        </w:tc>
        <w:tc>
          <w:tcPr>
            <w:tcW w:type="dxa" w:w="831"/>
          </w:tcPr>
          <w:p>
            <w:pPr>
              <w:jc w:val="right"/>
            </w:pPr>
            <w:r>
              <w:rPr/>
              <w:t>1,098,500.00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数字病理切片扫描系统（其他设备）</w:t>
            </w:r>
          </w:p>
        </w:tc>
        <w:tc>
          <w:tcPr>
            <w:tcW w:type="dxa" w:w="831"/>
          </w:tcPr>
          <w:p>
            <w:pPr>
              <w:jc w:val="left"/>
            </w:pPr>
            <w:r>
              <w:rPr/>
              <w:t>批</w:t>
            </w:r>
          </w:p>
        </w:tc>
        <w:tc>
          <w:tcPr>
            <w:tcW w:type="dxa" w:w="831"/>
          </w:tcPr>
          <w:p>
            <w:pPr>
              <w:jc w:val="right"/>
            </w:pPr>
            <w:r>
              <w:rPr/>
              <w:t>1.00</w:t>
            </w:r>
          </w:p>
        </w:tc>
        <w:tc>
          <w:tcPr>
            <w:tcW w:type="dxa" w:w="831"/>
          </w:tcPr>
          <w:p>
            <w:pPr>
              <w:jc w:val="right"/>
            </w:pPr>
            <w:r>
              <w:rPr/>
              <w:t>321,500.00</w:t>
            </w:r>
          </w:p>
        </w:tc>
        <w:tc>
          <w:tcPr>
            <w:tcW w:type="dxa" w:w="831"/>
          </w:tcPr>
          <w:p>
            <w:pPr>
              <w:jc w:val="right"/>
            </w:pPr>
            <w:r>
              <w:rPr/>
              <w:t>321,500.00</w:t>
            </w:r>
          </w:p>
        </w:tc>
        <w:tc>
          <w:tcPr>
            <w:tcW w:type="dxa" w:w="831"/>
          </w:tcPr>
          <w:p>
            <w:r>
              <w:rPr/>
              <w:t>工业</w:t>
            </w:r>
          </w:p>
        </w:tc>
        <w:tc>
          <w:tcPr>
            <w:tcW w:type="dxa" w:w="831"/>
          </w:tcPr>
          <w:p>
            <w:r>
              <w:rPr/>
              <w:t>详见附表二</w:t>
            </w:r>
          </w:p>
        </w:tc>
      </w:tr>
    </w:tbl>
    <w:p/>
    <w:p>
      <w:r>
        <w:rPr>
          <w:b/>
        </w:rPr>
        <w:t>附表</w:t>
      </w:r>
      <w:r>
        <w:rPr>
          <w:b/>
        </w:rPr>
        <w:t>一</w:t>
      </w:r>
      <w:r>
        <w:rPr>
          <w:b/>
        </w:rPr>
        <w:t>：</w:t>
      </w:r>
      <w:r>
        <w:rPr>
          <w:b/>
        </w:rPr>
        <w:t>数字病理扫描仪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vAlign w:val="top"/>
                </w:tcPr>
                <w:p>
                  <w:pPr>
                    <w:jc w:val="both"/>
                  </w:pPr>
                  <w:r>
                    <w:rPr>
                      <w:b/>
                      <w:color w:val="000000"/>
                      <w:sz w:val="21"/>
                    </w:rPr>
                    <w:t>参数性质</w:t>
                  </w:r>
                </w:p>
              </w:tc>
              <w:tc>
                <w:tcPr>
                  <w:tcW w:type="dxa" w:w="452"/>
                  <w:tcBorders>
                    <w:top w:val="single" w:color="000000" w:sz="4"/>
                    <w:left w:val="none" w:color="000000" w:sz="4"/>
                    <w:bottom w:val="single" w:color="000000" w:sz="4"/>
                    <w:right w:val="single" w:color="000000" w:sz="4"/>
                  </w:tcBorders>
                  <w:vAlign w:val="top"/>
                </w:tcPr>
                <w:p>
                  <w:pPr>
                    <w:jc w:val="both"/>
                  </w:pPr>
                  <w:r>
                    <w:rPr>
                      <w:b/>
                      <w:color w:val="000000"/>
                      <w:sz w:val="21"/>
                    </w:rPr>
                    <w:t>序号</w:t>
                  </w:r>
                </w:p>
              </w:tc>
              <w:tc>
                <w:tcPr>
                  <w:tcW w:type="dxa" w:w="4411"/>
                  <w:tcBorders>
                    <w:top w:val="single" w:color="000000" w:sz="4"/>
                    <w:left w:val="none" w:color="000000" w:sz="4"/>
                    <w:bottom w:val="single" w:color="000000" w:sz="4"/>
                    <w:right w:val="single" w:color="000000" w:sz="4"/>
                  </w:tcBorders>
                  <w:vAlign w:val="top"/>
                </w:tcPr>
                <w:p>
                  <w:pPr>
                    <w:ind w:firstLine="422"/>
                    <w:jc w:val="both"/>
                  </w:pPr>
                  <w:r>
                    <w:rPr>
                      <w:b/>
                      <w:color w:val="000000"/>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w:t>
                  </w:r>
                </w:p>
              </w:tc>
              <w:tc>
                <w:tcPr>
                  <w:tcW w:type="dxa" w:w="4411"/>
                  <w:tcBorders>
                    <w:top w:val="none" w:color="000000" w:sz="4"/>
                    <w:left w:val="none" w:color="000000" w:sz="4"/>
                    <w:bottom w:val="single" w:color="000000" w:sz="4"/>
                    <w:right w:val="single" w:color="000000" w:sz="4"/>
                  </w:tcBorders>
                </w:tcPr>
                <w:p>
                  <w:pPr>
                    <w:jc w:val="both"/>
                  </w:pPr>
                  <w:r>
                    <w:rPr>
                      <w:b/>
                      <w:color w:val="000000"/>
                      <w:sz w:val="21"/>
                    </w:rPr>
                    <w:t>一、 数字病理扫描仪</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切片同时装载数量：≥5片</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荧光扫描速度：≤7min (40×,三通道,曝光20ms,10mm*10mm,NA;0.8)</w:t>
                  </w:r>
                </w:p>
              </w:tc>
            </w:tr>
            <w:tr>
              <w:tc>
                <w:tcPr>
                  <w:tcW w:type="dxa" w:w="735"/>
                  <w:tcBorders>
                    <w:top w:val="none" w:color="000000" w:sz="4"/>
                    <w:left w:val="single" w:color="000000" w:sz="4"/>
                    <w:bottom w:val="single" w:color="000000" w:sz="4"/>
                    <w:right w:val="single" w:color="000000" w:sz="4"/>
                  </w:tcBorders>
                </w:tcPr>
                <w:p>
                  <w:pPr>
                    <w:ind w:firstLine="420"/>
                    <w:jc w:val="both"/>
                  </w:pPr>
                  <w:r>
                    <w:rPr>
                      <w:color w:val="000000"/>
                      <w:sz w:val="21"/>
                    </w:rPr>
                    <w:t>▲</w:t>
                  </w:r>
                </w:p>
              </w:tc>
              <w:tc>
                <w:tcPr>
                  <w:tcW w:type="dxa" w:w="452"/>
                  <w:tcBorders>
                    <w:top w:val="none" w:color="000000" w:sz="4"/>
                    <w:left w:val="none" w:color="000000" w:sz="4"/>
                    <w:bottom w:val="single" w:color="000000" w:sz="4"/>
                    <w:right w:val="single" w:color="000000" w:sz="4"/>
                  </w:tcBorders>
                </w:tcPr>
                <w:p>
                  <w:pPr>
                    <w:jc w:val="both"/>
                  </w:pPr>
                  <w:r>
                    <w:rPr>
                      <w:color w:val="000000"/>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荧光相机：科研级scmos相机，芯片尺寸1.2,量子效率≥80%，有效像素≥400万，像素尺寸≥6.5*6.5（微米），读出噪声2e-（提供相机说明书加盖公章）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5</w:t>
                  </w:r>
                </w:p>
              </w:tc>
              <w:tc>
                <w:tcPr>
                  <w:tcW w:type="dxa" w:w="4411"/>
                  <w:tcBorders>
                    <w:top w:val="none" w:color="000000" w:sz="4"/>
                    <w:left w:val="none" w:color="000000" w:sz="4"/>
                    <w:bottom w:val="single" w:color="000000" w:sz="4"/>
                    <w:right w:val="single" w:color="000000" w:sz="4"/>
                  </w:tcBorders>
                </w:tcPr>
                <w:p>
                  <w:r>
                    <w:rPr>
                      <w:color w:val="000000"/>
                      <w:sz w:val="21"/>
                    </w:rPr>
                    <w:t>具备独立≥6色led荧光光源，非单色光源，提</w:t>
                  </w:r>
                  <w:r>
                    <w:rPr>
                      <w:color w:val="000000"/>
                      <w:sz w:val="21"/>
                    </w:rPr>
                    <w:t>供证明文件，如产品彩页或产品照片，加盖公章。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平台驱动：载片平台采用线性磁轴驱动，非丝杆驱动，确保超高精度控制。（需提供技术说明书加盖生产厂家公章）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明场扫描方式：采用线阵扫描技术，非面相机。（要求提供所使用相机的说明文件及在设备中的实物安装拍照）</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整机一体化设计，没有外联光源等其他硬件，荧光模块直接嵌入数字病理扫描仪，实现扫描仪既能扫描荧光也能扫描明场切片。</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切片规格：可同时加载并扫描1英寸×3英寸、2英寸×3英寸两种规格切片。要求提供所使用两种切片的装载机构在扫描仪中的实物照片。</w:t>
                  </w:r>
                </w:p>
              </w:tc>
            </w:tr>
            <w:tr>
              <w:tc>
                <w:tcPr>
                  <w:tcW w:type="dxa" w:w="735"/>
                  <w:tcBorders>
                    <w:top w:val="none" w:color="000000" w:sz="4"/>
                    <w:left w:val="single" w:color="000000" w:sz="4"/>
                    <w:bottom w:val="single" w:color="000000" w:sz="4"/>
                    <w:right w:val="single" w:color="000000" w:sz="4"/>
                  </w:tcBorders>
                </w:tcPr>
                <w:p>
                  <w:pPr>
                    <w:ind w:firstLine="420"/>
                    <w:jc w:val="both"/>
                  </w:pPr>
                  <w:r>
                    <w:rPr>
                      <w:color w:val="000000"/>
                      <w:sz w:val="21"/>
                    </w:rPr>
                    <w:t>▲</w:t>
                  </w:r>
                </w:p>
              </w:tc>
              <w:tc>
                <w:tcPr>
                  <w:tcW w:type="dxa" w:w="452"/>
                  <w:tcBorders>
                    <w:top w:val="none" w:color="000000" w:sz="4"/>
                    <w:left w:val="none" w:color="000000" w:sz="4"/>
                    <w:bottom w:val="single" w:color="000000" w:sz="4"/>
                    <w:right w:val="single" w:color="000000" w:sz="4"/>
                  </w:tcBorders>
                </w:tcPr>
                <w:p>
                  <w:pPr>
                    <w:jc w:val="both"/>
                  </w:pPr>
                  <w:r>
                    <w:rPr>
                      <w:color w:val="000000"/>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扫描区域：自动识别和人工设定均可，支持通过侧光技术，自动识别无色荧光标本区域，无需手动标记（提供侧光预览截图）</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扫描分辨率：≤0.50μm/pixel(20×), ≤0.25μm/pixel(40×)</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定位精度：扫描系统载物台在X、Y、Z方向的重复定位精度应≤0.05μm。（需提供厂家元器件说明书以及盖章彩页，或官网参数截图作为证明材料。）</w:t>
                  </w:r>
                </w:p>
              </w:tc>
            </w:tr>
            <w:tr>
              <w:tc>
                <w:tcPr>
                  <w:tcW w:type="dxa" w:w="735"/>
                  <w:tcBorders>
                    <w:top w:val="none" w:color="000000" w:sz="4"/>
                    <w:left w:val="single" w:color="000000" w:sz="4"/>
                    <w:bottom w:val="single" w:color="000000" w:sz="4"/>
                    <w:right w:val="single" w:color="000000" w:sz="4"/>
                  </w:tcBorders>
                </w:tcPr>
                <w:p>
                  <w:pPr>
                    <w:ind w:firstLine="420"/>
                    <w:jc w:val="both"/>
                  </w:pPr>
                  <w:r>
                    <w:rPr>
                      <w:color w:val="000000"/>
                      <w:sz w:val="21"/>
                    </w:rPr>
                    <w:t>▲</w:t>
                  </w:r>
                </w:p>
              </w:tc>
              <w:tc>
                <w:tcPr>
                  <w:tcW w:type="dxa" w:w="452"/>
                  <w:tcBorders>
                    <w:top w:val="none" w:color="000000" w:sz="4"/>
                    <w:left w:val="none" w:color="000000" w:sz="4"/>
                    <w:bottom w:val="single" w:color="000000" w:sz="4"/>
                    <w:right w:val="single" w:color="000000" w:sz="4"/>
                  </w:tcBorders>
                </w:tcPr>
                <w:p>
                  <w:pPr>
                    <w:jc w:val="both"/>
                  </w:pPr>
                  <w:r>
                    <w:rPr>
                      <w:color w:val="000000"/>
                      <w:sz w:val="21"/>
                    </w:rPr>
                    <w:t>13</w:t>
                  </w:r>
                </w:p>
              </w:tc>
              <w:tc>
                <w:tcPr>
                  <w:tcW w:type="dxa" w:w="4411"/>
                  <w:tcBorders>
                    <w:top w:val="none" w:color="000000" w:sz="4"/>
                    <w:left w:val="none" w:color="000000" w:sz="4"/>
                    <w:bottom w:val="single" w:color="000000" w:sz="4"/>
                    <w:right w:val="single" w:color="000000" w:sz="4"/>
                  </w:tcBorders>
                </w:tcPr>
                <w:p>
                  <w:r>
                    <w:rPr>
                      <w:color w:val="000000"/>
                      <w:sz w:val="21"/>
                    </w:rPr>
                    <w:t>系统具备在透射光或荧光模式下拍摄置于载玻片下的生物样本的荧光明场整体扫描仪的医疗器械注册证。（需</w:t>
                  </w:r>
                  <w:r>
                    <w:rPr>
                      <w:color w:val="000000"/>
                      <w:sz w:val="21"/>
                    </w:rPr>
                    <w:t>提供证书复印件</w:t>
                  </w:r>
                  <w:r>
                    <w:rPr>
                      <w:color w:val="000000"/>
                      <w:sz w:val="21"/>
                    </w:rPr>
                    <w:t>加盖生产厂家公章）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项目支持团队应具备项目交付相应资质。项目交付团队至少</w:t>
                  </w:r>
                  <w:r>
                    <w:rPr>
                      <w:color w:val="000000"/>
                      <w:sz w:val="21"/>
                    </w:rPr>
                    <w:t>3</w:t>
                  </w:r>
                  <w:r>
                    <w:rPr>
                      <w:color w:val="000000"/>
                      <w:sz w:val="21"/>
                    </w:rPr>
                    <w:t>名成员应具备</w:t>
                  </w:r>
                  <w:r>
                    <w:rPr>
                      <w:color w:val="000000"/>
                      <w:sz w:val="21"/>
                    </w:rPr>
                    <w:t>PMP</w:t>
                  </w:r>
                  <w:r>
                    <w:rPr>
                      <w:color w:val="000000"/>
                      <w:sz w:val="21"/>
                    </w:rPr>
                    <w:t>资质证书，提供证书复印件，社保缴纳证明加盖公章。</w:t>
                  </w:r>
                  <w:r>
                    <w:rPr>
                      <w:color w:val="000000"/>
                      <w:sz w:val="21"/>
                    </w:rPr>
                    <w:t>。</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投标产品具备产品持续升级及项目实施的能力</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16</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支持对接宫颈液基细胞自动分析系统（生产厂家需具备宫颈细胞分析软件医疗器械注册证）</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17</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提供云平台服务，支持自行注册账号，实现切片及其他数据上传、以网页或二维码方式分享切片、病例等。（提供功能截图及云平台入口和账号备查）</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color w:val="000000"/>
                      <w:sz w:val="21"/>
                    </w:rPr>
                    <w:t>18</w:t>
                  </w:r>
                </w:p>
              </w:tc>
              <w:tc>
                <w:tcPr>
                  <w:tcW w:type="dxa" w:w="4411"/>
                  <w:tcBorders>
                    <w:top w:val="none" w:color="000000" w:sz="4"/>
                    <w:left w:val="none" w:color="000000" w:sz="4"/>
                    <w:bottom w:val="single" w:color="000000" w:sz="4"/>
                    <w:right w:val="single" w:color="000000" w:sz="4"/>
                  </w:tcBorders>
                </w:tcPr>
                <w:p>
                  <w:r>
                    <w:rPr>
                      <w:color w:val="000000"/>
                      <w:sz w:val="21"/>
                    </w:rPr>
                    <w:t>涉及远程连接功能的医疗设备，需具备资质的测评机构出具信息安全等级保护三级（含）以上报告</w:t>
                  </w:r>
                  <w:r>
                    <w:rPr>
                      <w:color w:val="000000"/>
                      <w:sz w:val="21"/>
                    </w:rPr>
                    <w:t>提供证书复印件，加盖投标人公章。</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数字病理切片扫描系统（其他设备）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 xml:space="preserve"> </w:t>
            </w:r>
          </w:p>
          <w:p>
            <w:r>
              <w:rPr>
                <w:b/>
                <w:sz w:val="21"/>
              </w:rPr>
              <w:t>数字病理扫描工作站</w:t>
            </w:r>
          </w:p>
          <w:tbl>
            <w:tblPr>
              <w:tblBorders>
                <w:top w:val="none" w:color="000000" w:sz="4"/>
                <w:left w:val="none" w:color="000000" w:sz="4"/>
                <w:bottom w:val="none" w:color="000000" w:sz="4"/>
                <w:right w:val="none" w:color="000000" w:sz="4"/>
                <w:insideH w:val="none"/>
                <w:insideV w:val="none"/>
              </w:tblBorders>
            </w:tblPr>
            <w:tblGrid>
              <w:gridCol w:w="622"/>
              <w:gridCol w:w="565"/>
              <w:gridCol w:w="4411"/>
            </w:tblGrid>
            <w:tr>
              <w:tc>
                <w:tcPr>
                  <w:tcW w:type="dxa" w:w="622"/>
                  <w:tcBorders>
                    <w:top w:val="single" w:color="000000" w:sz="4"/>
                    <w:left w:val="single" w:color="000000" w:sz="4"/>
                    <w:bottom w:val="single" w:color="000000" w:sz="4"/>
                    <w:right w:val="single" w:color="000000" w:sz="4"/>
                  </w:tcBorders>
                  <w:vAlign w:val="top"/>
                </w:tcPr>
                <w:p>
                  <w:pPr>
                    <w:jc w:val="both"/>
                  </w:pPr>
                  <w:r>
                    <w:rPr>
                      <w:b/>
                      <w:sz w:val="21"/>
                    </w:rPr>
                    <w:t>参数性质</w:t>
                  </w:r>
                </w:p>
              </w:tc>
              <w:tc>
                <w:tcPr>
                  <w:tcW w:type="dxa" w:w="565"/>
                  <w:tcBorders>
                    <w:top w:val="single" w:color="000000" w:sz="4"/>
                    <w:left w:val="none" w:color="000000" w:sz="4"/>
                    <w:bottom w:val="single" w:color="000000" w:sz="4"/>
                    <w:right w:val="single" w:color="000000" w:sz="4"/>
                  </w:tcBorders>
                  <w:vAlign w:val="top"/>
                </w:tcPr>
                <w:p>
                  <w:pPr>
                    <w:jc w:val="both"/>
                  </w:pPr>
                  <w:r>
                    <w:rPr>
                      <w:b/>
                      <w:sz w:val="21"/>
                    </w:rPr>
                    <w:t>序号</w:t>
                  </w:r>
                </w:p>
              </w:tc>
              <w:tc>
                <w:tcPr>
                  <w:tcW w:type="dxa" w:w="4411"/>
                  <w:tcBorders>
                    <w:top w:val="single" w:color="000000" w:sz="4"/>
                    <w:left w:val="none" w:color="000000" w:sz="4"/>
                    <w:bottom w:val="single" w:color="000000" w:sz="4"/>
                    <w:right w:val="single" w:color="000000" w:sz="4"/>
                  </w:tcBorders>
                  <w:vAlign w:val="top"/>
                </w:tcPr>
                <w:p>
                  <w:pPr>
                    <w:ind w:firstLine="422"/>
                    <w:jc w:val="both"/>
                  </w:pPr>
                  <w:r>
                    <w:rPr>
                      <w:b/>
                      <w:sz w:val="21"/>
                    </w:rPr>
                    <w:t>具体技术(参数)要求</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一、 数字病理扫描工作站</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CPU</w:t>
                  </w:r>
                  <w:r>
                    <w:rPr>
                      <w:sz w:val="21"/>
                    </w:rPr>
                    <w:t>： 不低于Intel Core i7-12700处理器 核数8核档次</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w:t>
                  </w:r>
                  <w:r>
                    <w:rPr>
                      <w:sz w:val="21"/>
                    </w:rPr>
                    <w:t>内存 ≥16G DDR4 3200MHz 内存</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显卡/声卡 集成显卡/集成声卡,提供前后音频接口</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硬盘 ≥512G M.2固态硬盘+6T SATA3 7200rpm 机械硬盘，具备故障前告警功能</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w:t>
                  </w:r>
                  <w:r>
                    <w:rPr>
                      <w:sz w:val="21"/>
                    </w:rPr>
                    <w:t>集成10/100/1000M以太网卡；</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DVD</w:t>
                  </w:r>
                  <w:r>
                    <w:rPr>
                      <w:sz w:val="21"/>
                    </w:rPr>
                    <w:t>刻录光驱</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1</w:t>
                  </w:r>
                  <w:r>
                    <w:rPr>
                      <w:sz w:val="21"/>
                    </w:rPr>
                    <w:t>个PCI-E*16、1个PCI-E*1 槽位</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显示器 ≥23.8英寸LED显示器</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原厂同品牌标准usb简体抗菌中文键盘和鼠标（提供检测报告），抗菌率不低于99%，支持键盘开关机；</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接口 ≥6个USB接口；</w:t>
                  </w:r>
                </w:p>
              </w:tc>
            </w:tr>
            <w:tr>
              <w:tc>
                <w:tcPr>
                  <w:tcW w:type="dxa" w:w="622"/>
                  <w:tcBorders>
                    <w:top w:val="none" w:color="000000" w:sz="4"/>
                    <w:left w:val="single" w:color="000000" w:sz="4"/>
                    <w:bottom w:val="single" w:color="000000" w:sz="4"/>
                    <w:right w:val="single" w:color="000000" w:sz="4"/>
                  </w:tcBorders>
                </w:tcPr>
                <w:p>
                  <w:pPr>
                    <w:ind w:firstLine="420"/>
                    <w:jc w:val="both"/>
                  </w:pPr>
                  <w:r>
                    <w:rPr>
                      <w:sz w:val="21"/>
                    </w:rPr>
                    <w:t>▲</w:t>
                  </w:r>
                </w:p>
              </w:tc>
              <w:tc>
                <w:tcPr>
                  <w:tcW w:type="dxa" w:w="565"/>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电源 ≥180W电源；主机开关电源符合节能技术规范，其典型效率≥90%（ 须提供第三方验机构出具的相关检测证明复印件）</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运用了高性能本地缓存技术（HPLC），使系统使用极低的网络带宽。</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无条件支持跨网段、VLAN和VPN：PNS对PXE协议进行了扩展，支持DHCP不能穿透的网络，提高了系统的网络适应性。</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w:t>
                  </w:r>
                  <w:r>
                    <w:rPr>
                      <w:sz w:val="21"/>
                    </w:rPr>
                    <w:t>集中设置机的个性化设置信息，信息不会丢失，不需要进行重复设置。</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提供数据网盘，个人数据漫游。</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w:t>
                  </w:r>
                  <w:r>
                    <w:rPr>
                      <w:sz w:val="21"/>
                    </w:rPr>
                    <w:t>双离线系统工作机制。</w:t>
                  </w:r>
                </w:p>
              </w:tc>
            </w:tr>
            <w:tr>
              <w:tc>
                <w:tcPr>
                  <w:tcW w:type="dxa" w:w="622"/>
                  <w:tcBorders>
                    <w:top w:val="none" w:color="000000" w:sz="4"/>
                    <w:left w:val="single" w:color="000000" w:sz="4"/>
                    <w:bottom w:val="single" w:color="000000" w:sz="4"/>
                    <w:right w:val="single" w:color="000000" w:sz="4"/>
                  </w:tcBorders>
                </w:tcPr>
                <w:p>
                  <w:pPr>
                    <w:ind w:firstLine="420"/>
                    <w:jc w:val="both"/>
                  </w:pPr>
                  <w:r>
                    <w:rPr>
                      <w:sz w:val="21"/>
                    </w:rPr>
                    <w:t>★</w:t>
                  </w:r>
                </w:p>
              </w:tc>
              <w:tc>
                <w:tcPr>
                  <w:tcW w:type="dxa" w:w="565"/>
                  <w:tcBorders>
                    <w:top w:val="none" w:color="000000" w:sz="4"/>
                    <w:left w:val="none" w:color="000000" w:sz="4"/>
                    <w:bottom w:val="single" w:color="000000" w:sz="4"/>
                    <w:right w:val="single" w:color="000000" w:sz="4"/>
                  </w:tcBorders>
                </w:tcPr>
                <w:p>
                  <w:pPr>
                    <w:jc w:val="both"/>
                  </w:pPr>
                  <w:r>
                    <w:rPr>
                      <w:sz w:val="21"/>
                    </w:rPr>
                    <w:t>18</w:t>
                  </w:r>
                </w:p>
              </w:tc>
              <w:tc>
                <w:tcPr>
                  <w:tcW w:type="dxa" w:w="4411"/>
                  <w:tcBorders>
                    <w:top w:val="none" w:color="000000" w:sz="4"/>
                    <w:left w:val="none" w:color="000000" w:sz="4"/>
                    <w:bottom w:val="single" w:color="000000" w:sz="4"/>
                    <w:right w:val="single" w:color="000000" w:sz="4"/>
                  </w:tcBorders>
                </w:tcPr>
                <w:p>
                  <w:pPr>
                    <w:ind w:firstLine="420"/>
                  </w:pPr>
                  <w:r>
                    <w:rPr>
                      <w:sz w:val="21"/>
                    </w:rPr>
                    <w:t xml:space="preserve"> </w:t>
                  </w:r>
                  <w:r>
                    <w:rPr>
                      <w:sz w:val="21"/>
                    </w:rPr>
                    <w:t>采用节能特性iPower：iPower客户机系统节能技术，根据系统计算需求，动态地调度CPU和系统的工作频率。</w:t>
                  </w:r>
                  <w:r>
                    <w:rPr>
                      <w:b/>
                      <w:sz w:val="21"/>
                    </w:rPr>
                    <w:t>提供证明材料，加盖公章。</w:t>
                  </w:r>
                </w:p>
              </w:tc>
            </w:tr>
            <w:tr>
              <w:tc>
                <w:tcPr>
                  <w:tcW w:type="dxa" w:w="622"/>
                  <w:tcBorders>
                    <w:top w:val="none" w:color="000000" w:sz="4"/>
                    <w:left w:val="single" w:color="000000" w:sz="4"/>
                    <w:bottom w:val="single" w:color="000000" w:sz="4"/>
                    <w:right w:val="single" w:color="000000" w:sz="4"/>
                  </w:tcBorders>
                </w:tcPr>
                <w:p>
                  <w:pPr>
                    <w:ind w:firstLine="420"/>
                    <w:jc w:val="both"/>
                  </w:pPr>
                </w:p>
              </w:tc>
              <w:tc>
                <w:tcPr>
                  <w:tcW w:type="dxa" w:w="565"/>
                  <w:tcBorders>
                    <w:top w:val="none" w:color="000000" w:sz="4"/>
                    <w:left w:val="none" w:color="000000" w:sz="4"/>
                    <w:bottom w:val="single" w:color="000000" w:sz="4"/>
                    <w:right w:val="single" w:color="000000" w:sz="4"/>
                  </w:tcBorders>
                </w:tcPr>
                <w:p>
                  <w:pPr>
                    <w:jc w:val="both"/>
                  </w:pPr>
                  <w:r>
                    <w:rPr>
                      <w:sz w:val="21"/>
                    </w:rPr>
                    <w:t>19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采用元数据动态关联技术（DML），端口控制技术和输出审计技术，有效地保证了数据信息安全。</w:t>
                  </w:r>
                </w:p>
              </w:tc>
            </w:tr>
            <w:tr>
              <w:tc>
                <w:tcPr>
                  <w:tcW w:type="dxa" w:w="622"/>
                  <w:tcBorders>
                    <w:top w:val="none" w:color="000000" w:sz="4"/>
                    <w:left w:val="single" w:color="000000" w:sz="4"/>
                    <w:bottom w:val="single" w:color="000000" w:sz="4"/>
                    <w:right w:val="single" w:color="000000" w:sz="4"/>
                  </w:tcBorders>
                </w:tcPr>
                <w:p>
                  <w:pPr>
                    <w:ind w:firstLine="420"/>
                    <w:jc w:val="both"/>
                  </w:pPr>
                  <w:r>
                    <w:rPr>
                      <w:sz w:val="21"/>
                    </w:rPr>
                    <w:t>▲</w:t>
                  </w:r>
                </w:p>
              </w:tc>
              <w:tc>
                <w:tcPr>
                  <w:tcW w:type="dxa" w:w="565"/>
                  <w:tcBorders>
                    <w:top w:val="none" w:color="000000" w:sz="4"/>
                    <w:left w:val="none" w:color="000000" w:sz="4"/>
                    <w:bottom w:val="single" w:color="000000" w:sz="4"/>
                    <w:right w:val="single" w:color="000000" w:sz="4"/>
                  </w:tcBorders>
                </w:tcPr>
                <w:p>
                  <w:pPr>
                    <w:jc w:val="both"/>
                  </w:pPr>
                  <w:r>
                    <w:rPr>
                      <w:sz w:val="21"/>
                    </w:rPr>
                    <w:t>20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售后服务 计算机厂商承诺三年免费保修及上门服务（含显示器、鼠标、键盘等所有部件），原厂7*24小时400/800售后电话支持。（提供服务承诺函）</w:t>
                  </w:r>
                </w:p>
              </w:tc>
            </w:tr>
          </w:tbl>
        </w:tc>
      </w:tr>
      <w:tr>
        <w:tc>
          <w:tcPr>
            <w:tcW w:type="dxa" w:w="2076"/>
          </w:tcPr>
          <w:p/>
        </w:tc>
        <w:tc>
          <w:tcPr>
            <w:tcW w:type="dxa" w:w="415"/>
          </w:tcPr>
          <w:p>
            <w:r>
              <w:rPr/>
              <w:t>2</w:t>
            </w:r>
          </w:p>
        </w:tc>
        <w:tc>
          <w:tcPr>
            <w:tcW w:type="dxa" w:w="5814"/>
          </w:tcPr>
          <w:p>
            <w:r>
              <w:rPr>
                <w:b/>
                <w:sz w:val="21"/>
              </w:rPr>
              <w:t>扫描控制系统</w:t>
            </w: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b/>
                      <w:sz w:val="21"/>
                    </w:rPr>
                    <w:t>参数性质</w:t>
                  </w:r>
                </w:p>
              </w:tc>
              <w:tc>
                <w:tcPr>
                  <w:tcW w:type="dxa" w:w="452"/>
                  <w:tcBorders>
                    <w:top w:val="single" w:color="000000" w:sz="4"/>
                    <w:left w:val="none" w:color="000000" w:sz="4"/>
                    <w:bottom w:val="single" w:color="000000" w:sz="4"/>
                    <w:right w:val="single" w:color="000000" w:sz="4"/>
                  </w:tcBorders>
                </w:tcPr>
                <w:p>
                  <w:pPr>
                    <w:jc w:val="both"/>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both"/>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二、 扫描控制系统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切片命名：人工输入&amp;自动识别条形码(如切片编码为条形码，仪器可自动识别条形码)</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自动识别/手动设置扫描区域，自动设置焦点。</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扫描预览功能：支持多红框、多通道、多层模式扫描。扫描过程中，在显示器上可以看到扫描切片的编号，以及切片扫描的区域位置。</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切片关机续扫功能，支持扫描结束自动关机</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支持手动显微镜功能（实时预览、自动对焦、自动曝光等功能）</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智能化曝光值配置（实时浏览、自动曝光、自动对焦、设置曝光值等功能）</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不规则区域的自动识别（区域识别、焦点识别）</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支持多选区域进行扫描</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支持自动跳过空白区域进行扫描</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支持光场调节，自动根据灰尘、切片等情况调整扫描参数，提高扫描效果</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支持快速批量导入切片名称</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切片命名：人工输入&amp;自动识别条形码(如切片编码为条形码，仪器可自动识别条形码)</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自动识别/手动设置扫描区域，自动设置焦点。</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扫描预览功能：支持多红框、多通道、多层模式扫描。扫描过程中，在显示器上可以看到扫描切片的编号，以及切片扫描的区域位置。</w:t>
                  </w:r>
                </w:p>
              </w:tc>
            </w:tr>
          </w:tbl>
        </w:tc>
      </w:tr>
      <w:tr>
        <w:tc>
          <w:tcPr>
            <w:tcW w:type="dxa" w:w="2076"/>
          </w:tcPr>
          <w:p/>
        </w:tc>
        <w:tc>
          <w:tcPr>
            <w:tcW w:type="dxa" w:w="415"/>
          </w:tcPr>
          <w:p>
            <w:r>
              <w:rPr/>
              <w:t>3</w:t>
            </w:r>
          </w:p>
        </w:tc>
        <w:tc>
          <w:tcPr>
            <w:tcW w:type="dxa" w:w="5814"/>
          </w:tcPr>
          <w:p>
            <w:r>
              <w:rPr>
                <w:b/>
                <w:sz w:val="21"/>
              </w:rPr>
              <w:t>病理案例编辑系统</w:t>
            </w: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left"/>
                  </w:pPr>
                  <w:r>
                    <w:rPr>
                      <w:b/>
                      <w:sz w:val="21"/>
                    </w:rPr>
                    <w:t>参数性质</w:t>
                  </w:r>
                </w:p>
              </w:tc>
              <w:tc>
                <w:tcPr>
                  <w:tcW w:type="dxa" w:w="452"/>
                  <w:tcBorders>
                    <w:top w:val="single" w:color="000000" w:sz="4"/>
                    <w:left w:val="none" w:color="000000" w:sz="4"/>
                    <w:bottom w:val="single" w:color="000000" w:sz="4"/>
                    <w:right w:val="single" w:color="000000" w:sz="4"/>
                  </w:tcBorders>
                </w:tcPr>
                <w:p>
                  <w:pPr>
                    <w:jc w:val="left"/>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left"/>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1</w:t>
                  </w:r>
                </w:p>
              </w:tc>
              <w:tc>
                <w:tcPr>
                  <w:tcW w:type="dxa" w:w="4411"/>
                  <w:tcBorders>
                    <w:top w:val="none" w:color="000000" w:sz="4"/>
                    <w:left w:val="none" w:color="000000" w:sz="4"/>
                    <w:bottom w:val="single" w:color="000000" w:sz="4"/>
                    <w:right w:val="single" w:color="000000" w:sz="4"/>
                  </w:tcBorders>
                </w:tcPr>
                <w:p>
                  <w:pPr>
                    <w:jc w:val="left"/>
                  </w:pPr>
                  <w:r>
                    <w:rPr>
                      <w:b/>
                      <w:sz w:val="21"/>
                    </w:rPr>
                    <w:t>三、 病理案例编辑系统</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2</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图像调节：可以对图像进行对比度、亮度和 Gamma 校正，便于分析. 可自行选择扫描荧光通道颜色。</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3</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图像显示：放大或者缩小,  移动位置等，并支持自动播放模式，为医生节省宝贵时间同时又不遗漏任何切片细节。</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4</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图像标注/测量功能：可以利用软件在图像上添加注释，包括矩形、圆、线条、箭头以及标示性旗帜。</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5</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提供快速导航，当需要重现时可以方便地找到标示的地方</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6</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支持同屏浏览，多张切片同步移动，旋转。</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7</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图像调节：可以对图像进行对比度、亮度和Gamma值校正，便于分析.</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8</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图像显示：任意无级放大或者缩小, 移动位置，并支持自动播放模式，节省时间</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9</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快速倍率切换：提供了一般显微镜的常用观察物镜所用的放大倍率，可快速在几个常用放大倍率之间切换</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10</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支持全屏图像输出、感兴趣区域截图。</w:t>
                  </w:r>
                </w:p>
              </w:tc>
            </w:tr>
            <w:tr>
              <w:tc>
                <w:tcPr>
                  <w:tcW w:type="dxa" w:w="735"/>
                  <w:tcBorders>
                    <w:top w:val="none" w:color="000000" w:sz="4"/>
                    <w:left w:val="single" w:color="000000" w:sz="4"/>
                    <w:bottom w:val="single" w:color="000000" w:sz="4"/>
                    <w:right w:val="single" w:color="000000" w:sz="4"/>
                  </w:tcBorders>
                </w:tcPr>
                <w:p>
                  <w:pPr>
                    <w:ind w:firstLine="420"/>
                    <w:jc w:val="left"/>
                  </w:pPr>
                </w:p>
              </w:tc>
              <w:tc>
                <w:tcPr>
                  <w:tcW w:type="dxa" w:w="452"/>
                  <w:tcBorders>
                    <w:top w:val="none" w:color="000000" w:sz="4"/>
                    <w:left w:val="none" w:color="000000" w:sz="4"/>
                    <w:bottom w:val="single" w:color="000000" w:sz="4"/>
                    <w:right w:val="single" w:color="000000" w:sz="4"/>
                  </w:tcBorders>
                </w:tcPr>
                <w:p>
                  <w:pPr>
                    <w:jc w:val="left"/>
                  </w:pPr>
                  <w:r>
                    <w:rPr>
                      <w:sz w:val="21"/>
                    </w:rPr>
                    <w:t>11</w:t>
                  </w:r>
                </w:p>
              </w:tc>
              <w:tc>
                <w:tcPr>
                  <w:tcW w:type="dxa" w:w="4411"/>
                  <w:tcBorders>
                    <w:top w:val="none" w:color="000000" w:sz="4"/>
                    <w:left w:val="none" w:color="000000" w:sz="4"/>
                    <w:bottom w:val="single" w:color="000000" w:sz="4"/>
                    <w:right w:val="single" w:color="000000" w:sz="4"/>
                  </w:tcBorders>
                </w:tcPr>
                <w:p>
                  <w:pPr>
                    <w:ind w:firstLine="420"/>
                    <w:jc w:val="left"/>
                  </w:pPr>
                  <w:r>
                    <w:rPr>
                      <w:sz w:val="21"/>
                    </w:rPr>
                    <w:t>图像质量：全息无缝隙图像。</w:t>
                  </w:r>
                </w:p>
              </w:tc>
            </w:tr>
          </w:tbl>
        </w:tc>
      </w:tr>
      <w:tr>
        <w:tc>
          <w:tcPr>
            <w:tcW w:type="dxa" w:w="2076"/>
          </w:tcPr>
          <w:p/>
        </w:tc>
        <w:tc>
          <w:tcPr>
            <w:tcW w:type="dxa" w:w="415"/>
          </w:tcPr>
          <w:p>
            <w:r>
              <w:rPr/>
              <w:t>4</w:t>
            </w:r>
          </w:p>
        </w:tc>
        <w:tc>
          <w:tcPr>
            <w:tcW w:type="dxa" w:w="5814"/>
          </w:tcPr>
          <w:p>
            <w:r>
              <w:rPr>
                <w:b/>
                <w:sz w:val="21"/>
              </w:rPr>
              <w:t>病理案例管理系统</w:t>
            </w: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center"/>
                  </w:pPr>
                  <w:r>
                    <w:rPr>
                      <w:b/>
                      <w:sz w:val="21"/>
                    </w:rPr>
                    <w:t>参数性质</w:t>
                  </w:r>
                </w:p>
              </w:tc>
              <w:tc>
                <w:tcPr>
                  <w:tcW w:type="dxa" w:w="452"/>
                  <w:tcBorders>
                    <w:top w:val="single" w:color="000000" w:sz="4"/>
                    <w:left w:val="none" w:color="000000" w:sz="4"/>
                    <w:bottom w:val="single" w:color="000000" w:sz="4"/>
                    <w:right w:val="single" w:color="000000" w:sz="4"/>
                  </w:tcBorders>
                </w:tcPr>
                <w:p>
                  <w:pPr>
                    <w:jc w:val="center"/>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center"/>
                  </w:pPr>
                  <w:r>
                    <w:rPr>
                      <w:b/>
                      <w:sz w:val="21"/>
                    </w:rPr>
                    <w:t>具体技术(参数)要求</w:t>
                  </w:r>
                </w:p>
              </w:tc>
            </w:tr>
            <w:tr>
              <w:tc>
                <w:tcPr>
                  <w:tcW w:type="dxa" w:w="735"/>
                  <w:tcBorders>
                    <w:top w:val="none" w:color="000000" w:sz="4"/>
                    <w:left w:val="single" w:color="000000" w:sz="4"/>
                    <w:bottom w:val="single" w:color="000000" w:sz="4"/>
                    <w:right w:val="single" w:color="000000" w:sz="4"/>
                  </w:tcBorders>
                  <w:vAlign w:val="top"/>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四、 病理案例管理系统</w:t>
                  </w:r>
                </w:p>
              </w:tc>
            </w:tr>
            <w:tr>
              <w:tc>
                <w:tcPr>
                  <w:tcW w:type="dxa" w:w="735"/>
                  <w:tcBorders>
                    <w:top w:val="none" w:color="000000" w:sz="4"/>
                    <w:left w:val="single" w:color="000000" w:sz="4"/>
                    <w:bottom w:val="single" w:color="000000" w:sz="4"/>
                    <w:right w:val="single" w:color="000000" w:sz="4"/>
                  </w:tcBorders>
                  <w:vAlign w:val="top"/>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可通过网页登陆切片管理软件，支持服务器部署</w:t>
                  </w:r>
                </w:p>
              </w:tc>
            </w:tr>
            <w:tr>
              <w:tc>
                <w:tcPr>
                  <w:tcW w:type="dxa" w:w="735"/>
                  <w:tcBorders>
                    <w:top w:val="none" w:color="000000" w:sz="4"/>
                    <w:left w:val="single" w:color="000000" w:sz="4"/>
                    <w:bottom w:val="single" w:color="000000" w:sz="4"/>
                    <w:right w:val="single" w:color="000000" w:sz="4"/>
                  </w:tcBorders>
                  <w:vAlign w:val="top"/>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支持切片管理软件人员账号权限管理</w:t>
                  </w:r>
                </w:p>
              </w:tc>
            </w:tr>
            <w:tr>
              <w:tc>
                <w:tcPr>
                  <w:tcW w:type="dxa" w:w="735"/>
                  <w:tcBorders>
                    <w:top w:val="none" w:color="000000" w:sz="4"/>
                    <w:left w:val="single" w:color="000000" w:sz="4"/>
                    <w:bottom w:val="single" w:color="000000" w:sz="4"/>
                    <w:right w:val="single" w:color="000000" w:sz="4"/>
                  </w:tcBorders>
                  <w:vAlign w:val="top"/>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支持切片管理，删除、添加、修改切片图像参数，如伽马、亮度等</w:t>
                  </w:r>
                </w:p>
              </w:tc>
            </w:tr>
            <w:tr>
              <w:tc>
                <w:tcPr>
                  <w:tcW w:type="dxa" w:w="735"/>
                  <w:tcBorders>
                    <w:top w:val="none" w:color="000000" w:sz="4"/>
                    <w:left w:val="single" w:color="000000" w:sz="4"/>
                    <w:bottom w:val="single" w:color="000000" w:sz="4"/>
                    <w:right w:val="single" w:color="000000" w:sz="4"/>
                  </w:tcBorders>
                  <w:vAlign w:val="top"/>
                </w:tcPr>
                <w:p>
                  <w:pPr>
                    <w:ind w:firstLine="420"/>
                    <w:jc w:val="center"/>
                  </w:pPr>
                </w:p>
              </w:tc>
              <w:tc>
                <w:tcPr>
                  <w:tcW w:type="dxa" w:w="452"/>
                  <w:tcBorders>
                    <w:top w:val="none" w:color="000000" w:sz="4"/>
                    <w:left w:val="none" w:color="000000" w:sz="4"/>
                    <w:bottom w:val="single" w:color="000000" w:sz="4"/>
                    <w:right w:val="single" w:color="000000" w:sz="4"/>
                  </w:tcBorders>
                </w:tcPr>
                <w:p>
                  <w:pPr>
                    <w:jc w:val="center"/>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支持切片分类分库储存，有展示列表及分类选项，支持快速搜索。</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采购包3（荧光定量PCR仪）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国产仪器：供货时间为签定合同后 15 天内完成。 进口仪器：供货时间为签定合同后 90 天内完成。</w:t>
            </w:r>
          </w:p>
        </w:tc>
      </w:tr>
      <w:tr>
        <w:tc>
          <w:tcPr>
            <w:tcW w:type="dxa" w:w="4153"/>
          </w:tcPr>
          <w:p>
            <w:r>
              <w:rPr/>
              <w:t>标的提供的地点</w:t>
            </w:r>
          </w:p>
        </w:tc>
        <w:tc>
          <w:tcPr>
            <w:tcW w:type="dxa" w:w="4153"/>
          </w:tcPr>
          <w:p/>
          <w:p>
            <w:r>
              <w:rPr/>
              <w:t>广州中医药大学三元里校区实验/重点学科楼</w:t>
            </w:r>
          </w:p>
        </w:tc>
      </w:tr>
      <w:tr>
        <w:tc>
          <w:tcPr>
            <w:tcW w:type="dxa" w:w="4153"/>
          </w:tcPr>
          <w:p>
            <w:r>
              <w:rPr/>
              <w:t>付款方式</w:t>
            </w:r>
          </w:p>
        </w:tc>
        <w:tc>
          <w:tcPr>
            <w:tcW w:type="dxa" w:w="4153"/>
          </w:tcPr>
          <w:p/>
          <w:p/>
          <w:p>
            <w:r>
              <w:rPr/>
              <w:t>1期：支付比例100%,国产仪器： 鉴于中标人为：中小企业（  ）非中小企业（  ），付款方式按以下第（  ）种执行。 1．如中标人为中小企业：      （1）合同签订且收到履约保证金后5个工作日内采购人向中标人支付合同金额的30%（支付方式含银行转账、支票、银行承兑汇票、商业承兑汇票等形式）。      （2）所有货物验收合格且收到发票后15日内采购人向中标人支付至合同总价的100%（支付方式含银行转账、支票、银行承兑汇票、商业承兑汇票等形式）。      2．如中标人为非中小企业：      所有货物验收合格且收到发票后15日内采购人向中标人支付合同总价的100%（支付方式含银行转账、支票、银行承兑汇票、商业承兑汇票等形式）。 3.采购人在上述期限内，按广东省财政厅规定的支付手续将付款的申请文件递出, 即完成付款义务。但可以协助中标人查询政府审核和支付的进度。 4．履约保证金提交：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5．履约保证金退还： 验收合格至免费保修期满，中标人向采购人申请退还履约保证金，采购人于接到申请后15个工作日内将履约保证金无息退回中标人。 进口仪器： 1.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采购人收到履约保证金后，凭《代理进口合同》按广东省财政厅规定的支付手续在15日内开始办理支付合同总额100%货款给指定外贸代理商。外贸代理商收到全部货款后开具100%的L/C并凭L/C规定的发货单据对外支付全款，或全部货物交采购人后以T/T方式支付100%的货款。 3.采购人在上述期限内，按广东省财政厅规定的支付手续将付款的申请文件递出, 即完成付款义务。但可以协助中标人查询政府审核和支付的进度。 4.验收合格至免费保修期满，中标人向采购人申请退还履约保证金，采购人于接到申请后15个工作日内将履约保证金无息退回中标人。  5.采购人全权委托         公司（外贸代理商）办理进口业务（另行签订代理进口合同），由该公司与中标人结算，代理进口有关的一切费用由中标人承担。</w:t>
            </w:r>
          </w:p>
        </w:tc>
      </w:tr>
      <w:tr>
        <w:tc>
          <w:tcPr>
            <w:tcW w:type="dxa" w:w="4153"/>
          </w:tcPr>
          <w:p>
            <w:r>
              <w:rPr/>
              <w:t>验收要求</w:t>
            </w:r>
          </w:p>
        </w:tc>
        <w:tc>
          <w:tcPr>
            <w:tcW w:type="dxa" w:w="4153"/>
          </w:tcPr>
          <w:p/>
          <w:p/>
          <w:p/>
          <w:p>
            <w:r>
              <w:rPr/>
              <w:t>1期：（一）验收标准：根据采购合同约定进行履约验收。 （二）验收要求： （1）交付验收标准为：符合招标文件、投标文件、合同和响应承诺中采购人认可的合理最佳配置、参数及各项要求。验收的过程如发现性能指标或功能上不符合合同要求时，或经法定第三方计量检测机构计量检定、校准、检测不合格时，均视为验收不合格。投标人应立即整改直至合格。 （2）如供应设备技术指标与项目文件偏差过大导致无法通过验收投入使用的，投标人应免费提供设备的升级以达到验收要求。 （3）货物为原制造商制造的全新产品，整机无污染，无侵权行为、表面无划损、无任何缺陷隐患，在中国境内可依常规安全合法使用。 （4）货物为原厂商未启封全新包装，所有随设备的附件必须齐全。</w:t>
            </w:r>
          </w:p>
        </w:tc>
      </w:tr>
      <w:tr>
        <w:tc>
          <w:tcPr>
            <w:tcW w:type="dxa" w:w="4153"/>
          </w:tcPr>
          <w:p>
            <w:r>
              <w:rPr/>
              <w:t>履约保证金</w:t>
            </w:r>
          </w:p>
        </w:tc>
        <w:tc>
          <w:tcPr>
            <w:tcW w:type="dxa" w:w="4153"/>
          </w:tcPr>
          <w:p/>
          <w:p/>
          <w:p/>
          <w:p/>
          <w:p>
            <w:r>
              <w:rPr/>
              <w:t>收取比例：10%,说明：1.国产仪器： （1）履约保证金提交：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 2.进口仪器： （1）履约保证金提交： 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w:t>
            </w:r>
          </w:p>
        </w:tc>
      </w:tr>
      <w:tr>
        <w:tc>
          <w:tcPr>
            <w:tcW w:type="dxa" w:w="4153"/>
          </w:tcPr>
          <w:p>
            <w:r>
              <w:rPr/>
              <w:t>其他</w:t>
            </w:r>
          </w:p>
        </w:tc>
        <w:tc>
          <w:tcPr>
            <w:tcW w:type="dxa" w:w="4153"/>
          </w:tcPr>
          <w:p/>
          <w:p/>
          <w:p>
            <w:r>
              <w:rPr/>
              <w:t>报价要求，1.投标人报价应为包干总价，该包干总价为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 2.合同价款为包干总价，该包干总价为中标人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人承担。除本合同明确约定的费用外，采购人无需支付任何额外费用和承担任何额外义务。上述合同价款等各项内容在本合同履行过程中保持不变，经双方协商一致以书面形式予以变更的除外。</w:t>
            </w:r>
          </w:p>
          <w:p/>
          <w:p>
            <w:r>
              <w:rPr/>
              <w:t>售后服务，（1)保修期限：中标人承诺本合同项下设备物资的免费保修期为5年，保修承担方为__中标人或生产厂商_（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 （2)对采购人的服务通知，中标人在接报后12小时内到达现场处理。若在故障48小时内仍未能有效解决，中标人应免费提供主要参数不低于原设备的替代设备并保证其正常运行。 （3)免费保修期满后，如有零部件出现故障，且属于寿命异常问题（明显短于该零部件正常寿命）的，由中标人负责免费更换及维修。 （4)免费保修期满后，设备物资维修服务及配件费用享受市价的八折优惠。</w:t>
            </w:r>
          </w:p>
          <w:p/>
          <w:p>
            <w:r>
              <w:rPr/>
              <w:t>项目实施要求（安装、调试），（1）所有设备均应按出厂标准及国家有关要求进行包装及运输，免费送货至采购人指定的交货地点，由投标人负责派人负责设备的现场安装和调试。按合同规定的时间交货、安装、调试、验收完毕。在设备的安装、调试、试运行期间, 中标人安装调试人员一切费用自理。 （2）所投设备必须是已注册商标的品牌设备，必须是厂商原装、全新的正品，符合国家及该产品的出厂标准。 （3）设备外观清洁，标记编号以及盘面显示等字体清晰，明确。 （4）对于影响设备正常工作的必要组成部分，无论在技术规范中指出与否，投标人都应提供在投标文件中明确列出。 （5）所有产品、设备提供出厂合格证等质量证明文件。 （6）所投的设备必须是在中国范围内合法销售，符合国家产品质量、技术、安全标准及环保标准。 （7）设备在正确安装后，能确保在正常的使用过程中安全、可靠，并达到有关规定的要求。 （8）投标人须保证提供的产品不侵犯任何第三方的专利、商标或版权。否则，投标人须承担对第三方的专利或版权的侵权责任并承担因此而发生的所有费用。</w:t>
            </w:r>
          </w:p>
          <w:p/>
          <w:p>
            <w:r>
              <w:rPr/>
              <w:t>培训要求，1.投标人必须根据招标文件采购的设备及采用的相关技术，提出培训初步计划，在征得采购人同意后制定详细计划并实施。 2.培训内容：包括安全知识学习、产品体系架构学习、安装、调试、操作的培训、产品的日常维护学习、产品的故障紧急处理。 3.培训对象：技术人员和操作人员。</w:t>
            </w:r>
          </w:p>
          <w:p/>
          <w:p>
            <w:r>
              <w:rPr/>
              <w:t>其他要求，1. 投标人在保证质量的前提下，应能按时完成所有工作内容。 2.在中标后的整个作业期间，中标人若发生人身伤亡、财物或其它损失，无论何种原因所致，采购人和采购代理机构均不负责。</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荧光定量PCR仪</w:t>
            </w:r>
          </w:p>
        </w:tc>
        <w:tc>
          <w:tcPr>
            <w:tcW w:type="dxa" w:w="831"/>
          </w:tcPr>
          <w:p>
            <w:pPr>
              <w:jc w:val="left"/>
            </w:pPr>
            <w:r>
              <w:rPr/>
              <w:t>台</w:t>
            </w:r>
          </w:p>
        </w:tc>
        <w:tc>
          <w:tcPr>
            <w:tcW w:type="dxa" w:w="831"/>
          </w:tcPr>
          <w:p>
            <w:pPr>
              <w:jc w:val="right"/>
            </w:pPr>
            <w:r>
              <w:rPr/>
              <w:t>1.00</w:t>
            </w:r>
          </w:p>
        </w:tc>
        <w:tc>
          <w:tcPr>
            <w:tcW w:type="dxa" w:w="831"/>
          </w:tcPr>
          <w:p>
            <w:pPr>
              <w:jc w:val="right"/>
            </w:pPr>
            <w:r>
              <w:rPr/>
              <w:t>490,000.00</w:t>
            </w:r>
          </w:p>
        </w:tc>
        <w:tc>
          <w:tcPr>
            <w:tcW w:type="dxa" w:w="831"/>
          </w:tcPr>
          <w:p>
            <w:pPr>
              <w:jc w:val="right"/>
            </w:pPr>
            <w:r>
              <w:rPr/>
              <w:t>490,000.00</w:t>
            </w:r>
          </w:p>
        </w:tc>
        <w:tc>
          <w:tcPr>
            <w:tcW w:type="dxa" w:w="831"/>
          </w:tcPr>
          <w:p>
            <w:r>
              <w:rPr/>
              <w:t>工业</w:t>
            </w:r>
          </w:p>
        </w:tc>
        <w:tc>
          <w:tcPr>
            <w:tcW w:type="dxa" w:w="831"/>
          </w:tcPr>
          <w:p>
            <w:r>
              <w:rPr/>
              <w:t>详见附表一</w:t>
            </w:r>
          </w:p>
        </w:tc>
      </w:tr>
    </w:tbl>
    <w:p/>
    <w:p>
      <w:r>
        <w:rPr>
          <w:b/>
        </w:rPr>
        <w:t>附表</w:t>
      </w:r>
      <w:r>
        <w:rPr>
          <w:b/>
        </w:rPr>
        <w:t>一</w:t>
      </w:r>
      <w:r>
        <w:rPr>
          <w:b/>
        </w:rPr>
        <w:t>：</w:t>
      </w:r>
      <w:r>
        <w:rPr>
          <w:b/>
        </w:rPr>
        <w:t>荧光定量PCR仪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vAlign w:val="top"/>
                </w:tcPr>
                <w:p>
                  <w:pPr>
                    <w:jc w:val="both"/>
                  </w:pPr>
                  <w:r>
                    <w:rPr>
                      <w:sz w:val="21"/>
                    </w:rPr>
                    <w:t>参数性质</w:t>
                  </w:r>
                </w:p>
              </w:tc>
              <w:tc>
                <w:tcPr>
                  <w:tcW w:type="dxa" w:w="452"/>
                  <w:tcBorders>
                    <w:top w:val="single" w:color="000000" w:sz="4"/>
                    <w:left w:val="none" w:color="000000" w:sz="4"/>
                    <w:bottom w:val="single" w:color="000000" w:sz="4"/>
                    <w:right w:val="single" w:color="000000" w:sz="4"/>
                  </w:tcBorders>
                  <w:vAlign w:val="top"/>
                </w:tcPr>
                <w:p>
                  <w:pPr>
                    <w:jc w:val="center"/>
                  </w:pPr>
                  <w:r>
                    <w:rPr>
                      <w:sz w:val="21"/>
                    </w:rPr>
                    <w:t>序号</w:t>
                  </w:r>
                </w:p>
              </w:tc>
              <w:tc>
                <w:tcPr>
                  <w:tcW w:type="dxa" w:w="4411"/>
                  <w:tcBorders>
                    <w:top w:val="single" w:color="000000" w:sz="4"/>
                    <w:left w:val="none" w:color="000000" w:sz="4"/>
                    <w:bottom w:val="single" w:color="000000" w:sz="4"/>
                    <w:right w:val="single" w:color="000000" w:sz="4"/>
                  </w:tcBorders>
                  <w:vAlign w:val="top"/>
                </w:tcPr>
                <w:p>
                  <w:pPr>
                    <w:jc w:val="both"/>
                  </w:pPr>
                  <w:r>
                    <w:rPr>
                      <w:sz w:val="21"/>
                    </w:rPr>
                    <w:t>具体技术(参数)要求</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w:t>
                  </w:r>
                </w:p>
              </w:tc>
              <w:tc>
                <w:tcPr>
                  <w:tcW w:type="dxa" w:w="452"/>
                  <w:tcBorders>
                    <w:top w:val="none" w:color="000000" w:sz="4"/>
                    <w:left w:val="none" w:color="000000" w:sz="4"/>
                    <w:bottom w:val="single" w:color="000000" w:sz="4"/>
                    <w:right w:val="single" w:color="000000" w:sz="4"/>
                  </w:tcBorders>
                  <w:vAlign w:val="top"/>
                </w:tcPr>
                <w:p>
                  <w:pPr>
                    <w:jc w:val="center"/>
                  </w:pPr>
                  <w:r>
                    <w:rPr>
                      <w:sz w:val="21"/>
                    </w:rPr>
                    <w:t>1</w:t>
                  </w:r>
                </w:p>
              </w:tc>
              <w:tc>
                <w:tcPr>
                  <w:tcW w:type="dxa" w:w="4411"/>
                  <w:tcBorders>
                    <w:top w:val="none" w:color="000000" w:sz="4"/>
                    <w:left w:val="none" w:color="000000" w:sz="4"/>
                    <w:bottom w:val="single" w:color="000000" w:sz="4"/>
                    <w:right w:val="single" w:color="000000" w:sz="4"/>
                  </w:tcBorders>
                  <w:vAlign w:val="top"/>
                </w:tcPr>
                <w:p>
                  <w:pPr>
                    <w:jc w:val="left"/>
                  </w:pPr>
                  <w:r>
                    <w:rPr>
                      <w:sz w:val="21"/>
                    </w:rPr>
                    <w:t>样品容量：≥384孔</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w:t>
                  </w:r>
                </w:p>
              </w:tc>
              <w:tc>
                <w:tcPr>
                  <w:tcW w:type="dxa" w:w="4411"/>
                  <w:tcBorders>
                    <w:top w:val="none" w:color="000000" w:sz="4"/>
                    <w:left w:val="none" w:color="000000" w:sz="4"/>
                    <w:bottom w:val="single" w:color="000000" w:sz="4"/>
                    <w:right w:val="single" w:color="000000" w:sz="4"/>
                  </w:tcBorders>
                  <w:vAlign w:val="top"/>
                </w:tcPr>
                <w:p>
                  <w:pPr>
                    <w:jc w:val="left"/>
                  </w:pPr>
                  <w:r>
                    <w:rPr>
                      <w:sz w:val="21"/>
                    </w:rPr>
                    <w:t>反应体系：1-30µl（推荐5-30µl）</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3</w:t>
                  </w:r>
                </w:p>
              </w:tc>
              <w:tc>
                <w:tcPr>
                  <w:tcW w:type="dxa" w:w="4411"/>
                  <w:tcBorders>
                    <w:top w:val="none" w:color="000000" w:sz="4"/>
                    <w:left w:val="none" w:color="000000" w:sz="4"/>
                    <w:bottom w:val="single" w:color="000000" w:sz="4"/>
                    <w:right w:val="single" w:color="000000" w:sz="4"/>
                  </w:tcBorders>
                  <w:vAlign w:val="top"/>
                </w:tcPr>
                <w:p>
                  <w:pPr>
                    <w:jc w:val="left"/>
                  </w:pPr>
                  <w:r>
                    <w:rPr>
                      <w:sz w:val="21"/>
                    </w:rPr>
                    <w:t>光源：≥五个带有滤光片的LED</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4</w:t>
                  </w:r>
                </w:p>
              </w:tc>
              <w:tc>
                <w:tcPr>
                  <w:tcW w:type="dxa" w:w="4411"/>
                  <w:tcBorders>
                    <w:top w:val="none" w:color="000000" w:sz="4"/>
                    <w:left w:val="none" w:color="000000" w:sz="4"/>
                    <w:bottom w:val="single" w:color="000000" w:sz="4"/>
                    <w:right w:val="single" w:color="000000" w:sz="4"/>
                  </w:tcBorders>
                  <w:vAlign w:val="top"/>
                </w:tcPr>
                <w:p>
                  <w:pPr>
                    <w:jc w:val="left"/>
                  </w:pPr>
                  <w:r>
                    <w:rPr>
                      <w:sz w:val="21"/>
                    </w:rPr>
                    <w:t>检测器：≥五个带有滤光片的光敏二极管</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5</w:t>
                  </w:r>
                </w:p>
              </w:tc>
              <w:tc>
                <w:tcPr>
                  <w:tcW w:type="dxa" w:w="4411"/>
                  <w:tcBorders>
                    <w:top w:val="none" w:color="000000" w:sz="4"/>
                    <w:left w:val="none" w:color="000000" w:sz="4"/>
                    <w:bottom w:val="single" w:color="000000" w:sz="4"/>
                    <w:right w:val="single" w:color="000000" w:sz="4"/>
                  </w:tcBorders>
                  <w:vAlign w:val="top"/>
                </w:tcPr>
                <w:p>
                  <w:pPr>
                    <w:jc w:val="left"/>
                  </w:pPr>
                  <w:r>
                    <w:rPr>
                      <w:sz w:val="21"/>
                    </w:rPr>
                    <w:t>升降温速度：≥2.5℃/秒</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w:t>
                  </w:r>
                </w:p>
              </w:tc>
              <w:tc>
                <w:tcPr>
                  <w:tcW w:type="dxa" w:w="452"/>
                  <w:tcBorders>
                    <w:top w:val="none" w:color="000000" w:sz="4"/>
                    <w:left w:val="none" w:color="000000" w:sz="4"/>
                    <w:bottom w:val="single" w:color="000000" w:sz="4"/>
                    <w:right w:val="single" w:color="000000" w:sz="4"/>
                  </w:tcBorders>
                  <w:vAlign w:val="top"/>
                </w:tcPr>
                <w:p>
                  <w:pPr>
                    <w:jc w:val="center"/>
                  </w:pPr>
                  <w:r>
                    <w:rPr>
                      <w:sz w:val="21"/>
                    </w:rPr>
                    <w:t>6</w:t>
                  </w:r>
                </w:p>
              </w:tc>
              <w:tc>
                <w:tcPr>
                  <w:tcW w:type="dxa" w:w="4411"/>
                  <w:tcBorders>
                    <w:top w:val="none" w:color="000000" w:sz="4"/>
                    <w:left w:val="none" w:color="000000" w:sz="4"/>
                    <w:bottom w:val="single" w:color="000000" w:sz="4"/>
                    <w:right w:val="single" w:color="000000" w:sz="4"/>
                  </w:tcBorders>
                  <w:vAlign w:val="top"/>
                </w:tcPr>
                <w:p>
                  <w:pPr>
                    <w:jc w:val="left"/>
                  </w:pPr>
                  <w:r>
                    <w:rPr>
                      <w:sz w:val="21"/>
                    </w:rPr>
                    <w:t>温控范围：4 -100℃</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7</w:t>
                  </w:r>
                </w:p>
              </w:tc>
              <w:tc>
                <w:tcPr>
                  <w:tcW w:type="dxa" w:w="4411"/>
                  <w:tcBorders>
                    <w:top w:val="none" w:color="000000" w:sz="4"/>
                    <w:left w:val="none" w:color="000000" w:sz="4"/>
                    <w:bottom w:val="single" w:color="000000" w:sz="4"/>
                    <w:right w:val="single" w:color="000000" w:sz="4"/>
                  </w:tcBorders>
                  <w:vAlign w:val="top"/>
                </w:tcPr>
                <w:p>
                  <w:pPr>
                    <w:jc w:val="left"/>
                  </w:pPr>
                  <w:r>
                    <w:rPr>
                      <w:sz w:val="21"/>
                    </w:rPr>
                    <w:t>温度准确性：±0.2℃（90</w:t>
                  </w:r>
                  <w:r>
                    <w:rPr>
                      <w:sz w:val="21"/>
                    </w:rPr>
                    <w:t>˚</w:t>
                  </w:r>
                  <w:r>
                    <w:rPr>
                      <w:sz w:val="21"/>
                    </w:rPr>
                    <w:t>C</w:t>
                  </w:r>
                  <w:r>
                    <w:rPr>
                      <w:sz w:val="21"/>
                    </w:rPr>
                    <w:t>时）</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w:t>
                  </w:r>
                </w:p>
              </w:tc>
              <w:tc>
                <w:tcPr>
                  <w:tcW w:type="dxa" w:w="452"/>
                  <w:tcBorders>
                    <w:top w:val="none" w:color="000000" w:sz="4"/>
                    <w:left w:val="none" w:color="000000" w:sz="4"/>
                    <w:bottom w:val="single" w:color="000000" w:sz="4"/>
                    <w:right w:val="single" w:color="000000" w:sz="4"/>
                  </w:tcBorders>
                  <w:vAlign w:val="top"/>
                </w:tcPr>
                <w:p>
                  <w:pPr>
                    <w:jc w:val="center"/>
                  </w:pPr>
                  <w:r>
                    <w:rPr>
                      <w:sz w:val="21"/>
                    </w:rPr>
                    <w:t>8</w:t>
                  </w:r>
                </w:p>
              </w:tc>
              <w:tc>
                <w:tcPr>
                  <w:tcW w:type="dxa" w:w="4411"/>
                  <w:tcBorders>
                    <w:top w:val="none" w:color="000000" w:sz="4"/>
                    <w:left w:val="none" w:color="000000" w:sz="4"/>
                    <w:bottom w:val="single" w:color="000000" w:sz="4"/>
                    <w:right w:val="single" w:color="000000" w:sz="4"/>
                  </w:tcBorders>
                  <w:vAlign w:val="top"/>
                </w:tcPr>
                <w:p>
                  <w:pPr>
                    <w:jc w:val="left"/>
                  </w:pPr>
                  <w:r>
                    <w:rPr>
                      <w:sz w:val="21"/>
                    </w:rPr>
                    <w:t>温度均一性：±0.3℃（10秒内达到90</w:t>
                  </w:r>
                  <w:r>
                    <w:rPr>
                      <w:sz w:val="21"/>
                    </w:rPr>
                    <w:t>˚</w:t>
                  </w:r>
                  <w:r>
                    <w:rPr>
                      <w:sz w:val="21"/>
                    </w:rPr>
                    <w:t>C</w:t>
                  </w:r>
                  <w:r>
                    <w:rPr>
                      <w:sz w:val="21"/>
                    </w:rPr>
                    <w:t>）</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9</w:t>
                  </w:r>
                </w:p>
              </w:tc>
              <w:tc>
                <w:tcPr>
                  <w:tcW w:type="dxa" w:w="4411"/>
                  <w:tcBorders>
                    <w:top w:val="none" w:color="000000" w:sz="4"/>
                    <w:left w:val="none" w:color="000000" w:sz="4"/>
                    <w:bottom w:val="single" w:color="000000" w:sz="4"/>
                    <w:right w:val="single" w:color="000000" w:sz="4"/>
                  </w:tcBorders>
                  <w:vAlign w:val="top"/>
                </w:tcPr>
                <w:p>
                  <w:pPr>
                    <w:jc w:val="left"/>
                  </w:pPr>
                  <w:r>
                    <w:rPr>
                      <w:sz w:val="21"/>
                    </w:rPr>
                    <w:t>动态温度梯度功能：同时运行≥16个不同的温度</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10</w:t>
                  </w:r>
                </w:p>
              </w:tc>
              <w:tc>
                <w:tcPr>
                  <w:tcW w:type="dxa" w:w="4411"/>
                  <w:tcBorders>
                    <w:top w:val="none" w:color="000000" w:sz="4"/>
                    <w:left w:val="none" w:color="000000" w:sz="4"/>
                    <w:bottom w:val="single" w:color="000000" w:sz="4"/>
                    <w:right w:val="single" w:color="000000" w:sz="4"/>
                  </w:tcBorders>
                  <w:vAlign w:val="top"/>
                </w:tcPr>
                <w:p>
                  <w:pPr>
                    <w:jc w:val="left"/>
                  </w:pPr>
                  <w:r>
                    <w:rPr>
                      <w:sz w:val="21"/>
                    </w:rPr>
                    <w:t>梯度温控范围：30 -100℃；梯度温差范围：1 - 24℃；梯度温度孵育时间：相同</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11</w:t>
                  </w:r>
                </w:p>
              </w:tc>
              <w:tc>
                <w:tcPr>
                  <w:tcW w:type="dxa" w:w="4411"/>
                  <w:tcBorders>
                    <w:top w:val="none" w:color="000000" w:sz="4"/>
                    <w:left w:val="none" w:color="000000" w:sz="4"/>
                    <w:bottom w:val="single" w:color="000000" w:sz="4"/>
                    <w:right w:val="single" w:color="000000" w:sz="4"/>
                  </w:tcBorders>
                  <w:vAlign w:val="top"/>
                </w:tcPr>
                <w:p>
                  <w:pPr>
                    <w:jc w:val="left"/>
                  </w:pPr>
                  <w:r>
                    <w:rPr>
                      <w:sz w:val="21"/>
                    </w:rPr>
                    <w:t>激发/发射波长范围：450-690nm</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12</w:t>
                  </w:r>
                </w:p>
              </w:tc>
              <w:tc>
                <w:tcPr>
                  <w:tcW w:type="dxa" w:w="4411"/>
                  <w:tcBorders>
                    <w:top w:val="none" w:color="000000" w:sz="4"/>
                    <w:left w:val="none" w:color="000000" w:sz="4"/>
                    <w:bottom w:val="single" w:color="000000" w:sz="4"/>
                    <w:right w:val="single" w:color="000000" w:sz="4"/>
                  </w:tcBorders>
                  <w:vAlign w:val="top"/>
                </w:tcPr>
                <w:p>
                  <w:pPr>
                    <w:jc w:val="left"/>
                  </w:pPr>
                  <w:r>
                    <w:rPr>
                      <w:sz w:val="21"/>
                    </w:rPr>
                    <w:t>灵敏度：能检测人类基因组中单拷贝基因</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13</w:t>
                  </w:r>
                </w:p>
              </w:tc>
              <w:tc>
                <w:tcPr>
                  <w:tcW w:type="dxa" w:w="4411"/>
                  <w:tcBorders>
                    <w:top w:val="none" w:color="000000" w:sz="4"/>
                    <w:left w:val="none" w:color="000000" w:sz="4"/>
                    <w:bottom w:val="single" w:color="000000" w:sz="4"/>
                    <w:right w:val="single" w:color="000000" w:sz="4"/>
                  </w:tcBorders>
                  <w:vAlign w:val="top"/>
                </w:tcPr>
                <w:p>
                  <w:pPr>
                    <w:jc w:val="left"/>
                  </w:pPr>
                  <w:r>
                    <w:rPr>
                      <w:sz w:val="21"/>
                    </w:rPr>
                    <w:t>动态范围：≥10个数量级</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w:t>
                  </w:r>
                </w:p>
              </w:tc>
              <w:tc>
                <w:tcPr>
                  <w:tcW w:type="dxa" w:w="452"/>
                  <w:tcBorders>
                    <w:top w:val="none" w:color="000000" w:sz="4"/>
                    <w:left w:val="none" w:color="000000" w:sz="4"/>
                    <w:bottom w:val="single" w:color="000000" w:sz="4"/>
                    <w:right w:val="single" w:color="000000" w:sz="4"/>
                  </w:tcBorders>
                  <w:vAlign w:val="top"/>
                </w:tcPr>
                <w:p>
                  <w:pPr>
                    <w:jc w:val="center"/>
                  </w:pPr>
                  <w:r>
                    <w:rPr>
                      <w:sz w:val="21"/>
                    </w:rPr>
                    <w:t>14</w:t>
                  </w:r>
                </w:p>
              </w:tc>
              <w:tc>
                <w:tcPr>
                  <w:tcW w:type="dxa" w:w="4411"/>
                  <w:tcBorders>
                    <w:top w:val="none" w:color="000000" w:sz="4"/>
                    <w:left w:val="none" w:color="000000" w:sz="4"/>
                    <w:bottom w:val="single" w:color="000000" w:sz="4"/>
                    <w:right w:val="single" w:color="000000" w:sz="4"/>
                  </w:tcBorders>
                  <w:vAlign w:val="top"/>
                </w:tcPr>
                <w:p>
                  <w:pPr>
                    <w:jc w:val="left"/>
                  </w:pPr>
                  <w:r>
                    <w:rPr>
                      <w:sz w:val="21"/>
                    </w:rPr>
                    <w:t>检测通道：≥五个检测通道，可实现4重PCR，可同时检测≥4个靶基因，专用FRET检测通道</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15</w:t>
                  </w:r>
                </w:p>
              </w:tc>
              <w:tc>
                <w:tcPr>
                  <w:tcW w:type="dxa" w:w="4411"/>
                  <w:tcBorders>
                    <w:top w:val="none" w:color="000000" w:sz="4"/>
                    <w:left w:val="none" w:color="000000" w:sz="4"/>
                    <w:bottom w:val="single" w:color="000000" w:sz="4"/>
                    <w:right w:val="single" w:color="000000" w:sz="4"/>
                  </w:tcBorders>
                  <w:vAlign w:val="top"/>
                </w:tcPr>
                <w:p>
                  <w:pPr>
                    <w:jc w:val="left"/>
                  </w:pPr>
                  <w:r>
                    <w:rPr>
                      <w:sz w:val="21"/>
                    </w:rPr>
                    <w:t>完全试剂开放，各种科研和临床试剂适用</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16</w:t>
                  </w:r>
                </w:p>
              </w:tc>
              <w:tc>
                <w:tcPr>
                  <w:tcW w:type="dxa" w:w="4411"/>
                  <w:tcBorders>
                    <w:top w:val="none" w:color="000000" w:sz="4"/>
                    <w:left w:val="none" w:color="000000" w:sz="4"/>
                    <w:bottom w:val="single" w:color="000000" w:sz="4"/>
                    <w:right w:val="single" w:color="000000" w:sz="4"/>
                  </w:tcBorders>
                  <w:vAlign w:val="top"/>
                </w:tcPr>
                <w:p>
                  <w:pPr>
                    <w:jc w:val="left"/>
                  </w:pPr>
                  <w:r>
                    <w:rPr>
                      <w:sz w:val="21"/>
                    </w:rPr>
                    <w:t>适用于多种荧光方法，如Taqman，Molecular Beacon，FRET探针，SYBR Green I等</w:t>
                  </w:r>
                </w:p>
              </w:tc>
            </w:tr>
            <w:tr>
              <w:tc>
                <w:tcPr>
                  <w:tcW w:type="dxa" w:w="735"/>
                  <w:tcBorders>
                    <w:top w:val="none" w:color="000000" w:sz="4"/>
                    <w:left w:val="single" w:color="000000" w:sz="4"/>
                    <w:bottom w:val="single" w:color="000000" w:sz="4"/>
                    <w:right w:val="single" w:color="000000" w:sz="4"/>
                  </w:tcBorders>
                  <w:vAlign w:val="top"/>
                </w:tcPr>
                <w:p>
                  <w:pPr>
                    <w:jc w:val="center"/>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17</w:t>
                  </w:r>
                </w:p>
              </w:tc>
              <w:tc>
                <w:tcPr>
                  <w:tcW w:type="dxa" w:w="4411"/>
                  <w:tcBorders>
                    <w:top w:val="none" w:color="000000" w:sz="4"/>
                    <w:left w:val="none" w:color="000000" w:sz="4"/>
                    <w:bottom w:val="single" w:color="000000" w:sz="4"/>
                    <w:right w:val="single" w:color="000000" w:sz="4"/>
                  </w:tcBorders>
                  <w:vAlign w:val="top"/>
                </w:tcPr>
                <w:p>
                  <w:pPr>
                    <w:jc w:val="left"/>
                  </w:pPr>
                  <w:r>
                    <w:rPr>
                      <w:sz w:val="21"/>
                    </w:rPr>
                    <w:t>可独立运行，真正离线操作，无需连接电脑即可实时监控PCR荧光扩增曲线</w:t>
                  </w:r>
                </w:p>
              </w:tc>
            </w:tr>
            <w:tr>
              <w:tc>
                <w:tcPr>
                  <w:tcW w:type="dxa" w:w="735"/>
                  <w:tcBorders>
                    <w:top w:val="none" w:color="000000" w:sz="4"/>
                    <w:left w:val="single" w:color="000000" w:sz="4"/>
                    <w:bottom w:val="single" w:color="000000" w:sz="4"/>
                    <w:right w:val="single" w:color="000000" w:sz="4"/>
                  </w:tcBorders>
                  <w:vAlign w:val="top"/>
                </w:tcPr>
                <w:p>
                  <w:pPr>
                    <w:jc w:val="center"/>
                  </w:pPr>
                  <w:r>
                    <w:rPr>
                      <w:sz w:val="21"/>
                    </w:rPr>
                    <w:t>★</w:t>
                  </w:r>
                </w:p>
              </w:tc>
              <w:tc>
                <w:tcPr>
                  <w:tcW w:type="dxa" w:w="452"/>
                  <w:tcBorders>
                    <w:top w:val="none" w:color="000000" w:sz="4"/>
                    <w:left w:val="none" w:color="000000" w:sz="4"/>
                    <w:bottom w:val="single" w:color="000000" w:sz="4"/>
                    <w:right w:val="single" w:color="000000" w:sz="4"/>
                  </w:tcBorders>
                  <w:vAlign w:val="top"/>
                </w:tcPr>
                <w:p>
                  <w:pPr>
                    <w:jc w:val="center"/>
                  </w:pPr>
                  <w:r>
                    <w:rPr>
                      <w:sz w:val="21"/>
                    </w:rPr>
                    <w:t>18</w:t>
                  </w:r>
                </w:p>
              </w:tc>
              <w:tc>
                <w:tcPr>
                  <w:tcW w:type="dxa" w:w="4411"/>
                  <w:tcBorders>
                    <w:top w:val="none" w:color="000000" w:sz="4"/>
                    <w:left w:val="none" w:color="000000" w:sz="4"/>
                    <w:bottom w:val="single" w:color="000000" w:sz="4"/>
                    <w:right w:val="single" w:color="000000" w:sz="4"/>
                  </w:tcBorders>
                  <w:vAlign w:val="top"/>
                </w:tcPr>
                <w:p>
                  <w:pPr>
                    <w:jc w:val="left"/>
                  </w:pPr>
                  <w:r>
                    <w:rPr>
                      <w:sz w:val="21"/>
                    </w:rPr>
                    <w:t>通过云平台无需将电脑与仪器进行连接即可提供远程设置、仪器运行监视和数据管理功能</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19</w:t>
                  </w:r>
                </w:p>
              </w:tc>
              <w:tc>
                <w:tcPr>
                  <w:tcW w:type="dxa" w:w="4411"/>
                  <w:tcBorders>
                    <w:top w:val="none" w:color="000000" w:sz="4"/>
                    <w:left w:val="none" w:color="000000" w:sz="4"/>
                    <w:bottom w:val="single" w:color="000000" w:sz="4"/>
                    <w:right w:val="single" w:color="000000" w:sz="4"/>
                  </w:tcBorders>
                  <w:vAlign w:val="top"/>
                </w:tcPr>
                <w:p>
                  <w:pPr>
                    <w:jc w:val="left"/>
                  </w:pPr>
                  <w:r>
                    <w:rPr>
                      <w:sz w:val="21"/>
                    </w:rPr>
                    <w:t>单机仪器无需外接存储设备可存储≥1000次运行结果</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20</w:t>
                  </w:r>
                </w:p>
              </w:tc>
              <w:tc>
                <w:tcPr>
                  <w:tcW w:type="dxa" w:w="4411"/>
                  <w:tcBorders>
                    <w:top w:val="none" w:color="000000" w:sz="4"/>
                    <w:left w:val="none" w:color="000000" w:sz="4"/>
                    <w:bottom w:val="single" w:color="000000" w:sz="4"/>
                    <w:right w:val="single" w:color="000000" w:sz="4"/>
                  </w:tcBorders>
                  <w:vAlign w:val="top"/>
                </w:tcPr>
                <w:p>
                  <w:pPr>
                    <w:jc w:val="left"/>
                  </w:pPr>
                  <w:r>
                    <w:rPr>
                      <w:sz w:val="21"/>
                    </w:rPr>
                    <w:t>根据大型条状LED仪器状态指示灯显示仪器运行状态</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21</w:t>
                  </w:r>
                </w:p>
              </w:tc>
              <w:tc>
                <w:tcPr>
                  <w:tcW w:type="dxa" w:w="4411"/>
                  <w:tcBorders>
                    <w:top w:val="none" w:color="000000" w:sz="4"/>
                    <w:left w:val="none" w:color="000000" w:sz="4"/>
                    <w:bottom w:val="single" w:color="000000" w:sz="4"/>
                    <w:right w:val="single" w:color="000000" w:sz="4"/>
                  </w:tcBorders>
                  <w:vAlign w:val="top"/>
                </w:tcPr>
                <w:p>
                  <w:pPr>
                    <w:jc w:val="left"/>
                  </w:pPr>
                  <w:r>
                    <w:rPr>
                      <w:sz w:val="21"/>
                    </w:rPr>
                    <w:t>支持无线（WiFi）连接</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22</w:t>
                  </w:r>
                </w:p>
              </w:tc>
              <w:tc>
                <w:tcPr>
                  <w:tcW w:type="dxa" w:w="4411"/>
                  <w:tcBorders>
                    <w:top w:val="none" w:color="000000" w:sz="4"/>
                    <w:left w:val="none" w:color="000000" w:sz="4"/>
                    <w:bottom w:val="single" w:color="000000" w:sz="4"/>
                    <w:right w:val="single" w:color="000000" w:sz="4"/>
                  </w:tcBorders>
                  <w:vAlign w:val="top"/>
                </w:tcPr>
                <w:p>
                  <w:pPr>
                    <w:jc w:val="left"/>
                  </w:pPr>
                  <w:r>
                    <w:rPr>
                      <w:sz w:val="21"/>
                    </w:rPr>
                    <w:t>显示：≥8.5英寸彩色触摸屏且角度可调（12-55°）</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23</w:t>
                  </w:r>
                </w:p>
              </w:tc>
              <w:tc>
                <w:tcPr>
                  <w:tcW w:type="dxa" w:w="4411"/>
                  <w:tcBorders>
                    <w:top w:val="none" w:color="000000" w:sz="4"/>
                    <w:left w:val="none" w:color="000000" w:sz="4"/>
                    <w:bottom w:val="single" w:color="000000" w:sz="4"/>
                    <w:right w:val="single" w:color="000000" w:sz="4"/>
                  </w:tcBorders>
                  <w:vAlign w:val="top"/>
                </w:tcPr>
                <w:p>
                  <w:pPr>
                    <w:jc w:val="left"/>
                  </w:pPr>
                  <w:r>
                    <w:rPr>
                      <w:sz w:val="21"/>
                    </w:rPr>
                    <w:t>数据分析模式：标准曲线定量、熔解曲线、CT 或ΔΔCT 基因表达分析、多内参基因分析和扩增效率计算、t检验及方差分析功能、多个数据文件的基因表达分析、等位基因分析、终点分析、具有等位基因、熔解曲线分析功能</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24</w:t>
                  </w:r>
                </w:p>
              </w:tc>
              <w:tc>
                <w:tcPr>
                  <w:tcW w:type="dxa" w:w="4411"/>
                  <w:tcBorders>
                    <w:top w:val="none" w:color="000000" w:sz="4"/>
                    <w:left w:val="none" w:color="000000" w:sz="4"/>
                    <w:bottom w:val="single" w:color="000000" w:sz="4"/>
                    <w:right w:val="single" w:color="000000" w:sz="4"/>
                  </w:tcBorders>
                  <w:vAlign w:val="top"/>
                </w:tcPr>
                <w:p>
                  <w:pPr>
                    <w:jc w:val="left"/>
                  </w:pPr>
                  <w:r>
                    <w:rPr>
                      <w:sz w:val="21"/>
                    </w:rPr>
                    <w:t>数据导出：Excel, Word, 或 PowerPoint。用户报告包含运行设置，图形和表格数据结果，可直接打印或保存为PDF</w:t>
                  </w:r>
                </w:p>
              </w:tc>
            </w:tr>
            <w:tr>
              <w:tc>
                <w:tcPr>
                  <w:tcW w:type="dxa" w:w="735"/>
                  <w:tcBorders>
                    <w:top w:val="none" w:color="000000" w:sz="4"/>
                    <w:left w:val="single" w:color="000000" w:sz="4"/>
                    <w:bottom w:val="single" w:color="000000" w:sz="4"/>
                    <w:right w:val="single" w:color="000000" w:sz="4"/>
                  </w:tcBorders>
                  <w:vAlign w:val="top"/>
                </w:tcPr>
                <w:p>
                  <w:pPr>
                    <w:jc w:val="both"/>
                  </w:pPr>
                </w:p>
              </w:tc>
              <w:tc>
                <w:tcPr>
                  <w:tcW w:type="dxa" w:w="452"/>
                  <w:tcBorders>
                    <w:top w:val="none" w:color="000000" w:sz="4"/>
                    <w:left w:val="none" w:color="000000" w:sz="4"/>
                    <w:bottom w:val="single" w:color="000000" w:sz="4"/>
                    <w:right w:val="single" w:color="000000" w:sz="4"/>
                  </w:tcBorders>
                  <w:vAlign w:val="top"/>
                </w:tcPr>
                <w:p>
                  <w:pPr>
                    <w:jc w:val="center"/>
                  </w:pPr>
                  <w:r>
                    <w:rPr>
                      <w:sz w:val="21"/>
                    </w:rPr>
                    <w:t>25</w:t>
                  </w:r>
                </w:p>
              </w:tc>
              <w:tc>
                <w:tcPr>
                  <w:tcW w:type="dxa" w:w="4411"/>
                  <w:tcBorders>
                    <w:top w:val="none" w:color="000000" w:sz="4"/>
                    <w:left w:val="none" w:color="000000" w:sz="4"/>
                    <w:bottom w:val="single" w:color="000000" w:sz="4"/>
                    <w:right w:val="single" w:color="000000" w:sz="4"/>
                  </w:tcBorders>
                  <w:vAlign w:val="top"/>
                </w:tcPr>
                <w:p>
                  <w:pPr>
                    <w:jc w:val="left"/>
                  </w:pPr>
                  <w:r>
                    <w:rPr>
                      <w:sz w:val="21"/>
                    </w:rPr>
                    <w:t>染色体结构研究：采用real-time PCR方法，通过比较核酸酶对基因组DNA降解作用效果，定量分析染色质结构的方法。证明了染色质结构与基因表达之间的高度相关性。</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采购包4（生态学研究级显微镜等仪器设备采购项目）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国产仪器：供货时间为签定合同后 15 天内完成。 进口仪器：供货时间为签定合同后 90 天内完成。</w:t>
            </w:r>
          </w:p>
        </w:tc>
      </w:tr>
      <w:tr>
        <w:tc>
          <w:tcPr>
            <w:tcW w:type="dxa" w:w="4153"/>
          </w:tcPr>
          <w:p>
            <w:r>
              <w:rPr/>
              <w:t>标的提供的地点</w:t>
            </w:r>
          </w:p>
        </w:tc>
        <w:tc>
          <w:tcPr>
            <w:tcW w:type="dxa" w:w="4153"/>
          </w:tcPr>
          <w:p/>
          <w:p>
            <w:r>
              <w:rPr/>
              <w:t>广州中医药大学三元里校区实验/重点学科楼</w:t>
            </w:r>
          </w:p>
        </w:tc>
      </w:tr>
      <w:tr>
        <w:tc>
          <w:tcPr>
            <w:tcW w:type="dxa" w:w="4153"/>
          </w:tcPr>
          <w:p>
            <w:r>
              <w:rPr/>
              <w:t>付款方式</w:t>
            </w:r>
          </w:p>
        </w:tc>
        <w:tc>
          <w:tcPr>
            <w:tcW w:type="dxa" w:w="4153"/>
          </w:tcPr>
          <w:p/>
          <w:p/>
          <w:p>
            <w:r>
              <w:rPr/>
              <w:t>1期：支付比例100%,国产仪器： 鉴于中标人为：中小企业（  ）非中小企业（  ），付款方式按以下第（  ）种执行。 1．如中标人为中小企业：      （1）合同签订且收到履约保证金后5个工作日内采购人向中标人支付合同金额的30%（支付方式含银行转账、支票、银行承兑汇票、商业承兑汇票等形式）。      （2）所有货物验收合格且收到发票后15日内采购人向中标人支付至合同总价的100%（支付方式含银行转账、支票、银行承兑汇票、商业承兑汇票等形式）。      2．如中标人为非中小企业：      所有货物验收合格且收到发票后15日内采购人向中标人支付合同总价的100%（支付方式含银行转账、支票、银行承兑汇票、商业承兑汇票等形式）。 3.采购人在上述期限内，按广东省财政厅规定的支付手续将付款的申请文件递出, 即完成付款义务。但可以协助中标人查询政府审核和支付的进度。 4．履约保证金提交：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5．履约保证金退还： 验收合格至免费保修期满，中标人向采购人申请退还履约保证金，采购人于接到申请后15个工作日内将履约保证金无息退回中标人。 进口仪器： 1.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采购人收到履约保证金后，凭《代理进口合同》按广东省财政厅规定的支付手续在15日内开始办理支付合同总额100%货款给指定外贸代理商。外贸代理商收到全部货款后开具100%的L/C并凭L/C规定的发货单据对外支付全款，或全部货物交采购人后以T/T方式支付100%的货款。 3.采购人在上述期限内，按广东省财政厅规定的支付手续将付款的申请文件递出, 即完成付款义务。但可以协助中标人查询政府审核和支付的进度。 4.验收合格至免费保修期满，中标人向采购人申请退还履约保证金，采购人于接到申请后15个工作日内将履约保证金无息退回中标人。  5.采购人全权委托         公司（外贸代理商）办理进口业务（另行签订代理进口合同），由该公司与中标人结算，代理进口有关的一切费用由中标人承担。</w:t>
            </w:r>
          </w:p>
        </w:tc>
      </w:tr>
      <w:tr>
        <w:tc>
          <w:tcPr>
            <w:tcW w:type="dxa" w:w="4153"/>
          </w:tcPr>
          <w:p>
            <w:r>
              <w:rPr/>
              <w:t>验收要求</w:t>
            </w:r>
          </w:p>
        </w:tc>
        <w:tc>
          <w:tcPr>
            <w:tcW w:type="dxa" w:w="4153"/>
          </w:tcPr>
          <w:p/>
          <w:p/>
          <w:p/>
          <w:p>
            <w:r>
              <w:rPr/>
              <w:t>1期：（一）验收标准：根据采购合同约定进行履约验收。 （二）验收要求： （1）交付验收标准为：符合招标文件、投标文件、合同和响应承诺中采购人认可的合理最佳配置、参数及各项要求。验收的过程如发现性能指标或功能上不符合合同要求时，或经法定第三方计量检测机构计量检定、校准、检测不合格时，均视为验收不合格。投标人应立即整改直至合格。 （2）如供应设备技术指标与项目文件偏差过大导致无法通过验收投入使用的，投标人应免费提供设备的升级以达到验收要求。 （3）货物为原制造商制造的全新产品，整机无污染，无侵权行为、表面无划损、无任何缺陷隐患，在中国境内可依常规安全合法使用。 （4）货物为原厂商未启封全新包装，所有随设备的附件必须齐全。</w:t>
            </w:r>
          </w:p>
        </w:tc>
      </w:tr>
      <w:tr>
        <w:tc>
          <w:tcPr>
            <w:tcW w:type="dxa" w:w="4153"/>
          </w:tcPr>
          <w:p>
            <w:r>
              <w:rPr/>
              <w:t>履约保证金</w:t>
            </w:r>
          </w:p>
        </w:tc>
        <w:tc>
          <w:tcPr>
            <w:tcW w:type="dxa" w:w="4153"/>
          </w:tcPr>
          <w:p/>
          <w:p/>
          <w:p/>
          <w:p/>
          <w:p>
            <w:r>
              <w:rPr/>
              <w:t>收取比例：10%,说明：1.国产仪器： （1）履约保证金提交：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 2.进口仪器： （1）履约保证金提交： 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w:t>
            </w:r>
          </w:p>
        </w:tc>
      </w:tr>
      <w:tr>
        <w:tc>
          <w:tcPr>
            <w:tcW w:type="dxa" w:w="4153"/>
          </w:tcPr>
          <w:p>
            <w:r>
              <w:rPr/>
              <w:t>其他</w:t>
            </w:r>
          </w:p>
        </w:tc>
        <w:tc>
          <w:tcPr>
            <w:tcW w:type="dxa" w:w="4153"/>
          </w:tcPr>
          <w:p/>
          <w:p/>
          <w:p>
            <w:r>
              <w:rPr/>
              <w:t>报价要求，1.投标人报价应为包干总价，该包干总价为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 2.合同价款为包干总价，该包干总价为中标人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人承担。除本合同明确约定的费用外，采购人无需支付任何额外费用和承担任何额外义务。上述合同价款等各项内容在本合同履行过程中保持不变，经双方协商一致以书面形式予以变更的除外。</w:t>
            </w:r>
          </w:p>
          <w:p/>
          <w:p>
            <w:r>
              <w:rPr/>
              <w:t>售后服务，（1)保修期限：中标人承诺本合同项下设备物资的免费保修期为3年，保修承担方为__中标人或生产厂商__（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 （2)对采购人的服务通知，中标人在接报后12小时内到达现场处理。若在故障48小时内仍未能有效解决，中标人应免费提供主要参数不低于原设备的替代设备并保证其正常运行。 （3)免费保修期满后，如有零部件出现故障，且属于寿命异常问题（明显短于该零部件正常寿命）的，由中标人负责免费更换及维修。 （4)免费保修期满后，设备物资维修服务及配件费用享受市价的八折优惠。</w:t>
            </w:r>
          </w:p>
          <w:p/>
          <w:p>
            <w:r>
              <w:rPr/>
              <w:t>项目实施要求（安装、调试），（1）所有设备均应按出厂标准及国家有关要求进行包装及运输，免费送货至采购人指定的交货地点，由投标人负责派人负责设备的现场安装和调试。按合同规定的时间交货、安装、调试、验收完毕。在设备的安装、调试、试运行期间, 中标人安装调试人员一切费用自理。 （2）所投设备必须是已注册商标的品牌设备，必须是厂商原装、全新的正品，符合国家及该产品的出厂标准。 （3）设备外观清洁，标记编号以及盘面显示等字体清晰，明确。 （4）对于影响设备正常工作的必要组成部分，无论在技术规范中指出与否，投标人都应提供在投标文件中明确列出。 （5）所有产品、设备提供出厂合格证等质量证明文件。 （6）所投的设备必须是在中国范围内合法销售，符合国家产品质量、技术、安全标准及环保标准。 （7）设备在正确安装后，能确保在正常的使用过程中安全、可靠，并达到有关规定的要求。 （8）投标人须保证提供的产品不侵犯任何第三方的专利、商标或版权。否则，投标人须承担对第三方的专利或版权的侵权责任并承担因此而发生的所有费用。</w:t>
            </w:r>
          </w:p>
          <w:p/>
          <w:p>
            <w:r>
              <w:rPr/>
              <w:t>培训要求，1.投标人必须根据招标文件采购的设备及采用的相关技术，提出培训初步计划，在征得采购人同意后制定详细计划并实施。 2.培训内容：包括安全知识学习、产品体系架构学习、安装、调试、操作的培训、产品的日常维护学习、产品的故障紧急处理。 3.培训对象：技术人员和操作人员。</w:t>
            </w:r>
          </w:p>
          <w:p/>
          <w:p>
            <w:r>
              <w:rPr/>
              <w:t>其他要求，1. 投标人在保证质量的前提下，应能按时完成所有工作内容。 2.在中标后的整个作业期间，中标人若发生人身伤亡、财物或其它损失，无论何种原因所致，采购人和采购代理机构均不负责。</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小动物步态分析系统</w:t>
            </w:r>
          </w:p>
        </w:tc>
        <w:tc>
          <w:tcPr>
            <w:tcW w:type="dxa" w:w="831"/>
          </w:tcPr>
          <w:p>
            <w:pPr>
              <w:jc w:val="left"/>
            </w:pPr>
            <w:r>
              <w:rPr/>
              <w:t>台</w:t>
            </w:r>
          </w:p>
        </w:tc>
        <w:tc>
          <w:tcPr>
            <w:tcW w:type="dxa" w:w="831"/>
          </w:tcPr>
          <w:p>
            <w:pPr>
              <w:jc w:val="right"/>
            </w:pPr>
            <w:r>
              <w:rPr/>
              <w:t>1.00</w:t>
            </w:r>
          </w:p>
        </w:tc>
        <w:tc>
          <w:tcPr>
            <w:tcW w:type="dxa" w:w="831"/>
          </w:tcPr>
          <w:p>
            <w:pPr>
              <w:jc w:val="right"/>
            </w:pPr>
            <w:r>
              <w:rPr/>
              <w:t>740,000.00</w:t>
            </w:r>
          </w:p>
        </w:tc>
        <w:tc>
          <w:tcPr>
            <w:tcW w:type="dxa" w:w="831"/>
          </w:tcPr>
          <w:p>
            <w:pPr>
              <w:jc w:val="right"/>
            </w:pPr>
            <w:r>
              <w:rPr/>
              <w:t>740,000.00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研究级倒置荧光显微镜</w:t>
            </w:r>
          </w:p>
        </w:tc>
        <w:tc>
          <w:tcPr>
            <w:tcW w:type="dxa" w:w="831"/>
          </w:tcPr>
          <w:p>
            <w:pPr>
              <w:jc w:val="left"/>
            </w:pPr>
            <w:r>
              <w:rPr/>
              <w:t>台</w:t>
            </w:r>
          </w:p>
        </w:tc>
        <w:tc>
          <w:tcPr>
            <w:tcW w:type="dxa" w:w="831"/>
          </w:tcPr>
          <w:p>
            <w:pPr>
              <w:jc w:val="right"/>
            </w:pPr>
            <w:r>
              <w:rPr/>
              <w:t>1.00</w:t>
            </w:r>
          </w:p>
        </w:tc>
        <w:tc>
          <w:tcPr>
            <w:tcW w:type="dxa" w:w="831"/>
          </w:tcPr>
          <w:p>
            <w:pPr>
              <w:jc w:val="right"/>
            </w:pPr>
            <w:r>
              <w:rPr/>
              <w:t>550,000.00</w:t>
            </w:r>
          </w:p>
        </w:tc>
        <w:tc>
          <w:tcPr>
            <w:tcW w:type="dxa" w:w="831"/>
          </w:tcPr>
          <w:p>
            <w:pPr>
              <w:jc w:val="right"/>
            </w:pPr>
            <w:r>
              <w:rPr/>
              <w:t>550,000.00</w:t>
            </w:r>
          </w:p>
        </w:tc>
        <w:tc>
          <w:tcPr>
            <w:tcW w:type="dxa" w:w="831"/>
          </w:tcPr>
          <w:p>
            <w:r>
              <w:rPr/>
              <w:t>工业</w:t>
            </w:r>
          </w:p>
        </w:tc>
        <w:tc>
          <w:tcPr>
            <w:tcW w:type="dxa" w:w="831"/>
          </w:tcPr>
          <w:p>
            <w:r>
              <w:rPr/>
              <w:t>详见附表二</w:t>
            </w:r>
          </w:p>
        </w:tc>
      </w:tr>
      <w:tr>
        <w:tc>
          <w:tcPr>
            <w:tcW w:type="dxa" w:w="831"/>
          </w:tcPr>
          <w:p>
            <w:pPr>
              <w:jc w:val="center"/>
            </w:pPr>
            <w:r>
              <w:rPr/>
              <w:t>3</w:t>
            </w:r>
          </w:p>
        </w:tc>
        <w:tc>
          <w:tcPr>
            <w:tcW w:type="dxa" w:w="831"/>
          </w:tcPr>
          <w:p>
            <w:pPr>
              <w:jc w:val="center"/>
            </w:pPr>
          </w:p>
        </w:tc>
        <w:tc>
          <w:tcPr>
            <w:tcW w:type="dxa" w:w="831"/>
          </w:tcPr>
          <w:p>
            <w:pPr>
              <w:jc w:val="left"/>
            </w:pPr>
            <w:r>
              <w:rPr/>
              <w:t>其他专用仪器仪表</w:t>
            </w:r>
          </w:p>
        </w:tc>
        <w:tc>
          <w:tcPr>
            <w:tcW w:type="dxa" w:w="831"/>
          </w:tcPr>
          <w:p>
            <w:pPr>
              <w:jc w:val="left"/>
            </w:pPr>
            <w:r>
              <w:rPr/>
              <w:t>生态学研究级显微镜等仪器设备采购项目（其它设备）</w:t>
            </w:r>
          </w:p>
        </w:tc>
        <w:tc>
          <w:tcPr>
            <w:tcW w:type="dxa" w:w="831"/>
          </w:tcPr>
          <w:p>
            <w:pPr>
              <w:jc w:val="left"/>
            </w:pPr>
            <w:r>
              <w:rPr/>
              <w:t>批</w:t>
            </w:r>
          </w:p>
        </w:tc>
        <w:tc>
          <w:tcPr>
            <w:tcW w:type="dxa" w:w="831"/>
          </w:tcPr>
          <w:p>
            <w:pPr>
              <w:jc w:val="right"/>
            </w:pPr>
            <w:r>
              <w:rPr/>
              <w:t>1.00</w:t>
            </w:r>
          </w:p>
        </w:tc>
        <w:tc>
          <w:tcPr>
            <w:tcW w:type="dxa" w:w="831"/>
          </w:tcPr>
          <w:p>
            <w:pPr>
              <w:jc w:val="right"/>
            </w:pPr>
            <w:r>
              <w:rPr/>
              <w:t>800,000.00</w:t>
            </w:r>
          </w:p>
        </w:tc>
        <w:tc>
          <w:tcPr>
            <w:tcW w:type="dxa" w:w="831"/>
          </w:tcPr>
          <w:p>
            <w:pPr>
              <w:jc w:val="right"/>
            </w:pPr>
            <w:r>
              <w:rPr/>
              <w:t>800,000.00</w:t>
            </w:r>
          </w:p>
        </w:tc>
        <w:tc>
          <w:tcPr>
            <w:tcW w:type="dxa" w:w="831"/>
          </w:tcPr>
          <w:p>
            <w:r>
              <w:rPr/>
              <w:t>工业</w:t>
            </w:r>
          </w:p>
        </w:tc>
        <w:tc>
          <w:tcPr>
            <w:tcW w:type="dxa" w:w="831"/>
          </w:tcPr>
          <w:p>
            <w:r>
              <w:rPr/>
              <w:t>详见附表三</w:t>
            </w:r>
          </w:p>
        </w:tc>
      </w:tr>
    </w:tbl>
    <w:p/>
    <w:p>
      <w:r>
        <w:rPr>
          <w:b/>
        </w:rPr>
        <w:t>附表</w:t>
      </w:r>
      <w:r>
        <w:rPr>
          <w:b/>
        </w:rPr>
        <w:t>一</w:t>
      </w:r>
      <w:r>
        <w:rPr>
          <w:b/>
        </w:rPr>
        <w:t>：</w:t>
      </w:r>
      <w:r>
        <w:rPr>
          <w:b/>
        </w:rPr>
        <w:t>小动物步态分析系统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b/>
                      <w:sz w:val="21"/>
                    </w:rPr>
                    <w:t>参数性质</w:t>
                  </w:r>
                </w:p>
              </w:tc>
              <w:tc>
                <w:tcPr>
                  <w:tcW w:type="dxa" w:w="452"/>
                  <w:tcBorders>
                    <w:top w:val="single" w:color="000000" w:sz="4"/>
                    <w:left w:val="none" w:color="000000" w:sz="4"/>
                    <w:bottom w:val="single" w:color="000000" w:sz="4"/>
                    <w:right w:val="single" w:color="000000" w:sz="4"/>
                  </w:tcBorders>
                </w:tcPr>
                <w:p>
                  <w:pPr>
                    <w:jc w:val="both"/>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both"/>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一、小动物步态分析系统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提供高灵敏度、无创性的步态检测分析，适用于小鼠、大鼠和豚鼠的可评价分析多种病理生理体征：脊索损伤、神经性疼痛、关节炎、中风、帕金森病、运动失调、脑损伤、外周神经损伤等疾病的研究。</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由高速摄像系统不断拍摄透明跑带上行走或跑动的动物步态，无需标记动物脚底，软件自动识别老鼠头部尾部和四肢顺序和动物脚爪，经自动识别与分析，生成“数字爪印”和动态的步态信号。</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高速摄像系统（200帧/秒），提供优于10ms的时间分辨率；视频分辨率≥1080*1080。</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用于速度控制的高扭矩马达：可通过直流电马达控制，避免交流电驱动带来的可变性。</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整套系统自带漫射光源（照明设备: 90-250V AC;25 kHz;5000K色温），为数字高速摄像系统提供优质光源，满足不同环境光照下的实验调节。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设备自带清扫工具，可对跑带上的排泄物进行清扫。</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每个隔间均为透明材料，保证在多个角度下监视动物，可监测到包括脚爪在内的整只动物图像。</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跑道长度可调节，满足不同动物的步态检测，范围由7.6cm（初生小鼠）到61cm(大鼠和豚鼠）。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高分子聚合物透明跑带，在保证摄像拍摄高度清晰的同时，也保证了动物足底在行走和高速跑动下极佳的牵引力；可循环使用。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落脚点指数，摆动，制动，推进，节奏，踏步次序模式，正常步序指数和坐骨功能指数等步态指数能被以预设的电子表格模式输出。</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无需手动描绘或者确定兴趣区域，图形化的用户界面可最大化调节动物脚爪和背景之间的对比度，适合对任何品种和肤色的啮齿动物进行研究。</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跑带速度可在0—100cm/s间调节，可满足动物的主动步态及被动步态；调节精度为0.1cm/s,数字化显示调节。</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可以做水平、上下坡倾斜面行走和跑步测试，且倾斜角度调节范围0-60度可调,精度1度。</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color w:val="000000"/>
                      <w:sz w:val="21"/>
                    </w:rPr>
                    <w:t>软件输出动态步态信号、动物落脚点绘图、步幅持续时间、触地持续时间、摆动持续时间、停步持续时间、推进持续时间、步频、步长、步数、足趾角度、步伐角度、步伐长度变化系数、触地宽度变化、足迹面积、后足迹触地面积、最大足迹变化率等不低于50个参数。</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研究级倒置荧光显微镜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b/>
                      <w:sz w:val="21"/>
                    </w:rPr>
                    <w:t>参数性质</w:t>
                  </w:r>
                </w:p>
              </w:tc>
              <w:tc>
                <w:tcPr>
                  <w:tcW w:type="dxa" w:w="452"/>
                  <w:tcBorders>
                    <w:top w:val="single" w:color="000000" w:sz="4"/>
                    <w:left w:val="none" w:color="000000" w:sz="4"/>
                    <w:bottom w:val="single" w:color="000000" w:sz="4"/>
                    <w:right w:val="single" w:color="000000" w:sz="4"/>
                  </w:tcBorders>
                </w:tcPr>
                <w:p>
                  <w:pPr>
                    <w:jc w:val="both"/>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both"/>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一、研究级倒置荧光显微镜</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w:t>
                  </w:r>
                  <w:r>
                    <w:rPr>
                      <w:sz w:val="21"/>
                    </w:rPr>
                    <w:t>无限远光学系统，齐焦距离≦45mm；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2.</w:t>
                  </w:r>
                  <w:r>
                    <w:rPr>
                      <w:sz w:val="21"/>
                    </w:rPr>
                    <w:t>配有明场、相差、荧光观察方法以及制冷型彩色数码成像及分析系统；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3.</w:t>
                  </w:r>
                  <w:r>
                    <w:rPr>
                      <w:sz w:val="21"/>
                    </w:rPr>
                    <w:t>机身左侧有光路出口，100/0分光，成像视野≥19mm；匹配sCMOS、EMCCD等高级成像系统；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4.</w:t>
                  </w:r>
                  <w:r>
                    <w:rPr>
                      <w:sz w:val="21"/>
                    </w:rPr>
                    <w:t>机身左边面板，可控制光、光闸和荧光以及透射光的切换；</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5.</w:t>
                  </w:r>
                  <w:r>
                    <w:rPr>
                      <w:sz w:val="21"/>
                    </w:rPr>
                    <w:t>同轴粗微调焦装置，调焦行程≥12mm；步进精度≤10nm；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6.</w:t>
                  </w:r>
                  <w:r>
                    <w:rPr>
                      <w:sz w:val="21"/>
                    </w:rPr>
                    <w:t>双目镜筒，倾角度45°；</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7.</w:t>
                  </w:r>
                  <w:r>
                    <w:rPr>
                      <w:sz w:val="21"/>
                    </w:rPr>
                    <w:t>平场目镜，10倍，视场数≥25mm；屈光度可调节；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8.</w:t>
                  </w:r>
                  <w:r>
                    <w:rPr>
                      <w:sz w:val="21"/>
                    </w:rPr>
                    <w:t>物镜转盘，孔位数≥6孔；</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9.</w:t>
                  </w:r>
                  <w:r>
                    <w:rPr>
                      <w:sz w:val="21"/>
                    </w:rPr>
                    <w:t>转盘式聚光镜，转盘位数≥7个，数值孔径≥0.55，工作距离≥28mm；配有用于5X-40X相差环板；</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10.</w:t>
                  </w:r>
                  <w:r>
                    <w:rPr>
                      <w:sz w:val="21"/>
                    </w:rPr>
                    <w:t>荧光块转盘，孔数≥6孔；可从两边操作；颜色代码指示活动位置；</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w:t>
                  </w:r>
                  <w:r>
                    <w:rPr>
                      <w:sz w:val="21"/>
                    </w:rPr>
                    <w:t>荧光光源，功率≥120W，光强调节档位≥5档，液体光导长度≥2米；光纤适配器通光尺寸≥1英寸；</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w:t>
                  </w:r>
                  <w:r>
                    <w:rPr>
                      <w:sz w:val="21"/>
                    </w:rPr>
                    <w:t>带有保证零像素偏移并完全抑制杂散光的荧光块，无需工具即可安装到荧光块转盘中；</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12.1 DAPI</w:t>
                  </w:r>
                  <w:r>
                    <w:rPr>
                      <w:sz w:val="21"/>
                    </w:rPr>
                    <w:t>激发波长: 340nm–380nm,二向色镜波长: ≥400nm，发射波长: ≥425nm,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12.2 FITC</w:t>
                  </w:r>
                  <w:r>
                    <w:rPr>
                      <w:sz w:val="21"/>
                    </w:rPr>
                    <w:t>激发波长: 460-500nm，二向色镜波长: ≥505nm，发射波长 512-542 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12.3 RHOD</w:t>
                  </w:r>
                  <w:r>
                    <w:rPr>
                      <w:sz w:val="21"/>
                    </w:rPr>
                    <w:t>激发波长:515-560，二向色镜波长: ≥580nm，发射波长: ≥590nm;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13.</w:t>
                  </w:r>
                  <w:r>
                    <w:rPr>
                      <w:sz w:val="21"/>
                    </w:rPr>
                    <w:t>透射光照明臂集成倾斜机构和视场光阑，带有2位置滤光片盒；</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14.</w:t>
                  </w:r>
                  <w:r>
                    <w:rPr>
                      <w:sz w:val="21"/>
                    </w:rPr>
                    <w:t>透射光源，采用高功率恒定色温LED光源，功率≥10W；并带有TTL光闸；</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w:t>
                  </w:r>
                  <w:r>
                    <w:rPr>
                      <w:sz w:val="21"/>
                    </w:rPr>
                    <w:t>高性能相差物镜（能够满足明场、相差、荧光、DIC观察）：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15.1  5</w:t>
                  </w:r>
                  <w:r>
                    <w:rPr>
                      <w:sz w:val="21"/>
                    </w:rPr>
                    <w:t>倍，数值孔径≥0.12；工作距离≥14mm；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15.2  10</w:t>
                  </w:r>
                  <w:r>
                    <w:rPr>
                      <w:sz w:val="21"/>
                    </w:rPr>
                    <w:t>倍，数值孔径≥0.25；工作距离≥17.7mm；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15.3  20</w:t>
                  </w:r>
                  <w:r>
                    <w:rPr>
                      <w:sz w:val="21"/>
                    </w:rPr>
                    <w:t>倍，数值孔径≥0.35；工作距离≥6.9mm；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15.4  40</w:t>
                  </w:r>
                  <w:r>
                    <w:rPr>
                      <w:sz w:val="21"/>
                    </w:rPr>
                    <w:t>倍，数值孔径≥0.55；工作距离≥3.3-1.9mm；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16.</w:t>
                  </w:r>
                  <w:r>
                    <w:rPr>
                      <w:sz w:val="21"/>
                    </w:rPr>
                    <w:t>机械载物台，面积约248mm x 204mm，样本移动尺移动范围约127x83mm；配有通用样本夹和多孔板样本夹；</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17.</w:t>
                  </w:r>
                  <w:r>
                    <w:rPr>
                      <w:sz w:val="21"/>
                    </w:rPr>
                    <w:t>摄影接口配有C型≥0.7倍；</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26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w:t>
                  </w:r>
                  <w:r>
                    <w:rPr>
                      <w:sz w:val="21"/>
                    </w:rPr>
                    <w:t>与显微镜同品牌的数字彩色高灵敏制冷相机一个：</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18.1</w:t>
                  </w:r>
                  <w:r>
                    <w:rPr>
                      <w:sz w:val="21"/>
                    </w:rPr>
                    <w:t>物理像素≥1920 x 1440；</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18.2</w:t>
                  </w:r>
                  <w:r>
                    <w:rPr>
                      <w:sz w:val="21"/>
                    </w:rPr>
                    <w:t>像素点尺≥寸4,54μm x 4,54μm；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18.3</w:t>
                  </w:r>
                  <w:r>
                    <w:rPr>
                      <w:sz w:val="21"/>
                    </w:rPr>
                    <w:t>满井电子&gt;15.000e-；</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18.4</w:t>
                  </w:r>
                  <w:r>
                    <w:rPr>
                      <w:sz w:val="21"/>
                    </w:rPr>
                    <w:t>曝光时间4μs-200s；</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18.5</w:t>
                  </w:r>
                  <w:r>
                    <w:rPr>
                      <w:sz w:val="21"/>
                    </w:rPr>
                    <w:t>色彩深度8 bit/12 bit；</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18.6 A/D</w:t>
                  </w:r>
                  <w:r>
                    <w:rPr>
                      <w:sz w:val="21"/>
                    </w:rPr>
                    <w:t>转换器16 bit；</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18.7</w:t>
                  </w:r>
                  <w:r>
                    <w:rPr>
                      <w:sz w:val="21"/>
                    </w:rPr>
                    <w:t>像素组合模式不少于2x2、3x3、4x4，5x5；</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18.8</w:t>
                  </w:r>
                  <w:r>
                    <w:rPr>
                      <w:sz w:val="21"/>
                    </w:rPr>
                    <w:t>暗噪声&lt;0,05 e-/px/sec；</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18.9</w:t>
                  </w:r>
                  <w:r>
                    <w:rPr>
                      <w:sz w:val="21"/>
                    </w:rPr>
                    <w:t>读出噪声6 e-；</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18.10</w:t>
                  </w:r>
                  <w:r>
                    <w:rPr>
                      <w:sz w:val="21"/>
                    </w:rPr>
                    <w:t>采用一级帕尔贴制冷方式；</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18.11</w:t>
                  </w:r>
                  <w:r>
                    <w:rPr>
                      <w:sz w:val="21"/>
                    </w:rPr>
                    <w:t>模拟增益连续 1×-10×；</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18.12</w:t>
                  </w:r>
                  <w:r>
                    <w:rPr>
                      <w:sz w:val="21"/>
                    </w:rPr>
                    <w:t>帧率，在1920 x 1440像素下40帧每秒；在2x2 binning 960 x 720下40帧每秒；在3x3 binning 640 x 480下91帧每秒；在4x4 binning 480 x 360下40帧每秒；在5x5 binning 384 x 288下123帧每秒；</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18.13</w:t>
                  </w:r>
                  <w:r>
                    <w:rPr>
                      <w:sz w:val="21"/>
                    </w:rPr>
                    <w:t>一个相机不少于单色和彩色两种成像模式；</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19.</w:t>
                  </w:r>
                  <w:r>
                    <w:rPr>
                      <w:sz w:val="21"/>
                    </w:rPr>
                    <w:t>与显微镜和数字彩色高灵敏制冷相机同品牌图像软件：</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19.1</w:t>
                  </w:r>
                  <w:r>
                    <w:rPr>
                      <w:sz w:val="21"/>
                    </w:rPr>
                    <w:t>具有设置显微镜硬件及用户界面、控制摄像头进行采图、调节摄像头曝光、增益、gamma、感兴趣区域等硬件控制功能；可进行浏览、保存、输出图像、添加注释、图像叠加、画廊、图像比较等图像显示；可进行调节对比度、亮度、gamma值、图像合并、剪切、运算等图像处理；可进行荧光强度、长度、面积测量、采图时可实时测量等图像测量；</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生态学研究级显微镜等仪器设备采购项目（其它设备）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1"/>
              </w:rPr>
              <w:t>斑马鱼饲养系统</w:t>
            </w: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b/>
                      <w:sz w:val="21"/>
                    </w:rPr>
                    <w:t>参数性质</w:t>
                  </w:r>
                </w:p>
              </w:tc>
              <w:tc>
                <w:tcPr>
                  <w:tcW w:type="dxa" w:w="452"/>
                  <w:tcBorders>
                    <w:top w:val="single" w:color="000000" w:sz="4"/>
                    <w:left w:val="none" w:color="000000" w:sz="4"/>
                    <w:bottom w:val="single" w:color="000000" w:sz="4"/>
                    <w:right w:val="single" w:color="000000" w:sz="4"/>
                  </w:tcBorders>
                </w:tcPr>
                <w:p>
                  <w:pPr>
                    <w:jc w:val="both"/>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both"/>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一、斑马鱼饲养系统</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独立的自循环式饲养系统, 适合于实验鱼类的饲养、繁殖等；</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五层单面养殖架，适合于不同大小的鱼缸，养殖架尺寸: ≥152.4cm x 45.7cm x 208.3cm；养殖架为T-316型不锈钢材质，带水平调节脚；</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配置≥3种不同规格的鱼缸，分别为20个1.4L鱼缸，36个2.8L鱼缸，6个9.5L鱼缸；</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自清洁设计“V”形底鱼缸，能够及时将残饵粪便集中在缸底并通过虹吸通道排出鱼缸,每个鱼缸配置绿色的导流板和绿色的盖子，有效抑制藻类的生长；</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带≥1000瓦不锈钢加热棒，自动调节水温，温度调节精度±0.1℃，电器件运行安全；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循环水系统:上水和下水管可方便拆卸清洗，敞开式下水管为透明的PVC管，便于观察水流状况，开放式的脱气塔自动脱掉养殖水体中多余的二氧化碳，补充氧气，不需要额外配置增氧泵。配置超静音塑料泵，每个鱼缸流量达到每小时6次以上，性能稳定可靠,无噪音，适合于中国电压，水泵运行安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过滤系统包括：不锈钢滤网过滤器、免维护的悬浮式生物流化床过滤系统和活性碳过滤器。</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生物流化床过滤系统无耗材、免维护，其中的滤料比表面积达到8000以上，高效去除氨氮和亚硝酸盐，正常运行后系统水体中检测不到氨氮；</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杀菌消毒系统:40W紫外线消毒器，计量在10万微瓦•秒/平方厘米以上，紫外灯运行安全；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鱼缸为符合医用级材质的聚碳酸酯一次注塑成型；系统中所有管道、阀门、回水管、水槽、水泵等物料材质均符合饮用水质量标准；</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配备繁殖交配盒，可用于交配和采集授精卵用，容积1升，方形，中央分隔，透明聚碳酸酯材质；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RO</w:t>
                  </w:r>
                  <w:r>
                    <w:rPr>
                      <w:sz w:val="21"/>
                    </w:rPr>
                    <w:t>反渗透纯水机一台，纯水产量≥100加仑/天，脱盐率99%以上，无须耗电，靠自来水水压制造纯水，带过滤精度为5微米和10微米的前置过滤器，配套原装RO反渗透膜，带自动控制开关；</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配置自动换水系统，每天定时定量自动换水，每天换水量不大于5%，减少斑马鱼的应急反应；</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配置pH和电导率自动检测和调节系统，自动检测和调节养殖水体，带PLC控制器，pH调节精度达到0.01，电导率调节精度达到0.001μm；</w:t>
                  </w:r>
                </w:p>
              </w:tc>
            </w:tr>
          </w:tbl>
        </w:tc>
      </w:tr>
      <w:tr>
        <w:tc>
          <w:tcPr>
            <w:tcW w:type="dxa" w:w="2076"/>
          </w:tcPr>
          <w:p/>
        </w:tc>
        <w:tc>
          <w:tcPr>
            <w:tcW w:type="dxa" w:w="415"/>
          </w:tcPr>
          <w:p>
            <w:r>
              <w:rPr/>
              <w:t>2</w:t>
            </w:r>
          </w:p>
        </w:tc>
        <w:tc>
          <w:tcPr>
            <w:tcW w:type="dxa" w:w="5814"/>
          </w:tcPr>
          <w:p>
            <w:r>
              <w:rPr>
                <w:b/>
                <w:sz w:val="21"/>
              </w:rPr>
              <w:t>研究级正置荧光显微镜</w:t>
            </w: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b/>
                      <w:sz w:val="21"/>
                    </w:rPr>
                    <w:t>参数性质</w:t>
                  </w:r>
                </w:p>
              </w:tc>
              <w:tc>
                <w:tcPr>
                  <w:tcW w:type="dxa" w:w="452"/>
                  <w:tcBorders>
                    <w:top w:val="single" w:color="000000" w:sz="4"/>
                    <w:left w:val="none" w:color="000000" w:sz="4"/>
                    <w:bottom w:val="single" w:color="000000" w:sz="4"/>
                    <w:right w:val="single" w:color="000000" w:sz="4"/>
                  </w:tcBorders>
                </w:tcPr>
                <w:p>
                  <w:pPr>
                    <w:jc w:val="both"/>
                  </w:pPr>
                  <w:r>
                    <w:rPr>
                      <w:b/>
                      <w:sz w:val="21"/>
                    </w:rPr>
                    <w:t>序号</w:t>
                  </w:r>
                </w:p>
              </w:tc>
              <w:tc>
                <w:tcPr>
                  <w:tcW w:type="dxa" w:w="4411"/>
                  <w:tcBorders>
                    <w:top w:val="single" w:color="000000" w:sz="4"/>
                    <w:left w:val="none" w:color="000000" w:sz="4"/>
                    <w:bottom w:val="single" w:color="000000" w:sz="4"/>
                    <w:right w:val="single" w:color="000000" w:sz="4"/>
                  </w:tcBorders>
                </w:tcPr>
                <w:p>
                  <w:pPr>
                    <w:ind w:firstLine="422"/>
                    <w:jc w:val="both"/>
                  </w:pPr>
                  <w:r>
                    <w:rPr>
                      <w:b/>
                      <w:sz w:val="21"/>
                    </w:rPr>
                    <w:t>具体技术(参数)要求</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w:t>
                  </w:r>
                </w:p>
              </w:tc>
              <w:tc>
                <w:tcPr>
                  <w:tcW w:type="dxa" w:w="4411"/>
                  <w:tcBorders>
                    <w:top w:val="none" w:color="000000" w:sz="4"/>
                    <w:left w:val="none" w:color="000000" w:sz="4"/>
                    <w:bottom w:val="single" w:color="000000" w:sz="4"/>
                    <w:right w:val="single" w:color="000000" w:sz="4"/>
                  </w:tcBorders>
                </w:tcPr>
                <w:p>
                  <w:pPr>
                    <w:jc w:val="both"/>
                  </w:pPr>
                  <w:r>
                    <w:rPr>
                      <w:b/>
                      <w:sz w:val="21"/>
                    </w:rPr>
                    <w:t>二、研究级正置荧光显微镜</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w:t>
                  </w:r>
                  <w:r>
                    <w:rPr>
                      <w:sz w:val="21"/>
                    </w:rPr>
                    <w:t>、采用HCS无限远校正光学系统，整个光学系统保证优越的高光亮度、高解像度及高衬比度影像，配有明场，荧光观察和数码成像功能；可扩展相差、偏光、微分干涉及多人共览等功能。</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2</w:t>
                  </w:r>
                  <w:r>
                    <w:rPr>
                      <w:sz w:val="21"/>
                    </w:rPr>
                    <w:t>、全金属主机，T型镜座设计，稳定性好，热补偿调焦系统，有效增强机械性及热稳定性，有效减少积温引起的焦面漂移。</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3</w:t>
                  </w:r>
                  <w:r>
                    <w:rPr>
                      <w:sz w:val="21"/>
                    </w:rPr>
                    <w:t>、 三档同轴粗/中/微调焦系统，调焦驱动钮高、低位可调。适合不同大小的手 掌贴着桌面操控调焦，有效降低手掌、手臂、肩膀的肌肉疲劳。具有载物台限位装置，能有效防止压碎标本。</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4</w:t>
                  </w:r>
                  <w:r>
                    <w:rPr>
                      <w:sz w:val="21"/>
                    </w:rPr>
                    <w:t>、 防止肩部劳损的对称操作设计：载物台驱动装置和聚焦按钮在显微镜上同一高度，离操作者的距离相同，形成对称操作，操作显微镜时，两手可以放在一条直线上，肩部与身体轴线成一直角。</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5</w:t>
                  </w:r>
                  <w:r>
                    <w:rPr>
                      <w:sz w:val="21"/>
                    </w:rPr>
                    <w:t>、 超硬浅米色镀陶瓷载物台，坚固耐刮、耐腐蚀，行程≥76x25mm。载物台 驱动手柄可左、右更换，使左、右手操作皆为可能，另外可轻松实现X、Y、Z轴单手调节。载物台钢丝传动，X-Y移动无暴露齿条，带刻度，可方便记录座标位置。</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6</w:t>
                  </w:r>
                  <w:r>
                    <w:rPr>
                      <w:sz w:val="21"/>
                    </w:rPr>
                    <w:t xml:space="preserve">、聚光镜，数值孔径≥0.9/1.25，可做明场、暗场、相差等，孔径光栏具有 彩色标记，并且与物镜放大倍数的颜色标记相匹配，配有聚光镜透镜；  </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7</w:t>
                  </w:r>
                  <w:r>
                    <w:rPr>
                      <w:sz w:val="21"/>
                    </w:rPr>
                    <w:t>、内倾式物镜转换器、孔数≥6孔，高齐焦性、高同轴性；，带DIC带 棱镜 槽。</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8</w:t>
                  </w:r>
                  <w:r>
                    <w:rPr>
                      <w:sz w:val="21"/>
                    </w:rPr>
                    <w:t>、宽视野三目镜筒，倾角30°，视场数≥25mm;分光比100:50:0%，，瞳距可调.</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9</w:t>
                  </w:r>
                  <w:r>
                    <w:rPr>
                      <w:sz w:val="21"/>
                    </w:rPr>
                    <w:t>、宽视野10倍目镜，高眼点；视场数≥25mm。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10</w:t>
                  </w:r>
                  <w:r>
                    <w:rPr>
                      <w:sz w:val="21"/>
                    </w:rPr>
                    <w:t>、 LED冷光源照明，LED灯泡功率≥4W，寿命≥10万小时；</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12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w:t>
                  </w:r>
                  <w:r>
                    <w:rPr>
                      <w:sz w:val="21"/>
                    </w:rPr>
                    <w:t>、高性能物镜（视场数≥25mm，满足明场、暗场、荧光、DIC使用）：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11.1  2.5</w:t>
                  </w:r>
                  <w:r>
                    <w:rPr>
                      <w:sz w:val="21"/>
                    </w:rPr>
                    <w:t>倍物镜数值孔径≥0.07，工作距离≥11.2mm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11.2  5</w:t>
                  </w:r>
                  <w:r>
                    <w:rPr>
                      <w:sz w:val="21"/>
                    </w:rPr>
                    <w:t>倍物镜数值孔径≥0.12，工作距离≥14.0mm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11.3  10</w:t>
                  </w:r>
                  <w:r>
                    <w:rPr>
                      <w:sz w:val="21"/>
                    </w:rPr>
                    <w:t>倍物镜数值孔径≥0.25，工作距离≥17.7mm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11.4  20</w:t>
                  </w:r>
                  <w:r>
                    <w:rPr>
                      <w:sz w:val="21"/>
                    </w:rPr>
                    <w:t>倍物镜数值孔径≥0.40，工作距离≥0.39mm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11.5  40</w:t>
                  </w:r>
                  <w:r>
                    <w:rPr>
                      <w:sz w:val="21"/>
                    </w:rPr>
                    <w:t>倍物镜数值孔径≥0.65，工作距离≥0.36mm；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11.6  100X</w:t>
                  </w:r>
                  <w:r>
                    <w:rPr>
                      <w:sz w:val="21"/>
                    </w:rPr>
                    <w:t>倍物镜数值孔径NA≥1.25，工作距离≥0.12mm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19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w:t>
                  </w:r>
                  <w:r>
                    <w:rPr>
                      <w:sz w:val="21"/>
                    </w:rPr>
                    <w:t>、荧光照明器：转盘式≥5孔位，带光陷阱消杂光技术，可调中孔径光栏和视场光栏，保证在转换滤光块时无影象漂移；</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20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w:t>
                  </w:r>
                  <w:r>
                    <w:rPr>
                      <w:sz w:val="21"/>
                    </w:rPr>
                    <w:t>、高信噪比，零像素漂移技术荧光激发块，可有效避免不同波长的激发光产生的细胞结构位移：</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12.1   UV</w:t>
                  </w:r>
                  <w:r>
                    <w:rPr>
                      <w:sz w:val="21"/>
                    </w:rPr>
                    <w:t>光激发：激发波长≥360/40nm;二向色镜≥400nm; 发射波长: ≥425nm；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12.2</w:t>
                  </w:r>
                  <w:r>
                    <w:rPr>
                      <w:sz w:val="21"/>
                    </w:rPr>
                    <w:t>． 蓝光激发：激发波长≥470/40nm;二向色镜≥510nm; 发射波长: ≥515nm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12.3 </w:t>
                  </w:r>
                  <w:r>
                    <w:rPr>
                      <w:sz w:val="21"/>
                    </w:rPr>
                    <w:t>绿光激发：激发波长≥546/10nm; 二向色镜≥560nm; 发射波长: ≥585/40nm；</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13</w:t>
                  </w:r>
                  <w:r>
                    <w:rPr>
                      <w:sz w:val="21"/>
                    </w:rPr>
                    <w:t>、  与显微镜同品牌长寿命金属卤化物灯荧光光源，功率120W，寿命不低于2000小时，分5档调节亮度；</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14</w:t>
                  </w:r>
                  <w:r>
                    <w:rPr>
                      <w:sz w:val="21"/>
                    </w:rPr>
                    <w:t>、C型摄影接口，内置≥0.7倍透镜；</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w:t>
                  </w:r>
                  <w:r>
                    <w:rPr>
                      <w:sz w:val="21"/>
                    </w:rPr>
                    <w:t>、与显微同品牌专业制冷型荧光显微镜数码相机：</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15.1  </w:t>
                  </w:r>
                  <w:r>
                    <w:rPr>
                      <w:sz w:val="21"/>
                    </w:rPr>
                    <w:t>采用彩色CCD类型传感器；行间传输逐行扫描，全局快门；</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15.2  </w:t>
                  </w:r>
                  <w:r>
                    <w:rPr>
                      <w:sz w:val="21"/>
                    </w:rPr>
                    <w:t>物理像素≥280万像素；</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29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15.3  </w:t>
                  </w:r>
                  <w:r>
                    <w:rPr>
                      <w:sz w:val="21"/>
                    </w:rPr>
                    <w:t>像素尺寸≥4.54μmx 4.54μm。</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15.4  </w:t>
                  </w:r>
                  <w:r>
                    <w:rPr>
                      <w:sz w:val="21"/>
                    </w:rPr>
                    <w:t>全阱容量≥15.000电子（e-）（典型值）</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15.5  </w:t>
                  </w:r>
                  <w:r>
                    <w:rPr>
                      <w:sz w:val="21"/>
                    </w:rPr>
                    <w:t>位深不少于8 bit、12 bit、16 bit可选。</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32</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15.6  Binning</w:t>
                  </w:r>
                  <w:r>
                    <w:rPr>
                      <w:sz w:val="21"/>
                    </w:rPr>
                    <w:t>模式不少于2x2，3x3，4x4，5x5.</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33</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15.7 </w:t>
                  </w:r>
                  <w:r>
                    <w:rPr>
                      <w:sz w:val="21"/>
                    </w:rPr>
                    <w:t>采用一级帕尔贴制冷方式。</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34</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15.8   </w:t>
                  </w:r>
                  <w:r>
                    <w:rPr>
                      <w:sz w:val="21"/>
                    </w:rPr>
                    <w:t>暗噪声≦0.05e-/像素/秒。</w:t>
                  </w:r>
                </w:p>
              </w:tc>
            </w:tr>
            <w:tr>
              <w:tc>
                <w:tcPr>
                  <w:tcW w:type="dxa" w:w="735"/>
                  <w:tcBorders>
                    <w:top w:val="none" w:color="000000" w:sz="4"/>
                    <w:left w:val="single" w:color="000000" w:sz="4"/>
                    <w:bottom w:val="single" w:color="000000" w:sz="4"/>
                    <w:right w:val="single" w:color="000000" w:sz="4"/>
                  </w:tcBorders>
                </w:tcPr>
                <w:p>
                  <w:pPr>
                    <w:ind w:firstLine="420"/>
                    <w:jc w:val="both"/>
                  </w:pPr>
                  <w:r>
                    <w:rPr>
                      <w:sz w:val="21"/>
                    </w:rPr>
                    <w:t>▲</w:t>
                  </w:r>
                </w:p>
              </w:tc>
              <w:tc>
                <w:tcPr>
                  <w:tcW w:type="dxa" w:w="452"/>
                  <w:tcBorders>
                    <w:top w:val="none" w:color="000000" w:sz="4"/>
                    <w:left w:val="none" w:color="000000" w:sz="4"/>
                    <w:bottom w:val="single" w:color="000000" w:sz="4"/>
                    <w:right w:val="single" w:color="000000" w:sz="4"/>
                  </w:tcBorders>
                </w:tcPr>
                <w:p>
                  <w:pPr>
                    <w:jc w:val="both"/>
                  </w:pPr>
                  <w:r>
                    <w:rPr>
                      <w:sz w:val="21"/>
                    </w:rPr>
                    <w:t>35</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15.9  </w:t>
                  </w:r>
                  <w:r>
                    <w:rPr>
                      <w:sz w:val="21"/>
                    </w:rPr>
                    <w:t>读出噪声≦6e-/10 MHz （典型值）</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36</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15.10  </w:t>
                  </w:r>
                  <w:r>
                    <w:rPr>
                      <w:sz w:val="21"/>
                    </w:rPr>
                    <w:t>帧速率：在全画幅 (1920 x 1440) ≥40fps</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37</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 16</w:t>
                  </w:r>
                  <w:r>
                    <w:rPr>
                      <w:sz w:val="21"/>
                    </w:rPr>
                    <w:t>、 与显微镜和数码相机同品牌分析软件：</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38</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16.1 </w:t>
                  </w:r>
                  <w:r>
                    <w:rPr>
                      <w:sz w:val="21"/>
                    </w:rPr>
                    <w:t>驱动软件，具有设置显微镜硬件及用户界面、控制摄像头进行采图、调节摄像头曝光、增益、gamma、感兴趣区域等硬件控制功能；</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39</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 xml:space="preserve">16.2 </w:t>
                  </w:r>
                  <w:r>
                    <w:rPr>
                      <w:sz w:val="21"/>
                    </w:rPr>
                    <w:t>图像处理软件，可进行浏览、保存、输出图像、添加注释、图像叠加、画廊、图像比较等图像显示；可进行调节对比度、亮度、gamma值、图像合并、剪切、运算等，具有多通道荧光叠加功能，多语言支持，测量数据可导出到Word或Excel文档处理保存；</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40</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16.3</w:t>
                  </w:r>
                  <w:r>
                    <w:rPr>
                      <w:sz w:val="21"/>
                    </w:rPr>
                    <w:t>与显微镜同品牌图像测量软件，可进行荧光强度、直线距离、曲线长度 、周长、面积测量、采图时可实时测量等；</w:t>
                  </w:r>
                </w:p>
              </w:tc>
            </w:tr>
            <w:tr>
              <w:tc>
                <w:tcPr>
                  <w:tcW w:type="dxa" w:w="735"/>
                  <w:tcBorders>
                    <w:top w:val="none" w:color="000000" w:sz="4"/>
                    <w:left w:val="single" w:color="000000" w:sz="4"/>
                    <w:bottom w:val="single" w:color="000000" w:sz="4"/>
                    <w:right w:val="single" w:color="000000" w:sz="4"/>
                  </w:tcBorders>
                </w:tcPr>
                <w:p>
                  <w:pPr>
                    <w:ind w:firstLine="420"/>
                    <w:jc w:val="both"/>
                  </w:pPr>
                </w:p>
              </w:tc>
              <w:tc>
                <w:tcPr>
                  <w:tcW w:type="dxa" w:w="452"/>
                  <w:tcBorders>
                    <w:top w:val="none" w:color="000000" w:sz="4"/>
                    <w:left w:val="none" w:color="000000" w:sz="4"/>
                    <w:bottom w:val="single" w:color="000000" w:sz="4"/>
                    <w:right w:val="single" w:color="000000" w:sz="4"/>
                  </w:tcBorders>
                </w:tcPr>
                <w:p>
                  <w:pPr>
                    <w:jc w:val="both"/>
                  </w:pPr>
                  <w:r>
                    <w:rPr>
                      <w:sz w:val="21"/>
                    </w:rPr>
                    <w:t>41</w:t>
                  </w:r>
                </w:p>
              </w:tc>
              <w:tc>
                <w:tcPr>
                  <w:tcW w:type="dxa" w:w="4411"/>
                  <w:tcBorders>
                    <w:top w:val="none" w:color="000000" w:sz="4"/>
                    <w:left w:val="none" w:color="000000" w:sz="4"/>
                    <w:bottom w:val="single" w:color="000000" w:sz="4"/>
                    <w:right w:val="single" w:color="000000" w:sz="4"/>
                  </w:tcBorders>
                </w:tcPr>
                <w:p>
                  <w:pPr>
                    <w:ind w:firstLine="420"/>
                    <w:jc w:val="both"/>
                  </w:pPr>
                  <w:r>
                    <w:rPr>
                      <w:sz w:val="21"/>
                    </w:rPr>
                    <w:t>17.</w:t>
                  </w:r>
                  <w:r>
                    <w:rPr>
                      <w:sz w:val="21"/>
                    </w:rPr>
                    <w:t>工作站，CPU≥I5档次、≥8GB内存，≥1T硬盘，DVD-RW, ≥ 27寸液晶显示屏，带光驱可刻录，64位 WINDOWS 10 随机正版操作系统.</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采购包5（气质联用-激光散斑成像项目）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国产仪器：供货时间为签定合同后 15 天内完成。 进口仪器：供货时间为签定合同后 90 天内完成。</w:t>
            </w:r>
          </w:p>
        </w:tc>
      </w:tr>
      <w:tr>
        <w:tc>
          <w:tcPr>
            <w:tcW w:type="dxa" w:w="4153"/>
          </w:tcPr>
          <w:p>
            <w:r>
              <w:rPr/>
              <w:t>标的提供的地点</w:t>
            </w:r>
          </w:p>
        </w:tc>
        <w:tc>
          <w:tcPr>
            <w:tcW w:type="dxa" w:w="4153"/>
          </w:tcPr>
          <w:p/>
          <w:p>
            <w:r>
              <w:rPr/>
              <w:t>广州中医药大学三元里校区实验/重点学科楼</w:t>
            </w:r>
          </w:p>
        </w:tc>
      </w:tr>
      <w:tr>
        <w:tc>
          <w:tcPr>
            <w:tcW w:type="dxa" w:w="4153"/>
          </w:tcPr>
          <w:p>
            <w:r>
              <w:rPr/>
              <w:t>付款方式</w:t>
            </w:r>
          </w:p>
        </w:tc>
        <w:tc>
          <w:tcPr>
            <w:tcW w:type="dxa" w:w="4153"/>
          </w:tcPr>
          <w:p/>
          <w:p/>
          <w:p>
            <w:r>
              <w:rPr/>
              <w:t>1期：支付比例100%,国产仪器： 鉴于中标人为：中小企业（  ）非中小企业（  ），付款方式按以下第（  ）种执行。 1．如中标人为中小企业：      （1）合同签订且收到履约保证金后5个工作日内采购人向中标人支付合同金额的30%（支付方式含银行转账、支票、银行承兑汇票、商业承兑汇票等形式）。      （2）所有货物验收合格且收到发票后15日内采购人向中标人支付至合同总价的100%（支付方式含银行转账、支票、银行承兑汇票、商业承兑汇票等形式）。      2．如中标人为非中小企业：      所有货物验收合格且收到发票后15日内采购人向中标人支付合同总价的100%（支付方式含银行转账、支票、银行承兑汇票、商业承兑汇票等形式）。 3.采购人在上述期限内，按广东省财政厅规定的支付手续将付款的申请文件递出, 即完成付款义务。但可以协助中标人查询政府审核和支付的进度。 4．履约保证金提交：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5．履约保证金退还： 验收合格至免费保修期满，中标人向采购人申请退还履约保证金，采购人于接到申请后15个工作日内将履约保证金无息退回中标人。 进口仪器： 1.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采购人收到履约保证金后，凭《代理进口合同》按广东省财政厅规定的支付手续在15日内开始办理支付合同总额100%货款给指定外贸代理商。外贸代理商收到全部货款后开具100%的L/C并凭L/C规定的发货单据对外支付全款，或全部货物交采购人后以T/T方式支付100%的货款。 3.采购人在上述期限内，按广东省财政厅规定的支付手续将付款的申请文件递出, 即完成付款义务。但可以协助中标人查询政府审核和支付的进度。 4.验收合格至免费保修期满，中标人向采购人申请退还履约保证金，采购人于接到申请后15个工作日内将履约保证金无息退回中标人。  5.采购人全权委托         公司（外贸代理商）办理进口业务（另行签订代理进口合同），由该公司与中标人结算，代理进口有关的一切费用由中标人承担。</w:t>
            </w:r>
          </w:p>
        </w:tc>
      </w:tr>
      <w:tr>
        <w:tc>
          <w:tcPr>
            <w:tcW w:type="dxa" w:w="4153"/>
          </w:tcPr>
          <w:p>
            <w:r>
              <w:rPr/>
              <w:t>验收要求</w:t>
            </w:r>
          </w:p>
        </w:tc>
        <w:tc>
          <w:tcPr>
            <w:tcW w:type="dxa" w:w="4153"/>
          </w:tcPr>
          <w:p/>
          <w:p/>
          <w:p/>
          <w:p>
            <w:r>
              <w:rPr/>
              <w:t>1期：（一）验收标准：根据采购合同约定进行履约验收。 （二）验收要求： （1）交付验收标准为：符合招标文件、投标文件、合同和响应承诺中采购人认可的合理最佳配置、参数及各项要求。验收的过程如发现性能指标或功能上不符合合同要求时，或经法定第三方计量检测机构计量检定、校准、检测不合格时，均视为验收不合格。投标人应立即整改直至合格。 （2）如供应设备技术指标与项目文件偏差过大导致无法通过验收投入使用的，投标人应免费提供设备的升级以达到验收要求。 （3）货物为原制造商制造的全新产品，整机无污染，无侵权行为、表面无划损、无任何缺陷隐患，在中国境内可依常规安全合法使用。 （4）货物为原厂商未启封全新包装，所有随设备的附件必须齐全。</w:t>
            </w:r>
          </w:p>
        </w:tc>
      </w:tr>
      <w:tr>
        <w:tc>
          <w:tcPr>
            <w:tcW w:type="dxa" w:w="4153"/>
          </w:tcPr>
          <w:p>
            <w:r>
              <w:rPr/>
              <w:t>履约保证金</w:t>
            </w:r>
          </w:p>
        </w:tc>
        <w:tc>
          <w:tcPr>
            <w:tcW w:type="dxa" w:w="4153"/>
          </w:tcPr>
          <w:p/>
          <w:p/>
          <w:p/>
          <w:p/>
          <w:p>
            <w:r>
              <w:rPr/>
              <w:t>收取比例：10%,说明：1.国产仪器： （1）履约保证金提交： 履约金额为合同金额的10%（如中标人为中小企业，履约保证金为合同金额的5%），中标人应在合同签订后5日内递交履约保证金。中标人可根据自身实际自主选择以转账、支票、汇票、本票、保函、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 2.进口仪器： （1）履约保证金提交： 合同生效之日起5日内，中标人支付给采购人合同金额的10%（如中标人为中小微企业，履约保证金为合同金额的5%）作为履约保证金。中标人可根据自身实际自主选择以转账、支票、汇票、本票、保函或现金等形式向采购人缴纳履约保证金，但采用保函形式递交履约保证金的，须是无条件保函。 （2）履约保证金退还： 验收合格至免费保修期满，中标人向采购人申请退还履约保证金，采购人于接到申请后15个工作日内将履约保证金无息退回中标人。</w:t>
            </w:r>
          </w:p>
        </w:tc>
      </w:tr>
      <w:tr>
        <w:tc>
          <w:tcPr>
            <w:tcW w:type="dxa" w:w="4153"/>
          </w:tcPr>
          <w:p>
            <w:r>
              <w:rPr/>
              <w:t>其他</w:t>
            </w:r>
          </w:p>
        </w:tc>
        <w:tc>
          <w:tcPr>
            <w:tcW w:type="dxa" w:w="4153"/>
          </w:tcPr>
          <w:p/>
          <w:p/>
          <w:p>
            <w:r>
              <w:rPr/>
              <w:t>报价要求，1.投标人报价应为包干总价，该包干总价为按照合同约定完成合同全部义务后所适用的总价格，包括但不限于购买设备物资的费用、运输费、保险费、装卸费、配套资料费、安装调试费用、验收时的试剂耗材、强制性第三方监督检验机构的验收检验费、培训费用以及售后服务费用等。 2.合同价款为包干总价，该包干总价为中标人按照合同约定完成合同全部义务后所适用的总价格，包括但不限于购买设备的费用、外贸代理所需费用、运输费、保险费、装卸费、配套资料费、安装调试费用、验收时的试剂耗材、强制性第三方监督检验机构的验收检验费、培训费用以及售后服务费用等；汇率或政策变化导致的风险与费用由中标人承担。除本合同明确约定的费用外，采购人无需支付任何额外费用和承担任何额外义务。上述合同价款等各项内容在本合同履行过程中保持不变，经双方协商一致以书面形式予以变更的除外。</w:t>
            </w:r>
          </w:p>
          <w:p/>
          <w:p>
            <w:r>
              <w:rPr/>
              <w:t>售后服务，（1)保修期限：中标人承诺本合同项下设备物资的免费保修期为3年，保修承担方为__中标人或生产厂商_（保修承担方承诺函为本合同附件，中标人同意与实际保修方共同无限承担连带责任）。保修期限自货物通过采购人组织的验收之日起算。在保修期内，如货物非因采购人原因而出现的质量问题由中标人负责保修、包换或包退，并承担修理、调换或退货的实际费用。中标人不能修复、调换或不能退货的，应退回相应货款，并承担相应的违约责任。 （2)对采购人的服务通知，中标人在接报后12小时内到达现场处理。若在故障48小时内仍未能有效解决，中标人应免费提供主要参数不低于原设备的替代设备并保证其正常运行。 （3)免费保修期满后，如有零部件出现故障，且属于寿命异常问题（明显短于该零部件正常寿命）的，由中标人负责免费更换及维修。 （4)免费保修期满后，设备物资维修服务及配件费用享受市价的八折优惠。</w:t>
            </w:r>
          </w:p>
          <w:p/>
          <w:p>
            <w:r>
              <w:rPr/>
              <w:t>项目实施要求（安装、调试），（1）所有设备均应按出厂标准及国家有关要求进行包装及运输，免费送货至采购人指定的交货地点，由投标人负责派人负责设备的现场安装和调试。按合同规定的时间交货、安装、调试、验收完毕。在设备的安装、调试、试运行期间, 中标人安装调试人员一切费用自理。 （2）所投设备必须是已注册商标的品牌设备，必须是厂商原装、全新的正品，符合国家及该产品的出厂标准。 （3）设备外观清洁，标记编号以及盘面显示等字体清晰，明确。 （4）对于影响设备正常工作的必要组成部分，无论在技术规范中指出与否，投标人都应提供在投标文件中明确列出。 （5）所有产品、设备提供出厂合格证等质量证明文件。 （6）所投的设备必须是在中国范围内合法销售，符合国家产品质量、技术、安全标准及环保标准。 （7）设备在正确安装后，能确保在正常的使用过程中安全、可靠，并达到有关规定的要求。 （8）投标人须保证提供的产品不侵犯任何第三方的专利、商标或版权。否则，投标人须承担对第三方的专利或版权的侵权责任并承担因此而发生的所有费用。</w:t>
            </w:r>
          </w:p>
          <w:p/>
          <w:p>
            <w:r>
              <w:rPr/>
              <w:t>培训要求，1.投标人必须根据招标文件采购的设备及采用的相关技术，提出培训初步计划，在征得采购人同意后制定详细计划并实施。 2.培训内容：包括安全知识学习、产品体系架构学习、安装、调试、操作的培训、产品的日常维护学习、产品的故障紧急处理。 3.培训对象：技术人员和操作人员。</w:t>
            </w:r>
          </w:p>
          <w:p/>
          <w:p>
            <w:r>
              <w:rPr/>
              <w:t>其他要求，1. 投标人在保证质量的前提下，应能按时完成所有工作内容。 2.在中标后的整个作业期间，中标人若发生人身伤亡、财物或其它损失，无论何种原因所致，采购人和采购代理机构均不负责。</w:t>
            </w:r>
          </w:p>
        </w:tc>
      </w:tr>
    </w:tbl>
    <w:p>
      <w:r>
        <w:rPr>
          <w:b/>
        </w:rPr>
        <w:t>2.技术标准与要求</w:t>
      </w:r>
    </w:p>
    <w:p/>
    <w:p/>
    <w:p/>
    <w:p/>
    <w:p/>
    <w:p/>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其他专用仪器仪表</w:t>
            </w:r>
          </w:p>
        </w:tc>
        <w:tc>
          <w:tcPr>
            <w:tcW w:type="dxa" w:w="831"/>
          </w:tcPr>
          <w:p>
            <w:pPr>
              <w:jc w:val="left"/>
            </w:pPr>
            <w:r>
              <w:rPr/>
              <w:t>激光散斑血流灌注成像监测系统</w:t>
            </w:r>
          </w:p>
        </w:tc>
        <w:tc>
          <w:tcPr>
            <w:tcW w:type="dxa" w:w="831"/>
          </w:tcPr>
          <w:p>
            <w:pPr>
              <w:jc w:val="left"/>
            </w:pPr>
            <w:r>
              <w:rPr/>
              <w:t>台</w:t>
            </w:r>
          </w:p>
        </w:tc>
        <w:tc>
          <w:tcPr>
            <w:tcW w:type="dxa" w:w="831"/>
          </w:tcPr>
          <w:p>
            <w:pPr>
              <w:jc w:val="right"/>
            </w:pPr>
            <w:r>
              <w:rPr/>
              <w:t>1.00</w:t>
            </w:r>
          </w:p>
        </w:tc>
        <w:tc>
          <w:tcPr>
            <w:tcW w:type="dxa" w:w="831"/>
          </w:tcPr>
          <w:p>
            <w:pPr>
              <w:jc w:val="right"/>
            </w:pPr>
            <w:r>
              <w:rPr/>
              <w:t>550,000.00</w:t>
            </w:r>
          </w:p>
        </w:tc>
        <w:tc>
          <w:tcPr>
            <w:tcW w:type="dxa" w:w="831"/>
          </w:tcPr>
          <w:p>
            <w:pPr>
              <w:jc w:val="right"/>
            </w:pPr>
            <w:r>
              <w:rPr/>
              <w:t>550,000.00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p>
        </w:tc>
        <w:tc>
          <w:tcPr>
            <w:tcW w:type="dxa" w:w="831"/>
          </w:tcPr>
          <w:p>
            <w:pPr>
              <w:jc w:val="left"/>
            </w:pPr>
            <w:r>
              <w:rPr/>
              <w:t>其他专用仪器仪表</w:t>
            </w:r>
          </w:p>
        </w:tc>
        <w:tc>
          <w:tcPr>
            <w:tcW w:type="dxa" w:w="831"/>
          </w:tcPr>
          <w:p>
            <w:pPr>
              <w:jc w:val="left"/>
            </w:pPr>
            <w:r>
              <w:rPr/>
              <w:t>气质联用仪</w:t>
            </w:r>
          </w:p>
        </w:tc>
        <w:tc>
          <w:tcPr>
            <w:tcW w:type="dxa" w:w="831"/>
          </w:tcPr>
          <w:p>
            <w:pPr>
              <w:jc w:val="left"/>
            </w:pPr>
            <w:r>
              <w:rPr/>
              <w:t>台</w:t>
            </w:r>
          </w:p>
        </w:tc>
        <w:tc>
          <w:tcPr>
            <w:tcW w:type="dxa" w:w="831"/>
          </w:tcPr>
          <w:p>
            <w:pPr>
              <w:jc w:val="right"/>
            </w:pPr>
            <w:r>
              <w:rPr/>
              <w:t>1.00</w:t>
            </w:r>
          </w:p>
        </w:tc>
        <w:tc>
          <w:tcPr>
            <w:tcW w:type="dxa" w:w="831"/>
          </w:tcPr>
          <w:p>
            <w:pPr>
              <w:jc w:val="right"/>
            </w:pPr>
            <w:r>
              <w:rPr/>
              <w:t>550,000.00</w:t>
            </w:r>
          </w:p>
        </w:tc>
        <w:tc>
          <w:tcPr>
            <w:tcW w:type="dxa" w:w="831"/>
          </w:tcPr>
          <w:p>
            <w:pPr>
              <w:jc w:val="right"/>
            </w:pPr>
            <w:r>
              <w:rPr/>
              <w:t>550,000.00</w:t>
            </w:r>
          </w:p>
        </w:tc>
        <w:tc>
          <w:tcPr>
            <w:tcW w:type="dxa" w:w="831"/>
          </w:tcPr>
          <w:p>
            <w:r>
              <w:rPr/>
              <w:t>工业</w:t>
            </w:r>
          </w:p>
        </w:tc>
        <w:tc>
          <w:tcPr>
            <w:tcW w:type="dxa" w:w="831"/>
          </w:tcPr>
          <w:p>
            <w:r>
              <w:rPr/>
              <w:t>详见附表二</w:t>
            </w:r>
          </w:p>
        </w:tc>
      </w:tr>
    </w:tbl>
    <w:p/>
    <w:p>
      <w:r>
        <w:rPr>
          <w:b/>
        </w:rPr>
        <w:t>附表</w:t>
      </w:r>
      <w:r>
        <w:rPr>
          <w:b/>
        </w:rPr>
        <w:t>一</w:t>
      </w:r>
      <w:r>
        <w:rPr>
          <w:b/>
        </w:rPr>
        <w:t>：</w:t>
      </w:r>
      <w:r>
        <w:rPr>
          <w:b/>
        </w:rPr>
        <w:t>激光散斑血流灌注成像监测系统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565"/>
              <w:gridCol w:w="4297"/>
            </w:tblGrid>
            <w:tr>
              <w:tc>
                <w:tcPr>
                  <w:tcW w:type="dxa" w:w="735"/>
                  <w:tcBorders>
                    <w:top w:val="single" w:color="000000" w:sz="4"/>
                    <w:left w:val="single" w:color="000000" w:sz="4"/>
                    <w:bottom w:val="single" w:color="000000" w:sz="4"/>
                    <w:right w:val="single" w:color="000000" w:sz="4"/>
                  </w:tcBorders>
                </w:tcPr>
                <w:p>
                  <w:pPr>
                    <w:jc w:val="both"/>
                  </w:pPr>
                  <w:r>
                    <w:rPr>
                      <w:sz w:val="21"/>
                    </w:rPr>
                    <w:t>参数性质</w:t>
                  </w:r>
                </w:p>
              </w:tc>
              <w:tc>
                <w:tcPr>
                  <w:tcW w:type="dxa" w:w="565"/>
                  <w:tcBorders>
                    <w:top w:val="single" w:color="000000" w:sz="4"/>
                    <w:left w:val="none" w:color="000000" w:sz="4"/>
                    <w:bottom w:val="single" w:color="000000" w:sz="4"/>
                    <w:right w:val="single" w:color="000000" w:sz="4"/>
                  </w:tcBorders>
                </w:tcPr>
                <w:p>
                  <w:pPr>
                    <w:jc w:val="both"/>
                  </w:pPr>
                  <w:r>
                    <w:rPr>
                      <w:sz w:val="21"/>
                    </w:rPr>
                    <w:t>序号</w:t>
                  </w:r>
                </w:p>
              </w:tc>
              <w:tc>
                <w:tcPr>
                  <w:tcW w:type="dxa" w:w="4297"/>
                  <w:tcBorders>
                    <w:top w:val="single" w:color="000000" w:sz="4"/>
                    <w:left w:val="none" w:color="000000" w:sz="4"/>
                    <w:bottom w:val="single" w:color="000000" w:sz="4"/>
                    <w:right w:val="single" w:color="000000" w:sz="4"/>
                  </w:tcBorders>
                </w:tcPr>
                <w:p>
                  <w:pPr>
                    <w:jc w:val="both"/>
                  </w:pPr>
                  <w:r>
                    <w:rPr>
                      <w:sz w:val="21"/>
                    </w:rPr>
                    <w:t>具体技术(参数)要求</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w:t>
                  </w:r>
                </w:p>
              </w:tc>
              <w:tc>
                <w:tcPr>
                  <w:tcW w:type="dxa" w:w="4297"/>
                  <w:tcBorders>
                    <w:top w:val="none" w:color="000000" w:sz="4"/>
                    <w:left w:val="none" w:color="000000" w:sz="4"/>
                    <w:bottom w:val="single" w:color="000000" w:sz="4"/>
                    <w:right w:val="single" w:color="000000" w:sz="4"/>
                  </w:tcBorders>
                </w:tcPr>
                <w:p>
                  <w:pPr>
                    <w:jc w:val="both"/>
                  </w:pPr>
                  <w:r>
                    <w:rPr>
                      <w:b/>
                      <w:sz w:val="21"/>
                    </w:rPr>
                    <w:t>一、激光散斑血流灌注成像监测系统</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w:t>
                  </w:r>
                </w:p>
              </w:tc>
              <w:tc>
                <w:tcPr>
                  <w:tcW w:type="dxa" w:w="4297"/>
                  <w:tcBorders>
                    <w:top w:val="none" w:color="000000" w:sz="4"/>
                    <w:left w:val="none" w:color="000000" w:sz="4"/>
                    <w:bottom w:val="single" w:color="000000" w:sz="4"/>
                    <w:right w:val="single" w:color="000000" w:sz="4"/>
                  </w:tcBorders>
                </w:tcPr>
                <w:p>
                  <w:pPr>
                    <w:jc w:val="both"/>
                  </w:pPr>
                  <w:r>
                    <w:rPr>
                      <w:sz w:val="21"/>
                    </w:rPr>
                    <w:t>设备类型：彩色CCD相机数不少于2个</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3</w:t>
                  </w:r>
                </w:p>
              </w:tc>
              <w:tc>
                <w:tcPr>
                  <w:tcW w:type="dxa" w:w="4297"/>
                  <w:tcBorders>
                    <w:top w:val="none" w:color="000000" w:sz="4"/>
                    <w:left w:val="none" w:color="000000" w:sz="4"/>
                    <w:bottom w:val="single" w:color="000000" w:sz="4"/>
                    <w:right w:val="single" w:color="000000" w:sz="4"/>
                  </w:tcBorders>
                </w:tcPr>
                <w:p>
                  <w:pPr>
                    <w:jc w:val="both"/>
                  </w:pPr>
                  <w:r>
                    <w:rPr>
                      <w:sz w:val="21"/>
                    </w:rPr>
                    <w:t>数据监测相机：不小于2440×2048 像素</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4</w:t>
                  </w:r>
                </w:p>
              </w:tc>
              <w:tc>
                <w:tcPr>
                  <w:tcW w:type="dxa" w:w="4297"/>
                  <w:tcBorders>
                    <w:top w:val="none" w:color="000000" w:sz="4"/>
                    <w:left w:val="none" w:color="000000" w:sz="4"/>
                    <w:bottom w:val="single" w:color="000000" w:sz="4"/>
                    <w:right w:val="single" w:color="000000" w:sz="4"/>
                  </w:tcBorders>
                </w:tcPr>
                <w:p>
                  <w:pPr>
                    <w:jc w:val="both"/>
                  </w:pPr>
                  <w:r>
                    <w:rPr>
                      <w:sz w:val="21"/>
                    </w:rPr>
                    <w:t>行为记录相机：不小于1900×1200像素</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5</w:t>
                  </w:r>
                </w:p>
              </w:tc>
              <w:tc>
                <w:tcPr>
                  <w:tcW w:type="dxa" w:w="4297"/>
                  <w:tcBorders>
                    <w:top w:val="none" w:color="000000" w:sz="4"/>
                    <w:left w:val="none" w:color="000000" w:sz="4"/>
                    <w:bottom w:val="single" w:color="000000" w:sz="4"/>
                    <w:right w:val="single" w:color="000000" w:sz="4"/>
                  </w:tcBorders>
                </w:tcPr>
                <w:p>
                  <w:pPr>
                    <w:jc w:val="both"/>
                  </w:pPr>
                  <w:r>
                    <w:rPr>
                      <w:sz w:val="21"/>
                    </w:rPr>
                    <w:t>监测激光波长：不小于780 nm，激光功率：不大于85mW</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6</w:t>
                  </w:r>
                </w:p>
              </w:tc>
              <w:tc>
                <w:tcPr>
                  <w:tcW w:type="dxa" w:w="4297"/>
                  <w:tcBorders>
                    <w:top w:val="none" w:color="000000" w:sz="4"/>
                    <w:left w:val="none" w:color="000000" w:sz="4"/>
                    <w:bottom w:val="single" w:color="000000" w:sz="4"/>
                    <w:right w:val="single" w:color="000000" w:sz="4"/>
                  </w:tcBorders>
                </w:tcPr>
                <w:p>
                  <w:pPr>
                    <w:jc w:val="both"/>
                  </w:pPr>
                  <w:r>
                    <w:rPr>
                      <w:sz w:val="21"/>
                    </w:rPr>
                    <w:t>指示激光波长：不小于650nm，激光功率：不大于1mW</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7</w:t>
                  </w:r>
                </w:p>
              </w:tc>
              <w:tc>
                <w:tcPr>
                  <w:tcW w:type="dxa" w:w="4297"/>
                  <w:tcBorders>
                    <w:top w:val="none" w:color="000000" w:sz="4"/>
                    <w:left w:val="none" w:color="000000" w:sz="4"/>
                    <w:bottom w:val="single" w:color="000000" w:sz="4"/>
                    <w:right w:val="single" w:color="000000" w:sz="4"/>
                  </w:tcBorders>
                </w:tcPr>
                <w:p>
                  <w:pPr>
                    <w:jc w:val="both"/>
                  </w:pPr>
                  <w:r>
                    <w:rPr>
                      <w:sz w:val="21"/>
                    </w:rPr>
                    <w:t>指示激光：为可见激光，用以标识有效监测面积，记录开始后自动关闭，无需手动关闭。</w:t>
                  </w:r>
                </w:p>
              </w:tc>
            </w:tr>
            <w:tr>
              <w:tc>
                <w:tcPr>
                  <w:tcW w:type="dxa" w:w="735"/>
                  <w:tcBorders>
                    <w:top w:val="none" w:color="000000" w:sz="4"/>
                    <w:left w:val="single" w:color="000000" w:sz="4"/>
                    <w:bottom w:val="single" w:color="000000" w:sz="4"/>
                    <w:right w:val="single" w:color="000000" w:sz="4"/>
                  </w:tcBorders>
                </w:tcPr>
                <w:p>
                  <w:pPr>
                    <w:jc w:val="center"/>
                  </w:pPr>
                  <w:r>
                    <w:rPr>
                      <w:sz w:val="21"/>
                    </w:rPr>
                    <w:t>▲</w:t>
                  </w:r>
                </w:p>
              </w:tc>
              <w:tc>
                <w:tcPr>
                  <w:tcW w:type="dxa" w:w="565"/>
                  <w:tcBorders>
                    <w:top w:val="none" w:color="000000" w:sz="4"/>
                    <w:left w:val="none" w:color="000000" w:sz="4"/>
                    <w:bottom w:val="single" w:color="000000" w:sz="4"/>
                    <w:right w:val="single" w:color="000000" w:sz="4"/>
                  </w:tcBorders>
                </w:tcPr>
                <w:p>
                  <w:pPr>
                    <w:jc w:val="center"/>
                  </w:pPr>
                  <w:r>
                    <w:rPr>
                      <w:sz w:val="21"/>
                    </w:rPr>
                    <w:t>8</w:t>
                  </w:r>
                </w:p>
              </w:tc>
              <w:tc>
                <w:tcPr>
                  <w:tcW w:type="dxa" w:w="4297"/>
                  <w:tcBorders>
                    <w:top w:val="none" w:color="000000" w:sz="4"/>
                    <w:left w:val="none" w:color="000000" w:sz="4"/>
                    <w:bottom w:val="single" w:color="000000" w:sz="4"/>
                    <w:right w:val="single" w:color="000000" w:sz="4"/>
                  </w:tcBorders>
                </w:tcPr>
                <w:p>
                  <w:pPr>
                    <w:jc w:val="both"/>
                  </w:pPr>
                  <w:r>
                    <w:rPr>
                      <w:sz w:val="21"/>
                    </w:rPr>
                    <w:t>激光安全性：具备CFDA认证</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9</w:t>
                  </w:r>
                </w:p>
              </w:tc>
              <w:tc>
                <w:tcPr>
                  <w:tcW w:type="dxa" w:w="4297"/>
                  <w:tcBorders>
                    <w:top w:val="none" w:color="000000" w:sz="4"/>
                    <w:left w:val="none" w:color="000000" w:sz="4"/>
                    <w:bottom w:val="single" w:color="000000" w:sz="4"/>
                    <w:right w:val="single" w:color="000000" w:sz="4"/>
                  </w:tcBorders>
                </w:tcPr>
                <w:p>
                  <w:pPr>
                    <w:jc w:val="both"/>
                  </w:pPr>
                  <w:r>
                    <w:rPr>
                      <w:sz w:val="21"/>
                    </w:rPr>
                    <w:t>最高清晰度下采样频率：不小于94帧/秒</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10</w:t>
                  </w:r>
                </w:p>
              </w:tc>
              <w:tc>
                <w:tcPr>
                  <w:tcW w:type="dxa" w:w="4297"/>
                  <w:tcBorders>
                    <w:top w:val="none" w:color="000000" w:sz="4"/>
                    <w:left w:val="none" w:color="000000" w:sz="4"/>
                    <w:bottom w:val="single" w:color="000000" w:sz="4"/>
                    <w:right w:val="single" w:color="000000" w:sz="4"/>
                  </w:tcBorders>
                </w:tcPr>
                <w:p>
                  <w:pPr>
                    <w:jc w:val="both"/>
                  </w:pPr>
                  <w:r>
                    <w:rPr>
                      <w:sz w:val="21"/>
                    </w:rPr>
                    <w:t>监测距离：自动判定并显示测量距离，精度不下于0.1cm，工作距离至少包含13cm-41cm</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11</w:t>
                  </w:r>
                </w:p>
              </w:tc>
              <w:tc>
                <w:tcPr>
                  <w:tcW w:type="dxa" w:w="4297"/>
                  <w:tcBorders>
                    <w:top w:val="none" w:color="000000" w:sz="4"/>
                    <w:left w:val="none" w:color="000000" w:sz="4"/>
                    <w:bottom w:val="single" w:color="000000" w:sz="4"/>
                    <w:right w:val="single" w:color="000000" w:sz="4"/>
                  </w:tcBorders>
                </w:tcPr>
                <w:p>
                  <w:pPr>
                    <w:jc w:val="both"/>
                  </w:pPr>
                  <w:r>
                    <w:rPr>
                      <w:sz w:val="21"/>
                    </w:rPr>
                    <w:t>监测面积：自动判定（精确到0.01mm²），不小于20cm X 24cm无需人工测量距离定标</w:t>
                  </w:r>
                </w:p>
              </w:tc>
            </w:tr>
            <w:tr>
              <w:tc>
                <w:tcPr>
                  <w:tcW w:type="dxa" w:w="735"/>
                  <w:tcBorders>
                    <w:top w:val="none" w:color="000000" w:sz="4"/>
                    <w:left w:val="single" w:color="000000" w:sz="4"/>
                    <w:bottom w:val="single" w:color="000000" w:sz="4"/>
                    <w:right w:val="single" w:color="000000" w:sz="4"/>
                  </w:tcBorders>
                </w:tcPr>
                <w:p>
                  <w:pPr>
                    <w:jc w:val="center"/>
                  </w:pPr>
                  <w:r>
                    <w:rPr>
                      <w:sz w:val="21"/>
                    </w:rPr>
                    <w:t>▲</w:t>
                  </w:r>
                </w:p>
              </w:tc>
              <w:tc>
                <w:tcPr>
                  <w:tcW w:type="dxa" w:w="565"/>
                  <w:tcBorders>
                    <w:top w:val="none" w:color="000000" w:sz="4"/>
                    <w:left w:val="none" w:color="000000" w:sz="4"/>
                    <w:bottom w:val="single" w:color="000000" w:sz="4"/>
                    <w:right w:val="single" w:color="000000" w:sz="4"/>
                  </w:tcBorders>
                </w:tcPr>
                <w:p>
                  <w:pPr>
                    <w:jc w:val="center"/>
                  </w:pPr>
                  <w:r>
                    <w:rPr>
                      <w:sz w:val="21"/>
                    </w:rPr>
                    <w:t>12</w:t>
                  </w:r>
                </w:p>
              </w:tc>
              <w:tc>
                <w:tcPr>
                  <w:tcW w:type="dxa" w:w="4297"/>
                  <w:tcBorders>
                    <w:top w:val="none" w:color="000000" w:sz="4"/>
                    <w:left w:val="none" w:color="000000" w:sz="4"/>
                    <w:bottom w:val="single" w:color="000000" w:sz="4"/>
                    <w:right w:val="single" w:color="000000" w:sz="4"/>
                  </w:tcBorders>
                </w:tcPr>
                <w:p>
                  <w:pPr>
                    <w:jc w:val="both"/>
                  </w:pPr>
                  <w:r>
                    <w:rPr>
                      <w:sz w:val="21"/>
                    </w:rPr>
                    <w:t>全景相机最大成像面积：不小于40cmX60cm，可根据需要放大缩小，调节图片亮度</w:t>
                  </w:r>
                </w:p>
              </w:tc>
            </w:tr>
            <w:tr>
              <w:tc>
                <w:tcPr>
                  <w:tcW w:type="dxa" w:w="735"/>
                  <w:tcBorders>
                    <w:top w:val="none" w:color="000000" w:sz="4"/>
                    <w:left w:val="single" w:color="000000" w:sz="4"/>
                    <w:bottom w:val="single" w:color="000000" w:sz="4"/>
                    <w:right w:val="single" w:color="000000" w:sz="4"/>
                  </w:tcBorders>
                </w:tcPr>
                <w:p>
                  <w:pPr>
                    <w:jc w:val="center"/>
                  </w:pPr>
                  <w:r>
                    <w:rPr>
                      <w:sz w:val="21"/>
                    </w:rPr>
                    <w:t>▲</w:t>
                  </w:r>
                </w:p>
              </w:tc>
              <w:tc>
                <w:tcPr>
                  <w:tcW w:type="dxa" w:w="565"/>
                  <w:tcBorders>
                    <w:top w:val="none" w:color="000000" w:sz="4"/>
                    <w:left w:val="none" w:color="000000" w:sz="4"/>
                    <w:bottom w:val="single" w:color="000000" w:sz="4"/>
                    <w:right w:val="single" w:color="000000" w:sz="4"/>
                  </w:tcBorders>
                </w:tcPr>
                <w:p>
                  <w:pPr>
                    <w:jc w:val="center"/>
                  </w:pPr>
                  <w:r>
                    <w:rPr>
                      <w:sz w:val="21"/>
                    </w:rPr>
                    <w:t>13</w:t>
                  </w:r>
                </w:p>
              </w:tc>
              <w:tc>
                <w:tcPr>
                  <w:tcW w:type="dxa" w:w="4297"/>
                  <w:tcBorders>
                    <w:top w:val="none" w:color="000000" w:sz="4"/>
                    <w:left w:val="none" w:color="000000" w:sz="4"/>
                    <w:bottom w:val="single" w:color="000000" w:sz="4"/>
                    <w:right w:val="single" w:color="000000" w:sz="4"/>
                  </w:tcBorders>
                </w:tcPr>
                <w:p>
                  <w:pPr>
                    <w:jc w:val="both"/>
                  </w:pPr>
                  <w:r>
                    <w:rPr>
                      <w:sz w:val="21"/>
                    </w:rPr>
                    <w:t>图像动态距离测量：可以实时测量血流图及强度图里任意两点之间的直线距离，精度0.001厘米</w:t>
                  </w:r>
                </w:p>
              </w:tc>
            </w:tr>
            <w:tr>
              <w:tc>
                <w:tcPr>
                  <w:tcW w:type="dxa" w:w="735"/>
                  <w:tcBorders>
                    <w:top w:val="none" w:color="000000" w:sz="4"/>
                    <w:left w:val="single" w:color="000000" w:sz="4"/>
                    <w:bottom w:val="single" w:color="000000" w:sz="4"/>
                    <w:right w:val="single" w:color="000000" w:sz="4"/>
                  </w:tcBorders>
                </w:tcPr>
                <w:p>
                  <w:pPr>
                    <w:jc w:val="center"/>
                  </w:pPr>
                  <w:r>
                    <w:rPr>
                      <w:sz w:val="21"/>
                    </w:rPr>
                    <w:t>★</w:t>
                  </w:r>
                </w:p>
              </w:tc>
              <w:tc>
                <w:tcPr>
                  <w:tcW w:type="dxa" w:w="565"/>
                  <w:tcBorders>
                    <w:top w:val="none" w:color="000000" w:sz="4"/>
                    <w:left w:val="none" w:color="000000" w:sz="4"/>
                    <w:bottom w:val="single" w:color="000000" w:sz="4"/>
                    <w:right w:val="single" w:color="000000" w:sz="4"/>
                  </w:tcBorders>
                </w:tcPr>
                <w:p>
                  <w:pPr>
                    <w:jc w:val="center"/>
                  </w:pPr>
                  <w:r>
                    <w:rPr>
                      <w:sz w:val="21"/>
                    </w:rPr>
                    <w:t>14</w:t>
                  </w:r>
                </w:p>
              </w:tc>
              <w:tc>
                <w:tcPr>
                  <w:tcW w:type="dxa" w:w="4297"/>
                  <w:tcBorders>
                    <w:top w:val="none" w:color="000000" w:sz="4"/>
                    <w:left w:val="none" w:color="000000" w:sz="4"/>
                    <w:bottom w:val="single" w:color="000000" w:sz="4"/>
                    <w:right w:val="single" w:color="000000" w:sz="4"/>
                  </w:tcBorders>
                </w:tcPr>
                <w:p>
                  <w:pPr>
                    <w:jc w:val="both"/>
                  </w:pPr>
                  <w:r>
                    <w:rPr>
                      <w:sz w:val="21"/>
                    </w:rPr>
                    <w:t>网格标度尺功能：至少包含0.1 mm、0.5 mm、1 mm、5 mm、10 mm、15 mm、20 mm，七种标度尺，满足不同面积组织，血流量空间数据分析</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15</w:t>
                  </w:r>
                </w:p>
              </w:tc>
              <w:tc>
                <w:tcPr>
                  <w:tcW w:type="dxa" w:w="4297"/>
                  <w:tcBorders>
                    <w:top w:val="none" w:color="000000" w:sz="4"/>
                    <w:left w:val="none" w:color="000000" w:sz="4"/>
                    <w:bottom w:val="single" w:color="000000" w:sz="4"/>
                    <w:right w:val="single" w:color="000000" w:sz="4"/>
                  </w:tcBorders>
                </w:tcPr>
                <w:p>
                  <w:pPr>
                    <w:jc w:val="both"/>
                  </w:pPr>
                  <w:r>
                    <w:rPr>
                      <w:sz w:val="21"/>
                    </w:rPr>
                    <w:t>可于实验完成后任何时间添加感兴趣区域或修改感兴趣区域形状，即时更新感兴趣区域面积（精确到0.01mm²）</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16</w:t>
                  </w:r>
                </w:p>
              </w:tc>
              <w:tc>
                <w:tcPr>
                  <w:tcW w:type="dxa" w:w="4297"/>
                  <w:tcBorders>
                    <w:top w:val="none" w:color="000000" w:sz="4"/>
                    <w:left w:val="none" w:color="000000" w:sz="4"/>
                    <w:bottom w:val="single" w:color="000000" w:sz="4"/>
                    <w:right w:val="single" w:color="000000" w:sz="4"/>
                  </w:tcBorders>
                </w:tcPr>
                <w:p>
                  <w:pPr>
                    <w:jc w:val="both"/>
                  </w:pPr>
                  <w:r>
                    <w:rPr>
                      <w:sz w:val="21"/>
                    </w:rPr>
                    <w:t>标记感兴趣的时间线（LOI），在血流图上标记一条直线，生成沿途血流曲线，可以分时间段显示这条线上的均值</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17</w:t>
                  </w:r>
                </w:p>
              </w:tc>
              <w:tc>
                <w:tcPr>
                  <w:tcW w:type="dxa" w:w="4297"/>
                  <w:tcBorders>
                    <w:top w:val="none" w:color="000000" w:sz="4"/>
                    <w:left w:val="none" w:color="000000" w:sz="4"/>
                    <w:bottom w:val="single" w:color="000000" w:sz="4"/>
                    <w:right w:val="single" w:color="000000" w:sz="4"/>
                  </w:tcBorders>
                </w:tcPr>
                <w:p>
                  <w:pPr>
                    <w:jc w:val="both"/>
                  </w:pPr>
                  <w:r>
                    <w:rPr>
                      <w:sz w:val="21"/>
                    </w:rPr>
                    <w:t>动态计算：可在监测同时计算感兴趣区域监测数值，记录过程中的任意时段添加感兴趣区域和感兴趣时间段，无需停止记录，数据记录和数据分析可同步行进，支持数据追加记录。</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18</w:t>
                  </w:r>
                </w:p>
              </w:tc>
              <w:tc>
                <w:tcPr>
                  <w:tcW w:type="dxa" w:w="4297"/>
                  <w:tcBorders>
                    <w:top w:val="none" w:color="000000" w:sz="4"/>
                    <w:left w:val="none" w:color="000000" w:sz="4"/>
                    <w:bottom w:val="single" w:color="000000" w:sz="4"/>
                    <w:right w:val="single" w:color="000000" w:sz="4"/>
                  </w:tcBorders>
                </w:tcPr>
                <w:p>
                  <w:pPr>
                    <w:jc w:val="both"/>
                  </w:pPr>
                  <w:r>
                    <w:rPr>
                      <w:sz w:val="21"/>
                    </w:rPr>
                    <w:t>项目编辑器：可预先设定项目名称，要求监测距离，检测范围，采样频率及数据平均化记录的数量。</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19</w:t>
                  </w:r>
                </w:p>
              </w:tc>
              <w:tc>
                <w:tcPr>
                  <w:tcW w:type="dxa" w:w="4297"/>
                  <w:tcBorders>
                    <w:top w:val="none" w:color="000000" w:sz="4"/>
                    <w:left w:val="none" w:color="000000" w:sz="4"/>
                    <w:bottom w:val="single" w:color="000000" w:sz="4"/>
                    <w:right w:val="single" w:color="000000" w:sz="4"/>
                  </w:tcBorders>
                </w:tcPr>
                <w:p>
                  <w:pPr>
                    <w:jc w:val="both"/>
                  </w:pPr>
                  <w:r>
                    <w:rPr>
                      <w:sz w:val="21"/>
                    </w:rPr>
                    <w:t>被测物在监测过程中出现位移，感兴趣区域可以选择单张图片以后或仅一张图片的跟随移动。</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20</w:t>
                  </w:r>
                </w:p>
              </w:tc>
              <w:tc>
                <w:tcPr>
                  <w:tcW w:type="dxa" w:w="4297"/>
                  <w:tcBorders>
                    <w:top w:val="none" w:color="000000" w:sz="4"/>
                    <w:left w:val="none" w:color="000000" w:sz="4"/>
                    <w:bottom w:val="single" w:color="000000" w:sz="4"/>
                    <w:right w:val="single" w:color="000000" w:sz="4"/>
                  </w:tcBorders>
                </w:tcPr>
                <w:p>
                  <w:pPr>
                    <w:jc w:val="both"/>
                  </w:pPr>
                  <w:r>
                    <w:rPr>
                      <w:sz w:val="21"/>
                    </w:rPr>
                    <w:t>叠加图层功能：可选仅感兴趣区域或全部强度图和彩色照片显示灌注量数据，可调透明度0%-100%。</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21</w:t>
                  </w:r>
                </w:p>
              </w:tc>
              <w:tc>
                <w:tcPr>
                  <w:tcW w:type="dxa" w:w="4297"/>
                  <w:tcBorders>
                    <w:top w:val="none" w:color="000000" w:sz="4"/>
                    <w:left w:val="none" w:color="000000" w:sz="4"/>
                    <w:bottom w:val="single" w:color="000000" w:sz="4"/>
                    <w:right w:val="single" w:color="000000" w:sz="4"/>
                  </w:tcBorders>
                </w:tcPr>
                <w:p>
                  <w:pPr>
                    <w:jc w:val="both"/>
                  </w:pPr>
                  <w:r>
                    <w:rPr>
                      <w:sz w:val="21"/>
                    </w:rPr>
                    <w:t>软件的版面结构可以根据实际需求来调整，至少包含水平版面和垂直版面。</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22</w:t>
                  </w:r>
                </w:p>
              </w:tc>
              <w:tc>
                <w:tcPr>
                  <w:tcW w:type="dxa" w:w="4297"/>
                  <w:tcBorders>
                    <w:top w:val="none" w:color="000000" w:sz="4"/>
                    <w:left w:val="none" w:color="000000" w:sz="4"/>
                    <w:bottom w:val="single" w:color="000000" w:sz="4"/>
                    <w:right w:val="single" w:color="000000" w:sz="4"/>
                  </w:tcBorders>
                </w:tcPr>
                <w:p>
                  <w:pPr>
                    <w:jc w:val="both"/>
                  </w:pPr>
                  <w:r>
                    <w:rPr>
                      <w:sz w:val="21"/>
                    </w:rPr>
                    <w:t>自动计算感兴趣区域面积（单位mm</w:t>
                  </w:r>
                  <w:r>
                    <w:rPr>
                      <w:sz w:val="21"/>
                      <w:vertAlign w:val="superscript"/>
                    </w:rPr>
                    <w:t>2</w:t>
                  </w:r>
                  <w:r>
                    <w:rPr>
                      <w:sz w:val="21"/>
                    </w:rPr>
                    <w:t>）、平均值、标准差等统计学参数</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23</w:t>
                  </w:r>
                </w:p>
              </w:tc>
              <w:tc>
                <w:tcPr>
                  <w:tcW w:type="dxa" w:w="4297"/>
                  <w:tcBorders>
                    <w:top w:val="none" w:color="000000" w:sz="4"/>
                    <w:left w:val="none" w:color="000000" w:sz="4"/>
                    <w:bottom w:val="single" w:color="000000" w:sz="4"/>
                    <w:right w:val="single" w:color="000000" w:sz="4"/>
                  </w:tcBorders>
                </w:tcPr>
                <w:p>
                  <w:pPr>
                    <w:jc w:val="both"/>
                  </w:pPr>
                  <w:r>
                    <w:rPr>
                      <w:sz w:val="21"/>
                    </w:rPr>
                    <w:t>视频播放：能够以1/4倍速～64倍速播放，视频导出：可以将监测记录导出为视频格式视频文件，含曲线、血流、实验过程彩色录像。</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24</w:t>
                  </w:r>
                </w:p>
              </w:tc>
              <w:tc>
                <w:tcPr>
                  <w:tcW w:type="dxa" w:w="4297"/>
                  <w:tcBorders>
                    <w:top w:val="none" w:color="000000" w:sz="4"/>
                    <w:left w:val="none" w:color="000000" w:sz="4"/>
                    <w:bottom w:val="single" w:color="000000" w:sz="4"/>
                    <w:right w:val="single" w:color="000000" w:sz="4"/>
                  </w:tcBorders>
                </w:tcPr>
                <w:p>
                  <w:pPr>
                    <w:jc w:val="both"/>
                  </w:pPr>
                  <w:r>
                    <w:rPr>
                      <w:sz w:val="21"/>
                    </w:rPr>
                    <w:t xml:space="preserve">自动校准提示功能：至少满足标准液校准和零值校准两个模式。设备配备   </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565"/>
                  <w:tcBorders>
                    <w:top w:val="none" w:color="000000" w:sz="4"/>
                    <w:left w:val="none" w:color="000000" w:sz="4"/>
                    <w:bottom w:val="single" w:color="000000" w:sz="4"/>
                    <w:right w:val="single" w:color="000000" w:sz="4"/>
                  </w:tcBorders>
                </w:tcPr>
                <w:p>
                  <w:pPr>
                    <w:jc w:val="center"/>
                  </w:pPr>
                  <w:r>
                    <w:rPr>
                      <w:sz w:val="21"/>
                    </w:rPr>
                    <w:t>25</w:t>
                  </w:r>
                </w:p>
              </w:tc>
              <w:tc>
                <w:tcPr>
                  <w:tcW w:type="dxa" w:w="4297"/>
                  <w:tcBorders>
                    <w:top w:val="none" w:color="000000" w:sz="4"/>
                    <w:left w:val="none" w:color="000000" w:sz="4"/>
                    <w:bottom w:val="single" w:color="000000" w:sz="4"/>
                    <w:right w:val="single" w:color="000000" w:sz="4"/>
                  </w:tcBorders>
                </w:tcPr>
                <w:p>
                  <w:pPr>
                    <w:jc w:val="both"/>
                  </w:pPr>
                  <w:r>
                    <w:rPr>
                      <w:sz w:val="21"/>
                    </w:rPr>
                    <w:t>原装校正装置，标准液显示数值250PU±15PU, 零区域校准数值0±5PU，可在任意时间纠正设备数值偏移</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气质联用仪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tbl>
            <w:tblPr>
              <w:tblBorders>
                <w:top w:val="none" w:color="000000" w:sz="4"/>
                <w:left w:val="none" w:color="000000" w:sz="4"/>
                <w:bottom w:val="none" w:color="000000" w:sz="4"/>
                <w:right w:val="none" w:color="000000" w:sz="4"/>
                <w:insideH w:val="none"/>
                <w:insideV w:val="none"/>
              </w:tblBorders>
            </w:tblPr>
            <w:tblGrid>
              <w:gridCol w:w="735"/>
              <w:gridCol w:w="452"/>
              <w:gridCol w:w="4411"/>
            </w:tblGrid>
            <w:tr>
              <w:tc>
                <w:tcPr>
                  <w:tcW w:type="dxa" w:w="735"/>
                  <w:tcBorders>
                    <w:top w:val="single" w:color="000000" w:sz="4"/>
                    <w:left w:val="single" w:color="000000" w:sz="4"/>
                    <w:bottom w:val="single" w:color="000000" w:sz="4"/>
                    <w:right w:val="single" w:color="000000" w:sz="4"/>
                  </w:tcBorders>
                </w:tcPr>
                <w:p>
                  <w:pPr>
                    <w:jc w:val="both"/>
                  </w:pPr>
                  <w:r>
                    <w:rPr>
                      <w:color w:val="000000"/>
                      <w:sz w:val="21"/>
                    </w:rPr>
                    <w:t>参数性质</w:t>
                  </w:r>
                </w:p>
              </w:tc>
              <w:tc>
                <w:tcPr>
                  <w:tcW w:type="dxa" w:w="452"/>
                  <w:tcBorders>
                    <w:top w:val="single" w:color="000000" w:sz="4"/>
                    <w:left w:val="none" w:color="000000" w:sz="4"/>
                    <w:bottom w:val="single" w:color="000000" w:sz="4"/>
                    <w:right w:val="single" w:color="000000" w:sz="4"/>
                  </w:tcBorders>
                </w:tcPr>
                <w:p>
                  <w:pPr>
                    <w:jc w:val="both"/>
                  </w:pPr>
                  <w:r>
                    <w:rPr>
                      <w:color w:val="000000"/>
                      <w:sz w:val="21"/>
                    </w:rPr>
                    <w:t>序号</w:t>
                  </w:r>
                </w:p>
              </w:tc>
              <w:tc>
                <w:tcPr>
                  <w:tcW w:type="dxa" w:w="4411"/>
                  <w:tcBorders>
                    <w:top w:val="single" w:color="000000" w:sz="4"/>
                    <w:left w:val="none" w:color="000000" w:sz="4"/>
                    <w:bottom w:val="single" w:color="000000" w:sz="4"/>
                    <w:right w:val="single" w:color="000000" w:sz="4"/>
                  </w:tcBorders>
                </w:tcPr>
                <w:p>
                  <w:pPr>
                    <w:jc w:val="both"/>
                  </w:pPr>
                  <w:r>
                    <w:rPr>
                      <w:color w:val="000000"/>
                      <w:sz w:val="21"/>
                    </w:rPr>
                    <w:t>具体技术(参数)要求</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w:t>
                  </w:r>
                </w:p>
              </w:tc>
              <w:tc>
                <w:tcPr>
                  <w:tcW w:type="dxa" w:w="4411"/>
                  <w:tcBorders>
                    <w:top w:val="none" w:color="000000" w:sz="4"/>
                    <w:left w:val="none" w:color="000000" w:sz="4"/>
                    <w:bottom w:val="single" w:color="000000" w:sz="4"/>
                    <w:right w:val="single" w:color="000000" w:sz="4"/>
                  </w:tcBorders>
                </w:tcPr>
                <w:p>
                  <w:pPr>
                    <w:jc w:val="both"/>
                  </w:pPr>
                  <w:r>
                    <w:rPr>
                      <w:b/>
                      <w:color w:val="000000"/>
                      <w:sz w:val="21"/>
                    </w:rPr>
                    <w:t>一、气质联用仪</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（一）、配置要求至少包含以下内容：</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、气相色谱质谱联用仪主机（含机械泵）：一套。HEI高灵敏度离子源：1套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气相色谱质谱联用仪中英文双语工作站（包含NIST质谱库、多数据处理软件）：一套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5</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w:t>
                  </w:r>
                  <w:r>
                    <w:rPr>
                      <w:color w:val="000000"/>
                      <w:sz w:val="21"/>
                    </w:rPr>
                    <w:t>、原厂全金属钼四极杆：1套、原厂可旋转全金属钼预四极杆：1套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6</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3</w:t>
                  </w:r>
                  <w:r>
                    <w:rPr>
                      <w:color w:val="000000"/>
                      <w:sz w:val="21"/>
                    </w:rPr>
                    <w:t xml:space="preserve">、配备真空监测规1套（实时监控质谱高低综合真空）：1套   </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7</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w:t>
                  </w:r>
                  <w:r>
                    <w:rPr>
                      <w:color w:val="000000"/>
                      <w:sz w:val="21"/>
                    </w:rPr>
                    <w:t>、原厂气质工具包一套：至少包含毛细柱用切割器1个、SPANNER,DOUBLE OPEN END 10X12-R扳手2个、SPANNER,DOUBLE OPEN END 6X8-R扳手2个、WRENCH扳手1个、TWEEZERS镊子1个、SCREWDRIVER,TORQUE #2 100MM扳手1个、NUTDRIVER,4.0扳手一个、SCREW-DRIVER, MINUS 100MM扳手1个、SPANNER 3/16X1/4 AF扳手1个、JIG,IS规尺1个、JIG FOR COLUMN CONNECTION(I/F)规尺1个、JIG FOR COLUMN CONNECTION(INJ)规尺1个、,HEXAGON 006-1.5MM扳手1个、SUS304 1X12管线1包、G-TYPE BLANK NUT (WITH 2pcs)柱接头1包、黄胶带一包</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8</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5</w:t>
                  </w:r>
                  <w:r>
                    <w:rPr>
                      <w:color w:val="000000"/>
                      <w:sz w:val="21"/>
                    </w:rPr>
                    <w:t>、原厂气质备用消耗品一套。至少包含：微量进样针：1支，针固定支架：1个，MS用分子筛过滤器：1个，过滤器组件：2套，金垫片：1套，铝垫片100片，低流失型进样隔垫绿色：25个，惰性化处理不分流衬管：5根，惰性化处理分流衬管：5根，氟橡胶O型圈最高温度350度：10个，密封垫(0.25mm柱用)：10个，密封垫(0.32mm柱用)：10个，柱接头：10个，灯丝：2个，绝缘垫：1套，离子源清洗布：1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9</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6</w:t>
                  </w:r>
                  <w:r>
                    <w:rPr>
                      <w:color w:val="000000"/>
                      <w:sz w:val="21"/>
                    </w:rPr>
                    <w:t>、原厂He专用过滤器（除氧，除湿，除烃）：一套、载气管（5m）：2根、-5 MS质谱级别低流失色谱柱（30m×0.25mm×0.25um）：一根</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10</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7</w:t>
                  </w:r>
                  <w:r>
                    <w:rPr>
                      <w:color w:val="000000"/>
                      <w:sz w:val="21"/>
                    </w:rPr>
                    <w:t>、156位以上液体自动进样器:一套。原厂品牌样品瓶套装,带盖和隔垫 (100个/包)：3包</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11</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8</w:t>
                  </w:r>
                  <w:r>
                    <w:rPr>
                      <w:color w:val="000000"/>
                      <w:sz w:val="21"/>
                    </w:rPr>
                    <w:t>、补充谱库：原厂独立农药残留分析方法包和谱库1套、原厂独立环境水质样品分析方法包（含VOC和SVOC样品分析方法和谱库等）1套、原厂独立香精香料谱库（1830种）：1套、 原厂独立Smart SIM数据库和方法包（包含现行国标农药残留、邻苯二甲酸酯、多环芳烃化合物等800余种）：1套、 原厂独立环境土壤有机物数据库方法包（国家环境分析测试中心提供）：1套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12</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9</w:t>
                  </w:r>
                  <w:r>
                    <w:rPr>
                      <w:color w:val="000000"/>
                      <w:sz w:val="21"/>
                    </w:rPr>
                    <w:t>、外围设备</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13</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9.1</w:t>
                  </w:r>
                  <w:r>
                    <w:rPr>
                      <w:color w:val="000000"/>
                      <w:sz w:val="21"/>
                    </w:rPr>
                    <w:t>工作站 （配置不低于I5 CPU档次/≥8G内存/≥1T硬盘/DVD光驱/WIN10 专业版软件/≥27寸显示器）</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14</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9.2 UPS</w:t>
                  </w:r>
                  <w:r>
                    <w:rPr>
                      <w:color w:val="000000"/>
                      <w:sz w:val="21"/>
                    </w:rPr>
                    <w:t>电源（6KV / 延迟 1小时）：1套</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15</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（二）、性能参数</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16</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1</w:t>
                  </w:r>
                  <w:r>
                    <w:rPr>
                      <w:color w:val="000000"/>
                      <w:sz w:val="21"/>
                    </w:rPr>
                    <w:t>、灵敏度:EI Scan（氦气）：1pg  八氟萘OFN m/z 272   S/N ≥3000：1 。最大扫描速度：≥20,000 u/sec。最大全扫描采样频率：≥100 Hz。GCMS 接口温度至少达到：50 ℃ ～ 350℃。SIM模式最大扫描通道：≥支持64通道 × 128 组（≥8192）。配置原厂高精度全金属钼四极杆1套和原厂高精度全金属预四极杆1套。两套四极杆均可以进行清洗、超声或打磨。标准配备内置皮拉尼真空规1套（监控高低真空），通过质谱软件直接实时监测和实时显示质谱高低真空区域的真空度。</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17</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w:t>
                  </w:r>
                  <w:r>
                    <w:rPr>
                      <w:color w:val="000000"/>
                      <w:sz w:val="21"/>
                    </w:rPr>
                    <w:t>、质量稳定性：≤±0.1u/48小时 (恒温)，质量准确性：不超过± 0.1 u</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18</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3</w:t>
                  </w:r>
                  <w:r>
                    <w:rPr>
                      <w:color w:val="000000"/>
                      <w:sz w:val="21"/>
                    </w:rPr>
                    <w:t>、离子源：EI源。离子源材质：有独立屏蔽板设计的整体惰性化超高灵敏度离子源。离子源是采用前开门式，无需拉开或移动气相，快速更换灯丝、更换离子源等维护；双灯丝设计：双灯丝设计，安装在离子源盒的两侧，位置对称。</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19</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w:t>
                  </w:r>
                  <w:r>
                    <w:rPr>
                      <w:color w:val="000000"/>
                      <w:sz w:val="21"/>
                    </w:rPr>
                    <w:t>、质量分析器：标准配置高精度全金属钼四极杆1套。标准配置配备高精度全金属钼预四极杆1套。主四极杆和预四极杆均没有镀层。主四极杆和预四极杆均可清洗和打磨。预四极可360旋转转动，无镀层可清洗和打磨。无需控温即可实现0.1amu/48 h稳定。四极杆具有自动优化加速功能：对高质量端离子进行自动电场补偿。</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20</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5</w:t>
                  </w:r>
                  <w:r>
                    <w:rPr>
                      <w:color w:val="000000"/>
                      <w:sz w:val="21"/>
                    </w:rPr>
                    <w:t>、扫描功能：扫描模式：支持全扫描模式(Scan)、选择离子扫描模式(SIM)以及Scan/SIM全扫描和选择离子同时同步扫描模式。</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21</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6</w:t>
                  </w:r>
                  <w:r>
                    <w:rPr>
                      <w:color w:val="000000"/>
                      <w:sz w:val="21"/>
                    </w:rPr>
                    <w:t>、检测系统：具备二次电子倍增管，配备偏转透镜和±10 kV转换打拿极。具备离轴连续打拿电子倍增器</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22</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7</w:t>
                  </w:r>
                  <w:r>
                    <w:rPr>
                      <w:color w:val="000000"/>
                      <w:sz w:val="21"/>
                    </w:rPr>
                    <w:t>、真空系统：</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23</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7.1</w:t>
                  </w:r>
                  <w:r>
                    <w:rPr>
                      <w:color w:val="000000"/>
                      <w:sz w:val="21"/>
                    </w:rPr>
                    <w:t>高真空：差动式涡轮分子泵排气系统，柱流量：≥4 mL/min（He），可直接连接最大0.53 mm内径的色谱柱。标准配备内置皮拉尼真空规1套（监控高低真空）。通过质谱软件直接实时监测和实时显示质谱高低真空区域的真空度。</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24</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7.2</w:t>
                  </w:r>
                  <w:r>
                    <w:rPr>
                      <w:color w:val="000000"/>
                      <w:sz w:val="21"/>
                    </w:rPr>
                    <w:t>低真空：机械泵</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25</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7.3</w:t>
                  </w:r>
                  <w:r>
                    <w:rPr>
                      <w:color w:val="000000"/>
                      <w:sz w:val="21"/>
                    </w:rPr>
                    <w:t>支持双柱双流路系统，两根色谱柱柱流量控制系统均采用流量控制单元。两根质谱柱同时接入质谱系统，可通过工作站自动切换质谱柱，无需更换色谱柱。气质联用仪载气支持使用高纯氦气。气质也支持使用高纯氮气作为载气，无需更换任何部件。为方便以后分析热分解和难气化样品，仪器需可以直接安装DI质谱直接进样装置。</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26</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8</w:t>
                  </w:r>
                  <w:r>
                    <w:rPr>
                      <w:color w:val="000000"/>
                      <w:sz w:val="21"/>
                    </w:rPr>
                    <w:t>、气相色谱部分</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27</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2.1</w:t>
                  </w:r>
                  <w:r>
                    <w:rPr>
                      <w:color w:val="000000"/>
                      <w:sz w:val="21"/>
                    </w:rPr>
                    <w:t>快速加热和冷却的柱温箱</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28</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2.1.1</w:t>
                  </w:r>
                  <w:r>
                    <w:rPr>
                      <w:color w:val="000000"/>
                      <w:sz w:val="21"/>
                    </w:rPr>
                    <w:t>标配柱箱温度至少达到：室温以上4℃ ～ 450℃。程序升温至少达到：20阶21平台。标准配置最大升温速率：≥250℃/min，以0.01℃/min增加。最大运行时间：≥9999分钟。压力/流量控制段数：≥7阶。标配进样口最高温度：≥450℃。所有相关参数均可在气质操作软件上进行实时设置和反控。</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29</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2.1.2</w:t>
                  </w:r>
                  <w:r>
                    <w:rPr>
                      <w:color w:val="000000"/>
                      <w:sz w:val="21"/>
                    </w:rPr>
                    <w:t>冷却速度：从 450 降到 50℃ ≤3.4min</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30</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2.1.3</w:t>
                  </w:r>
                  <w:r>
                    <w:rPr>
                      <w:color w:val="000000"/>
                      <w:sz w:val="21"/>
                    </w:rPr>
                    <w:t>可以至少同时安装三个独立控温的进样口单元，无需拆卸。可以至少同时安装四个独立控温和独立电子压力控制的检测器，无需拆卸。</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31</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2.2</w:t>
                  </w:r>
                  <w:r>
                    <w:rPr>
                      <w:color w:val="000000"/>
                      <w:sz w:val="21"/>
                    </w:rPr>
                    <w:t>分流/不分流进样口</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32</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2.2.1</w:t>
                  </w:r>
                  <w:r>
                    <w:rPr>
                      <w:color w:val="000000"/>
                      <w:sz w:val="21"/>
                    </w:rPr>
                    <w:t>分流不分流进样口标配最高温度：≥450℃。分流比设定范围至少达到：0 ～ 9999。标准配置下流量设定：≥1250 mL/min H2及He ，≥600 mL/min N2。隔垫吹扫流量设置范围：0-1250 ml/min。标准配置下压力设定范围至少达到：0 ～ 1035 kPa。压力设定精度: ≤0.001psi。升压速率设定范围至少达到：-400 ～ 400 kPa /min。压力/流量程序：≥7阶。所有相关参数均可在气质操作软件上进行实时设置和反控。</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33</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2.2.2</w:t>
                  </w:r>
                  <w:r>
                    <w:rPr>
                      <w:color w:val="000000"/>
                      <w:sz w:val="21"/>
                    </w:rPr>
                    <w:t>配备全自动电子流量控制系统，具备室温补偿和自动环境补偿功能。控制模式：支持恒线速度控制功能，保证分析过程中最高柱分析效率。支持恒流控制模式，恒压控制模式，程序增加流速，程序升压及压力脉冲等操作模式。标准配备载气节省模式。</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34</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2.3</w:t>
                  </w:r>
                  <w:r>
                    <w:rPr>
                      <w:color w:val="000000"/>
                      <w:sz w:val="21"/>
                    </w:rPr>
                    <w:t>面板键盘：内置大液晶屏面板：大屏幕彩色液晶屏系统。触控屏幕:≥7寸。完全控制及显示所有温度区域和载气流量、完全控制所有检测器功能。实时时间程序和系统诊断，在线帮助和记事本记录程序事件。可显示实时气质分析色谱图。</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35</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 xml:space="preserve">2.4 </w:t>
                  </w:r>
                  <w:r>
                    <w:rPr>
                      <w:color w:val="000000"/>
                      <w:sz w:val="21"/>
                    </w:rPr>
                    <w:t>其他：配备省电省能源模式，并可在批处理完成后自动运行。维护支持：支持不停机进样口维护功能。无需停止真空系统即可进行进样口的维护，更换进样垫和衬管等消耗品。支持图像引导用户进行仪器的使用和维护等操作。</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36</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3</w:t>
                  </w:r>
                  <w:r>
                    <w:rPr>
                      <w:color w:val="000000"/>
                      <w:sz w:val="21"/>
                    </w:rPr>
                    <w:t>、156位或以上液体自动进样器：</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37</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3.5.1.</w:t>
                  </w:r>
                  <w:r>
                    <w:rPr>
                      <w:color w:val="000000"/>
                      <w:sz w:val="21"/>
                    </w:rPr>
                    <w:t>样品位：≥156位样品盘。进样量最大设置范围：0.1~200 uL，10 μl 注射器以0.1 μl 步进。</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38</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3.5.2</w:t>
                  </w:r>
                  <w:r>
                    <w:rPr>
                      <w:color w:val="000000"/>
                      <w:sz w:val="21"/>
                    </w:rPr>
                    <w:t>具有样品优先模式：当进行样品批处理进样时, 可对某样品进行优先进样设定, 而后继续完成批处理设定。</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39</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w:t>
                  </w:r>
                  <w:r>
                    <w:rPr>
                      <w:color w:val="000000"/>
                      <w:sz w:val="21"/>
                    </w:rPr>
                    <w:t>、数据处理系统：</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40</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4.1</w:t>
                  </w:r>
                  <w:r>
                    <w:rPr>
                      <w:color w:val="000000"/>
                      <w:sz w:val="21"/>
                    </w:rPr>
                    <w:t>数据采集和文件格式支持Scan，SIM和FASST（快速自动Scan/SIM同时扫描）数据采集方式。依靠准确迅速的“One-Window”技术，以最优布局显示信息。采用一体化的数据结构，利用定量浏览器和数据浏览器可方便的进行分析操作和信息追溯，满足GLP操作规范。</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41</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4.2</w:t>
                  </w:r>
                  <w:r>
                    <w:rPr>
                      <w:color w:val="000000"/>
                      <w:sz w:val="21"/>
                    </w:rPr>
                    <w:t>方法创建：支持“COAST”功能（自动创建SIM表）。支持“AART”功能：保留指数的保留时间自动校正。</w:t>
                  </w:r>
                </w:p>
              </w:tc>
            </w:tr>
            <w:tr>
              <w:tc>
                <w:tcPr>
                  <w:tcW w:type="dxa" w:w="735"/>
                  <w:tcBorders>
                    <w:top w:val="none" w:color="000000" w:sz="4"/>
                    <w:left w:val="single" w:color="000000" w:sz="4"/>
                    <w:bottom w:val="single" w:color="000000" w:sz="4"/>
                    <w:right w:val="single" w:color="000000" w:sz="4"/>
                  </w:tcBorders>
                </w:tcPr>
                <w:p>
                  <w:pPr>
                    <w:jc w:val="center"/>
                  </w:pPr>
                  <w:r>
                    <w:rPr>
                      <w:color w:val="000000"/>
                      <w:sz w:val="21"/>
                    </w:rPr>
                    <w:t>▲</w:t>
                  </w:r>
                </w:p>
              </w:tc>
              <w:tc>
                <w:tcPr>
                  <w:tcW w:type="dxa" w:w="452"/>
                  <w:tcBorders>
                    <w:top w:val="none" w:color="000000" w:sz="4"/>
                    <w:left w:val="none" w:color="000000" w:sz="4"/>
                    <w:bottom w:val="single" w:color="000000" w:sz="4"/>
                    <w:right w:val="single" w:color="000000" w:sz="4"/>
                  </w:tcBorders>
                </w:tcPr>
                <w:p>
                  <w:pPr>
                    <w:jc w:val="center"/>
                  </w:pPr>
                  <w:r>
                    <w:rPr>
                      <w:color w:val="000000"/>
                      <w:sz w:val="21"/>
                    </w:rPr>
                    <w:t>42</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4.3</w:t>
                  </w:r>
                  <w:r>
                    <w:rPr>
                      <w:color w:val="000000"/>
                      <w:sz w:val="21"/>
                    </w:rPr>
                    <w:t>具有保留时间自动多点校正功能：无需标准品，一次进样即可完成保留时间多点校正，无需改变仪器参数或者压力。准确预测化合物的当前保留时间，采用C9-C33正构烷烃从低沸点到高沸点全程多点校正。避免单点校正和强制改变压力等的传统校正方式的缺陷。谱库检索：具有相似度检索，指定条件的相似度检索，反检索，索引查询等功能。质谱工作站可支持中文版本和英文版本。可以安装中文版本工作站。</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43</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4.4</w:t>
                  </w:r>
                  <w:r>
                    <w:rPr>
                      <w:color w:val="000000"/>
                      <w:sz w:val="21"/>
                    </w:rPr>
                    <w:t>质量控制：具有高精度控制QA/QC功能，支持自动计算信噪比、精密度、回收率、检出限等方法学指标，仪器系统检查功能和用户安全管理功能。法规符合性：具有安全性策略、系统策略、用户权限和用户管理、审核追踪等功能。</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44</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4.5</w:t>
                  </w:r>
                  <w:r>
                    <w:rPr>
                      <w:color w:val="000000"/>
                      <w:sz w:val="21"/>
                    </w:rPr>
                    <w:t>支持不停机进样口维护功能（用户无需停止真空系统即可进行进样口的维护）和“MS Navigator”功能（引导用户进行仪器的使用和维护等操作）。快速进样口维护功能：与质谱联机时可以在不卸真空的情况下更换进样垫和衬管，进行 进样口维护。配备生态学模式Eco Mode，有效降低耗电量与装置的运行成本，并可在批处理完成后自动运行。</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45</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5</w:t>
                  </w:r>
                  <w:r>
                    <w:rPr>
                      <w:color w:val="000000"/>
                      <w:sz w:val="21"/>
                    </w:rPr>
                    <w:t>网络化控制：可通过网络式数据管理系统进行软件远程控制和人机分离模式操作。质谱工作站可支持中文版本和英文版本。可以安装中文版本工作站。通过切换电脑语言可切换质谱软件的中文和英文语言，无需重装软件。</w:t>
                  </w:r>
                </w:p>
              </w:tc>
            </w:tr>
            <w:tr>
              <w:tc>
                <w:tcPr>
                  <w:tcW w:type="dxa" w:w="735"/>
                  <w:tcBorders>
                    <w:top w:val="none" w:color="000000" w:sz="4"/>
                    <w:left w:val="single" w:color="000000" w:sz="4"/>
                    <w:bottom w:val="single" w:color="000000" w:sz="4"/>
                    <w:right w:val="single" w:color="000000" w:sz="4"/>
                  </w:tcBorders>
                </w:tcPr>
                <w:p>
                  <w:pPr>
                    <w:jc w:val="center"/>
                  </w:pPr>
                </w:p>
              </w:tc>
              <w:tc>
                <w:tcPr>
                  <w:tcW w:type="dxa" w:w="452"/>
                  <w:tcBorders>
                    <w:top w:val="none" w:color="000000" w:sz="4"/>
                    <w:left w:val="none" w:color="000000" w:sz="4"/>
                    <w:bottom w:val="single" w:color="000000" w:sz="4"/>
                    <w:right w:val="single" w:color="000000" w:sz="4"/>
                  </w:tcBorders>
                </w:tcPr>
                <w:p>
                  <w:pPr>
                    <w:jc w:val="center"/>
                  </w:pPr>
                  <w:r>
                    <w:rPr>
                      <w:color w:val="000000"/>
                      <w:sz w:val="21"/>
                    </w:rPr>
                    <w:t>46</w:t>
                  </w:r>
                </w:p>
              </w:tc>
              <w:tc>
                <w:tcPr>
                  <w:tcW w:type="dxa" w:w="4411"/>
                  <w:tcBorders>
                    <w:top w:val="none" w:color="000000" w:sz="4"/>
                    <w:left w:val="none" w:color="000000" w:sz="4"/>
                    <w:bottom w:val="single" w:color="000000" w:sz="4"/>
                    <w:right w:val="single" w:color="000000" w:sz="4"/>
                  </w:tcBorders>
                </w:tcPr>
                <w:p>
                  <w:pPr>
                    <w:jc w:val="both"/>
                  </w:pPr>
                  <w:r>
                    <w:rPr>
                      <w:color w:val="000000"/>
                      <w:sz w:val="21"/>
                    </w:rPr>
                    <w:t>6.</w:t>
                  </w:r>
                  <w:r>
                    <w:rPr>
                      <w:color w:val="000000"/>
                      <w:sz w:val="21"/>
                    </w:rPr>
                    <w:t>投标产品厂家具有技术应用支持和售后服务。</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1.采购代理机构：本项目是指广东志正招标有限公司，负责整个采购活动的组织，依法负责编制和发布招标文件，对招标文件拥有最终的解释权，不以任何身份出任评标委员会成员。</w:t>
      </w:r>
    </w:p>
    <w:p>
      <w:pPr>
        <w:ind w:firstLine="480"/>
      </w:pPr>
      <w:r>
        <w:rPr/>
        <w:t>2.采购人：本项目是指</w:t>
      </w:r>
      <w:r>
        <w:rPr/>
        <w:t>广州中医药大学</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5</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p/>
          <w:p>
            <w:r>
              <w:rPr/>
              <w:t>采购包4：总价</w:t>
            </w:r>
          </w:p>
          <w:p/>
          <w:p>
            <w:r>
              <w:rPr/>
              <w:t>采购包5：总价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采购包1：保证金人民币：30,000.00元整。</w:t>
            </w:r>
            <w:r>
              <w:rPr/>
              <w:t>采购包2：保证金人民币：15,000.00元整。</w:t>
            </w:r>
            <w:r>
              <w:rPr/>
              <w:t>采购包3：保证金人民币：5,000.00元整。</w:t>
            </w:r>
            <w:r>
              <w:rPr/>
              <w:t>采购包4：保证金人民币：20,000.00元整。</w:t>
            </w:r>
            <w:r>
              <w:rPr/>
              <w:t>采购包5：保证金人民币：10,000.00元整。</w:t>
            </w:r>
          </w:p>
          <w:p>
            <w:r>
              <w:rPr/>
              <w:t>开户单位：</w:t>
            </w:r>
            <w:r>
              <w:rPr/>
              <w:t>广东志正招标有限公司</w:t>
            </w:r>
          </w:p>
          <w:p>
            <w:r>
              <w:rPr/>
              <w:t>开户账号：</w:t>
            </w:r>
            <w:r>
              <w:rPr/>
              <w:t>800201177509011</w:t>
            </w:r>
          </w:p>
          <w:p>
            <w:r>
              <w:rPr/>
              <w:t>开户银行：</w:t>
            </w:r>
            <w:r>
              <w:rPr/>
              <w:t>广州银行龙口西支行</w:t>
            </w:r>
          </w:p>
          <w:p>
            <w:r>
              <w:rPr/>
              <w:t>支票提交方式：</w:t>
            </w:r>
            <w:r>
              <w:rPr/>
              <w:t>应在投标截止时间前一天告知采购代理机构，原件应在投标截止时间前递交， 保证金相关事宜联系人：郑小姐 联系电话：020-87554268</w:t>
            </w:r>
          </w:p>
          <w:p>
            <w:r>
              <w:rPr/>
              <w:t>汇票、本票提交方式：</w:t>
            </w:r>
            <w:r>
              <w:rPr/>
              <w:t>应在投标截止时间前一天告知采购代理机构，原件应在投标截止时间前递交， 保证金相关事宜联系人：郑小姐 联系电话：020-87554268</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2</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p>
            <w:r>
              <w:rPr/>
              <w:t>采购包3：</w:t>
            </w:r>
            <w:r>
              <w:rPr/>
              <w:t>2家</w:t>
            </w:r>
          </w:p>
          <w:p>
            <w:r>
              <w:rPr/>
              <w:t>采购包4：</w:t>
            </w:r>
            <w:r>
              <w:rPr/>
              <w:t>2家</w:t>
            </w:r>
          </w:p>
          <w:p>
            <w:r>
              <w:rPr/>
              <w:t>采购包5：</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r>
              <w:rPr/>
              <w:t>采购包4：</w:t>
            </w:r>
            <w:r>
              <w:rPr/>
              <w:t>1家</w:t>
            </w:r>
          </w:p>
          <w:p>
            <w:r>
              <w:rPr/>
              <w:t>采购包5：</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兼投不兼中：本项目可兼投多个采购包，但不能兼中。本项目评标按照分包顺序（采购包1 →采购包2 →采购包3→采购包4→采购包5）依次进行评标。投标人可兼投多个采购包但最多只能成为一个采购包的中标人。如投标人已经成为一个采购包的第一中标候选人，则不推荐为后序采购包的中标候选人，但其投标文件仍参与评审。后序采购包的第一中标候选人由未成为已评采购包第一中标候选人的排名最前的投标人获得。</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采购机构代理服务收费标准：中标人须向采购代理机构按如下标准和规定缴纳招标代理服务费（不含税）： （1）各包组以项目中标金额作为招标代理服务费的计算基数； （2）招标代理服务费采用差额定率累进法进行计算，按照以下标准计取： 100万元以下的部分，按照1.5%计取； 100-500万元的部分，按照1.1%计取； 500-1000万元的部分，按照0.8%计取； 1000-5000万元的部分，按照0.5%计取。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新型冠状病毒感染肺炎疫情防控期间的便利化措施，新型冠状病毒感染肺炎疫情防控期间的便利化措施（本招标文件其他条款与本条不一致的，以 本条为准），投标文件的递交与开标  1. 疫情防控期间，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疫情防控期间，我司暂停中标（成交）通知书、服务费（标书款）发票现场领取，中标（成交）通知书、我司将通过快递方式送达给中标（成交）人，服务费（标书款）发票以邮件方式发送电子发票。 采购合同送达 疫情防控期间，我司提倡中标（成交）人优先采用邮寄方式将签订的合同及时送达我司。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 见《广东省财政厅广东省地方金融监督管理局中国人民银行广州分行关于开展省级政府采购合 同融资工作的通知》（粤财采购〔2020〕6号）（查询网址：http://www.gdgpo.gov.cn/show/id/40288ba97237aba8017239cc2a020555.html）。</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p>
            <w:pPr>
              <w:jc w:val="left"/>
            </w:pPr>
            <w:r>
              <w:rPr/>
              <w:t>采购包4：非专门面向中小企业</w:t>
            </w:r>
          </w:p>
          <w:p>
            <w:pPr>
              <w:jc w:val="left"/>
            </w:pPr>
            <w:r>
              <w:rPr/>
              <w:t>采购包5：非专门面向中小企业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广东志正招标有限公司（https://www.zztender.com/）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内控部</w:t>
      </w:r>
    </w:p>
    <w:p>
      <w:pPr>
        <w:ind w:firstLine="480"/>
      </w:pPr>
      <w:r>
        <w:rPr/>
        <w:t>电话：</w:t>
      </w:r>
      <w:r>
        <w:rPr/>
        <w:t>02087512543</w:t>
      </w:r>
    </w:p>
    <w:p>
      <w:pPr>
        <w:ind w:firstLine="480"/>
      </w:pPr>
      <w:r>
        <w:rPr/>
        <w:t>传真：</w:t>
      </w:r>
      <w:r>
        <w:rPr/>
        <w:t>87554028</w:t>
      </w:r>
    </w:p>
    <w:p>
      <w:pPr>
        <w:ind w:firstLine="480"/>
      </w:pPr>
      <w:r>
        <w:rPr/>
        <w:t>邮箱：</w:t>
      </w:r>
      <w:r>
        <w:rPr/>
        <w:t>nkb@zztender.com</w:t>
      </w:r>
    </w:p>
    <w:p>
      <w:pPr>
        <w:ind w:firstLine="480"/>
      </w:pPr>
      <w:r>
        <w:rPr/>
        <w:t>地址：</w:t>
      </w:r>
      <w:r>
        <w:rPr/>
        <w:t>广东省广州市天河区龙怡路117号银汇大厦5楼</w:t>
      </w:r>
    </w:p>
    <w:p>
      <w:pPr>
        <w:ind w:firstLine="480"/>
      </w:pPr>
      <w:r>
        <w:rPr/>
        <w:t>邮编：</w:t>
      </w:r>
      <w:r>
        <w:rPr/>
        <w:t>510640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超高效液相色谱-四极杆飞行时间质谱联用仪)：综合评分法,是指投标文件满足招标文件全部实质性要求，且按照评审因素的量化指标评审得分最高的投标人为中标候选人的评标方法。（最低报价不是中标的唯一依据。）</w:t>
      </w:r>
    </w:p>
    <w:p/>
    <w:p>
      <w:r>
        <w:rPr/>
        <w:t>采购包2(数字病理切片扫描系统)：综合评分法,是指投标文件满足招标文件全部实质性要求，且按照评审因素的量化指标评审得分最高的投标人为中标候选人的评标方法。（最低报价不是中标的唯一依据。）</w:t>
      </w:r>
    </w:p>
    <w:p/>
    <w:p>
      <w:r>
        <w:rPr/>
        <w:t>采购包3(荧光定量PCR仪)：综合评分法,是指投标文件满足招标文件全部实质性要求，且按照评审因素的量化指标评审得分最高的投标人为中标候选人的评标方法。（最低报价不是中标的唯一依据。）</w:t>
      </w:r>
    </w:p>
    <w:p/>
    <w:p>
      <w:r>
        <w:rPr/>
        <w:t>采购包4(生态学研究级显微镜等仪器设备采购项目)：综合评分法,是指投标文件满足招标文件全部实质性要求，且按照评审因素的量化指标评审得分最高的投标人为中标候选人的评标方法。（最低报价不是中标的唯一依据。）</w:t>
      </w:r>
    </w:p>
    <w:p/>
    <w:p>
      <w:r>
        <w:rPr/>
        <w:t>采购包5(气质联用-激光散斑成像项目)：综合评分法,是指投标文件满足招标文件全部实质性要求，且按照评审因素的量化指标评审得分最高的投标人为中标候选人的评标方法。（最低报价不是中标的唯一依据。）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广东志正招标有限公司</w:t>
      </w:r>
      <w:r>
        <w:rPr/>
        <w:t>统一对外发布。</w:t>
      </w:r>
    </w:p>
    <w:p>
      <w:pPr>
        <w:ind w:firstLine="480"/>
      </w:pPr>
      <w:r>
        <w:rPr/>
        <w:t>（2）对</w:t>
      </w:r>
      <w:r>
        <w:rPr/>
        <w:t>广东志正招标有限公司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采购包1（超高效液相色谱-四极杆飞行时间质谱联用仪）：</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采购包2（数字病理切片扫描系统）：</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采购包3（荧光定量PCR仪）：</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采购包4（生态学研究级显微镜等仪器设备采购项目）：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采购包5（气质联用-激光散斑成像项目）：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2%</w:t>
            </w:r>
          </w:p>
        </w:tc>
        <w:tc>
          <w:tcPr>
            <w:tcW w:type="dxa" w:w="2160"/>
          </w:tcPr>
          <w:p>
            <w:pPr>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采购包1（超高效液相色谱-四极杆飞行时间质谱联用仪）：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本项目不接受联合体投标。</w:t>
            </w:r>
          </w:p>
        </w:tc>
      </w:tr>
    </w:tbl>
    <w:p/>
    <w:p>
      <w:r>
        <w:rPr/>
        <w:t>采购包2（数字病理切片扫描系统）：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本项目不接受联合体投标。</w:t>
            </w:r>
          </w:p>
        </w:tc>
      </w:tr>
    </w:tbl>
    <w:p/>
    <w:p>
      <w:r>
        <w:rPr/>
        <w:t>采购包3（荧光定量PCR仪）：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本项目不接受联合体投标。</w:t>
            </w:r>
          </w:p>
        </w:tc>
      </w:tr>
    </w:tbl>
    <w:p/>
    <w:p>
      <w:r>
        <w:rPr/>
        <w:t>采购包4（生态学研究级显微镜等仪器设备采购项目）：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本项目不接受联合体投标。</w:t>
            </w:r>
          </w:p>
        </w:tc>
      </w:tr>
    </w:tbl>
    <w:p/>
    <w:p>
      <w:r>
        <w:rPr/>
        <w:t>采购包5（气质联用-激光散斑成像项目）：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其他</w:t>
            </w:r>
          </w:p>
        </w:tc>
        <w:tc>
          <w:tcPr>
            <w:tcW w:type="dxa" w:w="4238"/>
          </w:tcPr>
          <w:p>
            <w:r>
              <w:rPr/>
              <w:t>本项目不接受联合体投标。</w:t>
            </w:r>
          </w:p>
        </w:tc>
      </w:tr>
    </w:tbl>
    <w:p/>
    <w:p>
      <w:pPr>
        <w:ind w:firstLine="480"/>
      </w:pPr>
      <w:r>
        <w:rPr/>
        <w:t>表二符合性审查表：</w:t>
      </w:r>
    </w:p>
    <w:p>
      <w:pPr>
        <w:ind w:firstLine="480"/>
      </w:pPr>
    </w:p>
    <w:p/>
    <w:p>
      <w:r>
        <w:rPr/>
        <w:t>采购包1（超高效液相色谱-四极杆飞行时间质谱联用仪）：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投标保证金按招标文件要求提交</w:t>
            </w:r>
          </w:p>
        </w:tc>
      </w:tr>
      <w:tr>
        <w:tc>
          <w:tcPr>
            <w:tcW w:type="dxa" w:w="890"/>
          </w:tcPr>
          <w:p>
            <w:r>
              <w:rPr/>
              <w:t>2</w:t>
            </w:r>
          </w:p>
        </w:tc>
        <w:tc>
          <w:tcPr>
            <w:tcW w:type="dxa" w:w="3178"/>
          </w:tcPr>
          <w:p>
            <w:r>
              <w:rPr/>
              <w:t>投标有效期</w:t>
            </w:r>
          </w:p>
        </w:tc>
        <w:tc>
          <w:tcPr>
            <w:tcW w:type="dxa" w:w="4238"/>
          </w:tcPr>
          <w:p>
            <w:r>
              <w:rPr/>
              <w:t>符合投标有效期</w:t>
            </w:r>
          </w:p>
        </w:tc>
      </w:tr>
      <w:tr>
        <w:tc>
          <w:tcPr>
            <w:tcW w:type="dxa" w:w="890"/>
          </w:tcPr>
          <w:p>
            <w:r>
              <w:rPr/>
              <w:t>3</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投标报价没有超出最高限价</w:t>
            </w:r>
          </w:p>
        </w:tc>
      </w:tr>
      <w:tr>
        <w:tc>
          <w:tcPr>
            <w:tcW w:type="dxa" w:w="890"/>
          </w:tcPr>
          <w:p>
            <w:r>
              <w:rPr/>
              <w:t>5</w:t>
            </w:r>
          </w:p>
        </w:tc>
        <w:tc>
          <w:tcPr>
            <w:tcW w:type="dxa" w:w="3178"/>
          </w:tcPr>
          <w:p>
            <w:r>
              <w:rPr/>
              <w:t>标注“★”的条款的满足情况</w:t>
            </w:r>
          </w:p>
        </w:tc>
        <w:tc>
          <w:tcPr>
            <w:tcW w:type="dxa" w:w="4238"/>
          </w:tcPr>
          <w:p>
            <w:r>
              <w:rPr/>
              <w:t>完全满足招标文件中标注“★”的条款</w:t>
            </w:r>
          </w:p>
        </w:tc>
      </w:tr>
      <w:tr>
        <w:tc>
          <w:tcPr>
            <w:tcW w:type="dxa" w:w="890"/>
          </w:tcPr>
          <w:p>
            <w:r>
              <w:rPr/>
              <w:t>6</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采购包2（数字病理切片扫描系统）：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投标保证金按招标文件要求提交</w:t>
            </w:r>
          </w:p>
        </w:tc>
      </w:tr>
      <w:tr>
        <w:tc>
          <w:tcPr>
            <w:tcW w:type="dxa" w:w="890"/>
          </w:tcPr>
          <w:p>
            <w:r>
              <w:rPr/>
              <w:t>2</w:t>
            </w:r>
          </w:p>
        </w:tc>
        <w:tc>
          <w:tcPr>
            <w:tcW w:type="dxa" w:w="3178"/>
          </w:tcPr>
          <w:p>
            <w:r>
              <w:rPr/>
              <w:t>投标有效期</w:t>
            </w:r>
          </w:p>
        </w:tc>
        <w:tc>
          <w:tcPr>
            <w:tcW w:type="dxa" w:w="4238"/>
          </w:tcPr>
          <w:p>
            <w:r>
              <w:rPr/>
              <w:t>符合投标有效期</w:t>
            </w:r>
          </w:p>
        </w:tc>
      </w:tr>
      <w:tr>
        <w:tc>
          <w:tcPr>
            <w:tcW w:type="dxa" w:w="890"/>
          </w:tcPr>
          <w:p>
            <w:r>
              <w:rPr/>
              <w:t>3</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投标报价没有超出最高限价</w:t>
            </w:r>
          </w:p>
        </w:tc>
      </w:tr>
      <w:tr>
        <w:tc>
          <w:tcPr>
            <w:tcW w:type="dxa" w:w="890"/>
          </w:tcPr>
          <w:p>
            <w:r>
              <w:rPr/>
              <w:t>5</w:t>
            </w:r>
          </w:p>
        </w:tc>
        <w:tc>
          <w:tcPr>
            <w:tcW w:type="dxa" w:w="3178"/>
          </w:tcPr>
          <w:p>
            <w:r>
              <w:rPr/>
              <w:t>标注“★”的条款的满足情况</w:t>
            </w:r>
          </w:p>
        </w:tc>
        <w:tc>
          <w:tcPr>
            <w:tcW w:type="dxa" w:w="4238"/>
          </w:tcPr>
          <w:p>
            <w:r>
              <w:rPr/>
              <w:t>完全满足招标文件中标注“★”的条款</w:t>
            </w:r>
          </w:p>
        </w:tc>
      </w:tr>
      <w:tr>
        <w:tc>
          <w:tcPr>
            <w:tcW w:type="dxa" w:w="890"/>
          </w:tcPr>
          <w:p>
            <w:r>
              <w:rPr/>
              <w:t>6</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采购包3（荧光定量PCR仪）：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投标保证金按招标文件要求提交</w:t>
            </w:r>
          </w:p>
        </w:tc>
      </w:tr>
      <w:tr>
        <w:tc>
          <w:tcPr>
            <w:tcW w:type="dxa" w:w="890"/>
          </w:tcPr>
          <w:p>
            <w:r>
              <w:rPr/>
              <w:t>2</w:t>
            </w:r>
          </w:p>
        </w:tc>
        <w:tc>
          <w:tcPr>
            <w:tcW w:type="dxa" w:w="3178"/>
          </w:tcPr>
          <w:p>
            <w:r>
              <w:rPr/>
              <w:t>投标有效期</w:t>
            </w:r>
          </w:p>
        </w:tc>
        <w:tc>
          <w:tcPr>
            <w:tcW w:type="dxa" w:w="4238"/>
          </w:tcPr>
          <w:p>
            <w:r>
              <w:rPr/>
              <w:t>符合投标有效期</w:t>
            </w:r>
          </w:p>
        </w:tc>
      </w:tr>
      <w:tr>
        <w:tc>
          <w:tcPr>
            <w:tcW w:type="dxa" w:w="890"/>
          </w:tcPr>
          <w:p>
            <w:r>
              <w:rPr/>
              <w:t>3</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投标报价没有超出最高限价</w:t>
            </w:r>
          </w:p>
        </w:tc>
      </w:tr>
      <w:tr>
        <w:tc>
          <w:tcPr>
            <w:tcW w:type="dxa" w:w="890"/>
          </w:tcPr>
          <w:p>
            <w:r>
              <w:rPr/>
              <w:t>5</w:t>
            </w:r>
          </w:p>
        </w:tc>
        <w:tc>
          <w:tcPr>
            <w:tcW w:type="dxa" w:w="3178"/>
          </w:tcPr>
          <w:p>
            <w:r>
              <w:rPr/>
              <w:t>标注“★”的条款的满足情况</w:t>
            </w:r>
          </w:p>
        </w:tc>
        <w:tc>
          <w:tcPr>
            <w:tcW w:type="dxa" w:w="4238"/>
          </w:tcPr>
          <w:p>
            <w:r>
              <w:rPr/>
              <w:t>完全满足招标文件中标注“★”的条款</w:t>
            </w:r>
          </w:p>
        </w:tc>
      </w:tr>
      <w:tr>
        <w:tc>
          <w:tcPr>
            <w:tcW w:type="dxa" w:w="890"/>
          </w:tcPr>
          <w:p>
            <w:r>
              <w:rPr/>
              <w:t>6</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采购包4（生态学研究级显微镜等仪器设备采购项目）：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投标保证金按招标文件要求提交</w:t>
            </w:r>
          </w:p>
        </w:tc>
      </w:tr>
      <w:tr>
        <w:tc>
          <w:tcPr>
            <w:tcW w:type="dxa" w:w="890"/>
          </w:tcPr>
          <w:p>
            <w:r>
              <w:rPr/>
              <w:t>2</w:t>
            </w:r>
          </w:p>
        </w:tc>
        <w:tc>
          <w:tcPr>
            <w:tcW w:type="dxa" w:w="3178"/>
          </w:tcPr>
          <w:p>
            <w:r>
              <w:rPr/>
              <w:t>投标有效期</w:t>
            </w:r>
          </w:p>
        </w:tc>
        <w:tc>
          <w:tcPr>
            <w:tcW w:type="dxa" w:w="4238"/>
          </w:tcPr>
          <w:p>
            <w:r>
              <w:rPr/>
              <w:t>符合投标有效期</w:t>
            </w:r>
          </w:p>
        </w:tc>
      </w:tr>
      <w:tr>
        <w:tc>
          <w:tcPr>
            <w:tcW w:type="dxa" w:w="890"/>
          </w:tcPr>
          <w:p>
            <w:r>
              <w:rPr/>
              <w:t>3</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投标报价没有超出最高限价</w:t>
            </w:r>
          </w:p>
        </w:tc>
      </w:tr>
      <w:tr>
        <w:tc>
          <w:tcPr>
            <w:tcW w:type="dxa" w:w="890"/>
          </w:tcPr>
          <w:p>
            <w:r>
              <w:rPr/>
              <w:t>5</w:t>
            </w:r>
          </w:p>
        </w:tc>
        <w:tc>
          <w:tcPr>
            <w:tcW w:type="dxa" w:w="3178"/>
          </w:tcPr>
          <w:p>
            <w:r>
              <w:rPr/>
              <w:t>标注“★”的条款的满足情况</w:t>
            </w:r>
          </w:p>
        </w:tc>
        <w:tc>
          <w:tcPr>
            <w:tcW w:type="dxa" w:w="4238"/>
          </w:tcPr>
          <w:p>
            <w:r>
              <w:rPr/>
              <w:t>完全满足招标文件中标注“★”的条款</w:t>
            </w:r>
          </w:p>
        </w:tc>
      </w:tr>
      <w:tr>
        <w:tc>
          <w:tcPr>
            <w:tcW w:type="dxa" w:w="890"/>
          </w:tcPr>
          <w:p>
            <w:r>
              <w:rPr/>
              <w:t>6</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t>采购包5（气质联用-激光散斑成像项目）：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投标保证金</w:t>
            </w:r>
          </w:p>
        </w:tc>
        <w:tc>
          <w:tcPr>
            <w:tcW w:type="dxa" w:w="4238"/>
          </w:tcPr>
          <w:p>
            <w:r>
              <w:rPr/>
              <w:t>投标保证金按招标文件要求提交</w:t>
            </w:r>
          </w:p>
        </w:tc>
      </w:tr>
      <w:tr>
        <w:tc>
          <w:tcPr>
            <w:tcW w:type="dxa" w:w="890"/>
          </w:tcPr>
          <w:p>
            <w:r>
              <w:rPr/>
              <w:t>2</w:t>
            </w:r>
          </w:p>
        </w:tc>
        <w:tc>
          <w:tcPr>
            <w:tcW w:type="dxa" w:w="3178"/>
          </w:tcPr>
          <w:p>
            <w:r>
              <w:rPr/>
              <w:t>投标有效期</w:t>
            </w:r>
          </w:p>
        </w:tc>
        <w:tc>
          <w:tcPr>
            <w:tcW w:type="dxa" w:w="4238"/>
          </w:tcPr>
          <w:p>
            <w:r>
              <w:rPr/>
              <w:t>符合投标有效期</w:t>
            </w:r>
          </w:p>
        </w:tc>
      </w:tr>
      <w:tr>
        <w:tc>
          <w:tcPr>
            <w:tcW w:type="dxa" w:w="890"/>
          </w:tcPr>
          <w:p>
            <w:r>
              <w:rPr/>
              <w:t>3</w:t>
            </w:r>
          </w:p>
        </w:tc>
        <w:tc>
          <w:tcPr>
            <w:tcW w:type="dxa" w:w="3178"/>
          </w:tcPr>
          <w:p>
            <w:r>
              <w:rPr/>
              <w:t>投标文件按照招标文件规定要求签署、盖章</w:t>
            </w:r>
          </w:p>
        </w:tc>
        <w:tc>
          <w:tcPr>
            <w:tcW w:type="dxa" w:w="4238"/>
          </w:tcPr>
          <w:p>
            <w:r>
              <w:rPr/>
              <w:t>投标文件按照招标文件规定要求签署、盖章</w:t>
            </w:r>
          </w:p>
        </w:tc>
      </w:tr>
      <w:tr>
        <w:tc>
          <w:tcPr>
            <w:tcW w:type="dxa" w:w="890"/>
          </w:tcPr>
          <w:p>
            <w:r>
              <w:rPr/>
              <w:t>4</w:t>
            </w:r>
          </w:p>
        </w:tc>
        <w:tc>
          <w:tcPr>
            <w:tcW w:type="dxa" w:w="3178"/>
          </w:tcPr>
          <w:p>
            <w:r>
              <w:rPr/>
              <w:t>投标报价</w:t>
            </w:r>
          </w:p>
        </w:tc>
        <w:tc>
          <w:tcPr>
            <w:tcW w:type="dxa" w:w="4238"/>
          </w:tcPr>
          <w:p>
            <w:r>
              <w:rPr/>
              <w:t>投标报价没有超出最高限价</w:t>
            </w:r>
          </w:p>
        </w:tc>
      </w:tr>
      <w:tr>
        <w:tc>
          <w:tcPr>
            <w:tcW w:type="dxa" w:w="890"/>
          </w:tcPr>
          <w:p>
            <w:r>
              <w:rPr/>
              <w:t>5</w:t>
            </w:r>
          </w:p>
        </w:tc>
        <w:tc>
          <w:tcPr>
            <w:tcW w:type="dxa" w:w="3178"/>
          </w:tcPr>
          <w:p>
            <w:r>
              <w:rPr/>
              <w:t>标注“★”的条款的满足情况</w:t>
            </w:r>
          </w:p>
        </w:tc>
        <w:tc>
          <w:tcPr>
            <w:tcW w:type="dxa" w:w="4238"/>
          </w:tcPr>
          <w:p>
            <w:r>
              <w:rPr/>
              <w:t>完全满足招标文件中标注“★”的条款</w:t>
            </w:r>
          </w:p>
        </w:tc>
      </w:tr>
      <w:tr>
        <w:tc>
          <w:tcPr>
            <w:tcW w:type="dxa" w:w="890"/>
          </w:tcPr>
          <w:p>
            <w:r>
              <w:rPr/>
              <w:t>6</w:t>
            </w:r>
          </w:p>
        </w:tc>
        <w:tc>
          <w:tcPr>
            <w:tcW w:type="dxa" w:w="3178"/>
          </w:tcPr>
          <w:p>
            <w:r>
              <w:rPr/>
              <w:t>未出现有关法律、法规、规章或招标文件规定的属于投标无效的情形</w:t>
            </w:r>
          </w:p>
        </w:tc>
        <w:tc>
          <w:tcPr>
            <w:tcW w:type="dxa" w:w="4238"/>
          </w:tcPr>
          <w:p>
            <w:r>
              <w:rPr/>
              <w:t>未出现有关法律、法规、规章或招标文件规定的属于投标无效的情形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采购包1超高效液相色谱-四极杆飞行时间质谱联用仪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所投产品设备技术参数符合性1 (21.0分)</w:t>
            </w:r>
          </w:p>
        </w:tc>
        <w:tc>
          <w:tcPr>
            <w:tcW w:type="dxa" w:w="5076"/>
          </w:tcPr>
          <w:p>
            <w:pPr>
              <w:jc w:val="left"/>
            </w:pPr>
            <w:r>
              <w:rPr/>
              <w:t>根据投标人对采购需求书标记▲号的技术参数指标的响应程度进行评审： 完全满足招标需求的得21分，每出现一处负偏离（不满足），扣3分，扣完21分为止。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3）本项目标记▲号的重要技术参数指标共7项。</w:t>
            </w:r>
          </w:p>
        </w:tc>
      </w:tr>
      <w:tr>
        <w:tc>
          <w:tcPr>
            <w:tcW w:type="dxa" w:w="922"/>
            <w:gridSpan w:val="2"/>
            <w:vMerge/>
          </w:tcPr>
          <w:p/>
        </w:tc>
        <w:tc>
          <w:tcPr>
            <w:tcW w:type="dxa" w:w="2307"/>
          </w:tcPr>
          <w:p>
            <w:pPr>
              <w:jc w:val="left"/>
            </w:pPr>
            <w:r>
              <w:rPr/>
              <w:t>所投产品设备技术参数符合性2 (19.0分)</w:t>
            </w:r>
          </w:p>
        </w:tc>
        <w:tc>
          <w:tcPr>
            <w:tcW w:type="dxa" w:w="5076"/>
          </w:tcPr>
          <w:p>
            <w:pPr>
              <w:jc w:val="left"/>
            </w:pPr>
            <w:r>
              <w:rPr/>
              <w:t>根据投标人对采购需求书中不带“▲”号、不带“★”号的一般技术参数指标的响应程度进行评审： 完全满足招标需求的得19分，有负偏离情况按以下要求得分： 有1-3项（含本数）条款为负偏离的，得14分； 有4-6项（含本数）条款为负偏离的，得9分； 有7-9项（含本数）条款为负偏离的，得5分； 有10-12项（含本数）条款为负偏离的，得2分； 有13项（含本数）以上条款为负偏离的，得0分。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jc w:val="left"/>
            </w:pPr>
            <w:r>
              <w:rPr/>
              <w:t>产品质量及安全保证措施 (5.0分)</w:t>
            </w:r>
            <w:r>
              <w:rPr/>
              <w:t>，（等次分值选择：</w:t>
            </w:r>
            <w:r>
              <w:rPr/>
              <w:t>0.0;</w:t>
            </w:r>
            <w:r>
              <w:rPr/>
              <w:t>1.0;</w:t>
            </w:r>
            <w:r>
              <w:rPr/>
              <w:t>3.0;</w:t>
            </w:r>
            <w:r>
              <w:rPr/>
              <w:t>5.0;</w:t>
            </w:r>
            <w:r>
              <w:rPr/>
              <w:t>）</w:t>
            </w:r>
          </w:p>
        </w:tc>
        <w:tc>
          <w:tcPr>
            <w:tcW w:type="dxa" w:w="5076"/>
          </w:tcPr>
          <w:p>
            <w:pPr>
              <w:jc w:val="left"/>
            </w:pPr>
            <w:r>
              <w:rPr/>
              <w:t>有合理可行的维护计划、完善的质量保证体系、质量保证及服务承诺等进行综合评审： 投标人质量保证措施、方案具体详实、可行性高，得5分； 投标人质量保证措施、方案较具体，基本完整、可行性较高，得3分； 投标人质量保证措施方案不够具体详实，可行性一般，得1分； 无措施或其他情形，得0分。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提供的各阶段售后服务计划详尽，服务便利，质保、响应时间、拟投入人员、维护保养服务（包括费用）等承诺可靠、具体，可操作性强，包括但不限于以下内容：①应急维修时间安排；②免费保修期及质保期满后的承诺；③其它服务承诺；④培训计划及人员安排；⑤服务便利性等进行综合评审： 售后服务方案详细具体，针对性强，完全适用本项目需求，得5分； 售后服务方案较详细具体，可操作性一般，较满足适用本项目需求，得3分； 售后服务方案不够详细、全面，基本满足项目需求，得1分。 无提供售后服务方案或其他情形的得0分。</w:t>
            </w:r>
          </w:p>
        </w:tc>
      </w:tr>
      <w:tr>
        <w:tc>
          <w:tcPr>
            <w:tcW w:type="dxa" w:w="922"/>
            <w:gridSpan w:val="2"/>
            <w:vMerge w:val="restart"/>
          </w:tcPr>
          <w:p>
            <w:pPr>
              <w:jc w:val="center"/>
            </w:pPr>
            <w:r>
              <w:rPr/>
              <w:t>商务部分</w:t>
            </w:r>
          </w:p>
        </w:tc>
        <w:tc>
          <w:tcPr>
            <w:tcW w:type="dxa" w:w="2307"/>
          </w:tcPr>
          <w:p>
            <w:pPr>
              <w:jc w:val="left"/>
            </w:pPr>
            <w:r>
              <w:rPr/>
              <w:t>商务条款响应程度 (6.0分)</w:t>
            </w:r>
          </w:p>
        </w:tc>
        <w:tc>
          <w:tcPr>
            <w:tcW w:type="dxa" w:w="5076"/>
          </w:tcPr>
          <w:p>
            <w:pPr>
              <w:jc w:val="left"/>
            </w:pPr>
            <w:r>
              <w:rPr/>
              <w:t>根据投标人对采购需求书商务要求条款的响应程度进行评审： 所有条款完全满足得6分；有一项负偏离(不满足)扣1分，扣完为止。 注：以《商务条件响应表》响应的主要商务要求为准，不按要求提供评审依据不得分。</w:t>
            </w:r>
          </w:p>
        </w:tc>
      </w:tr>
      <w:tr>
        <w:tc>
          <w:tcPr>
            <w:tcW w:type="dxa" w:w="922"/>
            <w:gridSpan w:val="2"/>
            <w:vMerge/>
          </w:tcPr>
          <w:p/>
        </w:tc>
        <w:tc>
          <w:tcPr>
            <w:tcW w:type="dxa" w:w="2307"/>
          </w:tcPr>
          <w:p>
            <w:pPr>
              <w:jc w:val="left"/>
            </w:pPr>
            <w:r>
              <w:rPr/>
              <w:t>投标人同类产品业绩 (6.0分)</w:t>
            </w:r>
          </w:p>
        </w:tc>
        <w:tc>
          <w:tcPr>
            <w:tcW w:type="dxa" w:w="5076"/>
          </w:tcPr>
          <w:p>
            <w:pPr>
              <w:jc w:val="left"/>
            </w:pPr>
            <w:r>
              <w:rPr/>
              <w:t>投标人自2020年1月1日至今（以合同签订时间为准）的同类产品（采购包任意一种产品）业绩，每提供一个得1分，满分6分。 注：须同时提供中标/成交书及合同复印件，不提供或提供资料不全不得分。</w:t>
            </w:r>
          </w:p>
        </w:tc>
      </w:tr>
      <w:tr>
        <w:tc>
          <w:tcPr>
            <w:tcW w:type="dxa" w:w="922"/>
            <w:gridSpan w:val="2"/>
            <w:vMerge/>
          </w:tcPr>
          <w:p/>
        </w:tc>
        <w:tc>
          <w:tcPr>
            <w:tcW w:type="dxa" w:w="2307"/>
          </w:tcPr>
          <w:p>
            <w:pPr>
              <w:jc w:val="left"/>
            </w:pPr>
            <w:r>
              <w:rPr/>
              <w:t>客户评价 (5.0分)</w:t>
            </w:r>
          </w:p>
        </w:tc>
        <w:tc>
          <w:tcPr>
            <w:tcW w:type="dxa" w:w="5076"/>
          </w:tcPr>
          <w:p>
            <w:pPr>
              <w:jc w:val="left"/>
            </w:pPr>
            <w:r>
              <w:rPr/>
              <w:t>投标人在以上有效业绩项目中有获得合同的买方（甲方）单位对其服务质量评价，且评价内容须为满意或优等类似的正面满意度评价材料，每提供一个项目评价得1分，满分为5分。 注：需提供单位出具加盖公章的满意评价证明，同一项目提供多项用户满意度评价的，按一项计算，非上述同类业绩的有效业绩不得分。</w:t>
            </w:r>
          </w:p>
        </w:tc>
      </w:tr>
      <w:tr>
        <w:tc>
          <w:tcPr>
            <w:tcW w:type="dxa" w:w="922"/>
            <w:gridSpan w:val="2"/>
            <w:vMerge/>
          </w:tcPr>
          <w:p/>
        </w:tc>
        <w:tc>
          <w:tcPr>
            <w:tcW w:type="dxa" w:w="2307"/>
          </w:tcPr>
          <w:p>
            <w:pPr>
              <w:jc w:val="left"/>
            </w:pPr>
            <w:r>
              <w:rPr/>
              <w:t>综合实力 (3.0分)</w:t>
            </w:r>
          </w:p>
        </w:tc>
        <w:tc>
          <w:tcPr>
            <w:tcW w:type="dxa" w:w="5076"/>
          </w:tcPr>
          <w:p>
            <w:pPr>
              <w:jc w:val="left"/>
            </w:pPr>
            <w:r>
              <w:rPr/>
              <w:t>投标人获得有效期内的质量管理体系认证、环境管理体系认证、职业健康安全管理体系认证，每提供一个得1分，最高3分。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采购包2数字病理切片扫描系统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所投产品设备技术参数符合性1 (20.0分)</w:t>
            </w:r>
          </w:p>
        </w:tc>
        <w:tc>
          <w:tcPr>
            <w:tcW w:type="dxa" w:w="5076"/>
          </w:tcPr>
          <w:p>
            <w:pPr>
              <w:jc w:val="left"/>
            </w:pPr>
            <w:r>
              <w:rPr/>
              <w:t>根据投标人对采购需求书标记▲号的技术参数指标的响应程度进行评审： 完全满足招标需求的得20分，每出现一处负偏离（不满足），扣4分，扣完20分为止。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3）本项目标记▲号的重要技术参数指标共5项。</w:t>
            </w:r>
          </w:p>
        </w:tc>
      </w:tr>
      <w:tr>
        <w:tc>
          <w:tcPr>
            <w:tcW w:type="dxa" w:w="922"/>
            <w:gridSpan w:val="2"/>
            <w:vMerge/>
          </w:tcPr>
          <w:p/>
        </w:tc>
        <w:tc>
          <w:tcPr>
            <w:tcW w:type="dxa" w:w="2307"/>
          </w:tcPr>
          <w:p>
            <w:pPr>
              <w:jc w:val="left"/>
            </w:pPr>
            <w:r>
              <w:rPr/>
              <w:t>所投产品设备技术参数符合性2 (20.0分)</w:t>
            </w:r>
          </w:p>
        </w:tc>
        <w:tc>
          <w:tcPr>
            <w:tcW w:type="dxa" w:w="5076"/>
          </w:tcPr>
          <w:p>
            <w:pPr>
              <w:jc w:val="left"/>
            </w:pPr>
            <w:r>
              <w:rPr/>
              <w:t>根据投标人对采购需求书中不带“▲”号、不带“★”号的一般技术参数指标的响应程度进行评审： 完全满足招标需求的得20分，有负偏离情况按以下要求得分： 有1-3项（含本数）条款为负偏离的，得16分； 有4-6项（含本数）条款为负偏离的，得12分； 有7-9项（含本数）条款为负偏离的，得8分； 有10-12项（含本数）条款为负偏离的，得4分； 有13项（含本数）以上条款为负偏离的，得0分。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jc w:val="left"/>
            </w:pPr>
            <w:r>
              <w:rPr/>
              <w:t>产品质量及安全保证措施 (5.0分)</w:t>
            </w:r>
            <w:r>
              <w:rPr/>
              <w:t>，（等次分值选择：</w:t>
            </w:r>
            <w:r>
              <w:rPr/>
              <w:t>0.0;</w:t>
            </w:r>
            <w:r>
              <w:rPr/>
              <w:t>1.0;</w:t>
            </w:r>
            <w:r>
              <w:rPr/>
              <w:t>3.0;</w:t>
            </w:r>
            <w:r>
              <w:rPr/>
              <w:t>5.0;</w:t>
            </w:r>
            <w:r>
              <w:rPr/>
              <w:t>）</w:t>
            </w:r>
          </w:p>
        </w:tc>
        <w:tc>
          <w:tcPr>
            <w:tcW w:type="dxa" w:w="5076"/>
          </w:tcPr>
          <w:p>
            <w:pPr>
              <w:jc w:val="left"/>
            </w:pPr>
            <w:r>
              <w:rPr/>
              <w:t>有合理可行的维护计划、完善的质量保证体系、质量保证及服务承诺等进行综合评审： 投标人质量保证措施、方案具体详实、可行性高，得5分； 投标人质量保证措施、方案较具体，基本完整、可行性较高，得3分； 投标人质量保证措施方案不够具体详实，可行性一般，得1分； 无措施或其他情形，得0分。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提供的各阶段售后服务计划详尽，服务便利，质保、响应时间、拟投入人员、维护保养服务（包括费用）等承诺可靠、具体，可操作性强，包括但不限于以下内容：①应急维修时间安排；②免费保修期及质保期满后的承诺；③其它服务承诺；④培训计划及人员安排；⑤服务便利性等进行综合评审： 售后服务方案详细具体，针对性强，完全适用本项目需求，得5分； 售后服务方案较详细具体，可操作性一般，较满足适用本项目需求，得3分； 售后服务方案不够详细、全面，基本满足项目需求，得1分。 无提供售后服务方案或其他情形的得0分。</w:t>
            </w:r>
          </w:p>
        </w:tc>
      </w:tr>
      <w:tr>
        <w:tc>
          <w:tcPr>
            <w:tcW w:type="dxa" w:w="922"/>
            <w:gridSpan w:val="2"/>
            <w:vMerge w:val="restart"/>
          </w:tcPr>
          <w:p>
            <w:pPr>
              <w:jc w:val="center"/>
            </w:pPr>
            <w:r>
              <w:rPr/>
              <w:t>商务部分</w:t>
            </w:r>
          </w:p>
        </w:tc>
        <w:tc>
          <w:tcPr>
            <w:tcW w:type="dxa" w:w="2307"/>
          </w:tcPr>
          <w:p>
            <w:pPr>
              <w:jc w:val="left"/>
            </w:pPr>
            <w:r>
              <w:rPr/>
              <w:t>商务条款响应程度 (6.0分)</w:t>
            </w:r>
          </w:p>
        </w:tc>
        <w:tc>
          <w:tcPr>
            <w:tcW w:type="dxa" w:w="5076"/>
          </w:tcPr>
          <w:p>
            <w:pPr>
              <w:jc w:val="left"/>
            </w:pPr>
            <w:r>
              <w:rPr/>
              <w:t>根据投标人对采购需求书商务要求条款的响应程度进行评审： 所有条款完全满足得6分；有一项负偏离(不满足)扣1分，扣完为止。 注：以《商务条件响应表》响应的主要商务要求为准，不按要求提供评审依据不得分。</w:t>
            </w:r>
          </w:p>
        </w:tc>
      </w:tr>
      <w:tr>
        <w:tc>
          <w:tcPr>
            <w:tcW w:type="dxa" w:w="922"/>
            <w:gridSpan w:val="2"/>
            <w:vMerge/>
          </w:tcPr>
          <w:p/>
        </w:tc>
        <w:tc>
          <w:tcPr>
            <w:tcW w:type="dxa" w:w="2307"/>
          </w:tcPr>
          <w:p>
            <w:pPr>
              <w:jc w:val="left"/>
            </w:pPr>
            <w:r>
              <w:rPr/>
              <w:t>投标人同类产品业绩 (6.0分)</w:t>
            </w:r>
          </w:p>
        </w:tc>
        <w:tc>
          <w:tcPr>
            <w:tcW w:type="dxa" w:w="5076"/>
          </w:tcPr>
          <w:p>
            <w:pPr>
              <w:jc w:val="left"/>
            </w:pPr>
            <w:r>
              <w:rPr/>
              <w:t>投标人自2020年1月1日至今（以合同签订时间为准）的同类产品（采购包任意一种产品）业绩，每提供一个得1分，满分6分。 注：须同时提供中标/成交书及合同复印件，不提供或提供资料不全不得分。</w:t>
            </w:r>
          </w:p>
        </w:tc>
      </w:tr>
      <w:tr>
        <w:tc>
          <w:tcPr>
            <w:tcW w:type="dxa" w:w="922"/>
            <w:gridSpan w:val="2"/>
            <w:vMerge/>
          </w:tcPr>
          <w:p/>
        </w:tc>
        <w:tc>
          <w:tcPr>
            <w:tcW w:type="dxa" w:w="2307"/>
          </w:tcPr>
          <w:p>
            <w:pPr>
              <w:jc w:val="left"/>
            </w:pPr>
            <w:r>
              <w:rPr/>
              <w:t>客户评价 (5.0分)</w:t>
            </w:r>
          </w:p>
        </w:tc>
        <w:tc>
          <w:tcPr>
            <w:tcW w:type="dxa" w:w="5076"/>
          </w:tcPr>
          <w:p>
            <w:pPr>
              <w:jc w:val="left"/>
            </w:pPr>
            <w:r>
              <w:rPr/>
              <w:t>投标人在以上有效业绩项目中有获得合同的买方（甲方）单位对其服务质量评价，且评价内容须为满意或优等类似的正面满意度评价材料，每提供一个项目评价得1分，满分为5分。 注：需提供单位出具加盖公章的满意评价证明，同一项目提供多项用户满意度评价的，按一项计算，非上述同类业绩的有效业绩不得分。</w:t>
            </w:r>
          </w:p>
        </w:tc>
      </w:tr>
      <w:tr>
        <w:tc>
          <w:tcPr>
            <w:tcW w:type="dxa" w:w="922"/>
            <w:gridSpan w:val="2"/>
            <w:vMerge/>
          </w:tcPr>
          <w:p/>
        </w:tc>
        <w:tc>
          <w:tcPr>
            <w:tcW w:type="dxa" w:w="2307"/>
          </w:tcPr>
          <w:p>
            <w:pPr>
              <w:jc w:val="left"/>
            </w:pPr>
            <w:r>
              <w:rPr/>
              <w:t>综合实力 (3.0分)</w:t>
            </w:r>
          </w:p>
        </w:tc>
        <w:tc>
          <w:tcPr>
            <w:tcW w:type="dxa" w:w="5076"/>
          </w:tcPr>
          <w:p>
            <w:pPr>
              <w:jc w:val="left"/>
            </w:pPr>
            <w:r>
              <w:rPr/>
              <w:t>投标人获得有效期内的质量管理体系认证、环境管理体系认证、职业健康安全管理体系认证，每提供一个得1分，最高3分。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采购包3荧光定量PCR仪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所投产品设备技术参数符合性1 (10.0分)</w:t>
            </w:r>
          </w:p>
        </w:tc>
        <w:tc>
          <w:tcPr>
            <w:tcW w:type="dxa" w:w="5076"/>
          </w:tcPr>
          <w:p>
            <w:pPr>
              <w:jc w:val="left"/>
            </w:pPr>
            <w:r>
              <w:rPr/>
              <w:t>根据投标人对采购需求书标记▲号的技术参数指标的响应程度进行评审： 完全满足招标需求的得10分，每出现一处负偏离（不满足），扣5分，扣完10分为止。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3）本项目标记▲号的重要技术参数指标共2项。</w:t>
            </w:r>
          </w:p>
        </w:tc>
      </w:tr>
      <w:tr>
        <w:tc>
          <w:tcPr>
            <w:tcW w:type="dxa" w:w="922"/>
            <w:gridSpan w:val="2"/>
            <w:vMerge/>
          </w:tcPr>
          <w:p/>
        </w:tc>
        <w:tc>
          <w:tcPr>
            <w:tcW w:type="dxa" w:w="2307"/>
          </w:tcPr>
          <w:p>
            <w:pPr>
              <w:jc w:val="left"/>
            </w:pPr>
            <w:r>
              <w:rPr/>
              <w:t>所投产品设备技术参数符合性2 (30.0分)</w:t>
            </w:r>
          </w:p>
        </w:tc>
        <w:tc>
          <w:tcPr>
            <w:tcW w:type="dxa" w:w="5076"/>
          </w:tcPr>
          <w:p>
            <w:pPr>
              <w:jc w:val="left"/>
            </w:pPr>
            <w:r>
              <w:rPr/>
              <w:t>根据投标人对采购需求书中不带“▲”号、不带“★”号的一般技术参数指标的响应程度进行评审： 完全满足招标需求的得30分，有负偏离情况按以下要求得分： 有1-3项（含本数）条款为负偏离的，得22分； 有4-6项（含本数）条款为负偏离的，得15分； 有7-9项（含本数）条款为负偏离的，得10分； 有10-12项（含本数）条款为负偏离的，得5分； 有13项（含本数）以上条款为负偏离的，得0分。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jc w:val="left"/>
            </w:pPr>
            <w:r>
              <w:rPr/>
              <w:t>产品质量及安全保证措施 (5.0分)</w:t>
            </w:r>
            <w:r>
              <w:rPr/>
              <w:t>，（等次分值选择：</w:t>
            </w:r>
            <w:r>
              <w:rPr/>
              <w:t>0.0;</w:t>
            </w:r>
            <w:r>
              <w:rPr/>
              <w:t>1.0;</w:t>
            </w:r>
            <w:r>
              <w:rPr/>
              <w:t>3.0;</w:t>
            </w:r>
            <w:r>
              <w:rPr/>
              <w:t>5.0;</w:t>
            </w:r>
            <w:r>
              <w:rPr/>
              <w:t>）</w:t>
            </w:r>
          </w:p>
        </w:tc>
        <w:tc>
          <w:tcPr>
            <w:tcW w:type="dxa" w:w="5076"/>
          </w:tcPr>
          <w:p>
            <w:pPr>
              <w:jc w:val="left"/>
            </w:pPr>
            <w:r>
              <w:rPr/>
              <w:t>有合理可行的维护计划、完善的质量保证体系、质量保证及服务承诺等进行综合评审： 投标人质量保证措施、方案具体详实、可行性高，得5分； 投标人质量保证措施、方案较具体，基本完整、可行性较高，得3分； 投标人质量保证措施方案不够具体详实，可行性一般，得1分； 无措施或其他情形，得0分。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提供的各阶段售后服务计划详尽，服务便利，质保、响应时间、拟投入人员、维护保养服务（包括费用）等承诺可靠、具体，可操作性强，包括但不限于以下内容：①应急维修时间安排；②免费保修期及质保期满后的承诺；③其它服务承诺；④培训计划及人员安排；⑤服务便利性等进行综合评审： 售后服务方案详细具体，针对性强，完全适用本项目需求，得5分； 售后服务方案较详细具体，可操作性一般，较满足适用本项目需求，得3分； 售后服务方案不够详细、全面，基本满足项目需求，得1分。 无提供售后服务方案或其他情形的得0分。</w:t>
            </w:r>
          </w:p>
        </w:tc>
      </w:tr>
      <w:tr>
        <w:tc>
          <w:tcPr>
            <w:tcW w:type="dxa" w:w="922"/>
            <w:gridSpan w:val="2"/>
            <w:vMerge w:val="restart"/>
          </w:tcPr>
          <w:p>
            <w:pPr>
              <w:jc w:val="center"/>
            </w:pPr>
            <w:r>
              <w:rPr/>
              <w:t>商务部分</w:t>
            </w:r>
          </w:p>
        </w:tc>
        <w:tc>
          <w:tcPr>
            <w:tcW w:type="dxa" w:w="2307"/>
          </w:tcPr>
          <w:p>
            <w:pPr>
              <w:jc w:val="left"/>
            </w:pPr>
            <w:r>
              <w:rPr/>
              <w:t>商务条款响应程度 (6.0分)</w:t>
            </w:r>
          </w:p>
        </w:tc>
        <w:tc>
          <w:tcPr>
            <w:tcW w:type="dxa" w:w="5076"/>
          </w:tcPr>
          <w:p>
            <w:pPr>
              <w:jc w:val="left"/>
            </w:pPr>
            <w:r>
              <w:rPr/>
              <w:t>根据投标人对采购需求书商务要求条款的响应程度进行评审： 所有条款完全满足得6分；有一项负偏离(不满足)扣1分，扣完为止。 注：以《商务条件响应表》响应的主要商务要求为准，不按要求提供评审依据不得分。</w:t>
            </w:r>
          </w:p>
        </w:tc>
      </w:tr>
      <w:tr>
        <w:tc>
          <w:tcPr>
            <w:tcW w:type="dxa" w:w="922"/>
            <w:gridSpan w:val="2"/>
            <w:vMerge/>
          </w:tcPr>
          <w:p/>
        </w:tc>
        <w:tc>
          <w:tcPr>
            <w:tcW w:type="dxa" w:w="2307"/>
          </w:tcPr>
          <w:p>
            <w:pPr>
              <w:jc w:val="left"/>
            </w:pPr>
            <w:r>
              <w:rPr/>
              <w:t>投标人同类产品业绩 (6.0分)</w:t>
            </w:r>
          </w:p>
        </w:tc>
        <w:tc>
          <w:tcPr>
            <w:tcW w:type="dxa" w:w="5076"/>
          </w:tcPr>
          <w:p>
            <w:pPr>
              <w:jc w:val="left"/>
            </w:pPr>
            <w:r>
              <w:rPr/>
              <w:t>投标人自2020年1月1日至今（以合同签订时间为准）的同类产品（采购包任意一种产品）业绩，每提供一个得1分，满分6分。 注：须同时提供中标/成交书及合同复印件，不提供或提供资料不全不得分。</w:t>
            </w:r>
          </w:p>
        </w:tc>
      </w:tr>
      <w:tr>
        <w:tc>
          <w:tcPr>
            <w:tcW w:type="dxa" w:w="922"/>
            <w:gridSpan w:val="2"/>
            <w:vMerge/>
          </w:tcPr>
          <w:p/>
        </w:tc>
        <w:tc>
          <w:tcPr>
            <w:tcW w:type="dxa" w:w="2307"/>
          </w:tcPr>
          <w:p>
            <w:pPr>
              <w:jc w:val="left"/>
            </w:pPr>
            <w:r>
              <w:rPr/>
              <w:t>客户评价 (5.0分)</w:t>
            </w:r>
          </w:p>
        </w:tc>
        <w:tc>
          <w:tcPr>
            <w:tcW w:type="dxa" w:w="5076"/>
          </w:tcPr>
          <w:p>
            <w:pPr>
              <w:jc w:val="left"/>
            </w:pPr>
            <w:r>
              <w:rPr/>
              <w:t>投标人在以上有效业绩项目中有获得合同的买方（甲方）单位对其服务质量评价，且评价内容须为满意或优等类似的正面满意度评价材料，每提供一个项目评价得1分，满分为5分。 注：需提供单位出具加盖公章的满意评价证明，同一项目提供多项用户满意度评价的，按一项计算，非上述同类业绩的有效业绩不得分。</w:t>
            </w:r>
          </w:p>
        </w:tc>
      </w:tr>
      <w:tr>
        <w:tc>
          <w:tcPr>
            <w:tcW w:type="dxa" w:w="922"/>
            <w:gridSpan w:val="2"/>
            <w:vMerge/>
          </w:tcPr>
          <w:p/>
        </w:tc>
        <w:tc>
          <w:tcPr>
            <w:tcW w:type="dxa" w:w="2307"/>
          </w:tcPr>
          <w:p>
            <w:pPr>
              <w:jc w:val="left"/>
            </w:pPr>
            <w:r>
              <w:rPr/>
              <w:t>综合实力 (3.0分)</w:t>
            </w:r>
          </w:p>
        </w:tc>
        <w:tc>
          <w:tcPr>
            <w:tcW w:type="dxa" w:w="5076"/>
          </w:tcPr>
          <w:p>
            <w:pPr>
              <w:jc w:val="left"/>
            </w:pPr>
            <w:r>
              <w:rPr/>
              <w:t>投标人获得有效期内的质量管理体系认证、环境管理体系认证、职业健康安全管理体系认证，每提供一个得1分，最高3分。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采购包4生态学研究级显微镜等仪器设备采购项目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所投产品设备技术参数符合性1 (28.0分)</w:t>
            </w:r>
          </w:p>
        </w:tc>
        <w:tc>
          <w:tcPr>
            <w:tcW w:type="dxa" w:w="5076"/>
          </w:tcPr>
          <w:p>
            <w:pPr>
              <w:jc w:val="left"/>
            </w:pPr>
            <w:r>
              <w:rPr/>
              <w:t>根据投标人对采购需求书标记▲号的技术参数指标的响应程度进行评审： 完全满足招标需求的得28分，每出现一处负偏离（不满足），扣2分，扣完28分为止。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3）本项目标记▲号的重要技术参数指标共14项。</w:t>
            </w:r>
          </w:p>
        </w:tc>
      </w:tr>
      <w:tr>
        <w:tc>
          <w:tcPr>
            <w:tcW w:type="dxa" w:w="922"/>
            <w:gridSpan w:val="2"/>
            <w:vMerge/>
          </w:tcPr>
          <w:p/>
        </w:tc>
        <w:tc>
          <w:tcPr>
            <w:tcW w:type="dxa" w:w="2307"/>
          </w:tcPr>
          <w:p>
            <w:pPr>
              <w:jc w:val="left"/>
            </w:pPr>
            <w:r>
              <w:rPr/>
              <w:t>所投产品设备技术参数符合性2 (12.0分)</w:t>
            </w:r>
          </w:p>
        </w:tc>
        <w:tc>
          <w:tcPr>
            <w:tcW w:type="dxa" w:w="5076"/>
          </w:tcPr>
          <w:p>
            <w:pPr>
              <w:jc w:val="left"/>
            </w:pPr>
            <w:r>
              <w:rPr/>
              <w:t>根据投标人对采购需求书中不带“▲”号、不带“★”号的一般技术参数指标的响应程度进行评审： 完全满足招标需求的得12分，有负偏离情况按以下要求得分： 有1-3项（含本数）条款为负偏离的，得9分； 有4-6项（含本数）条款为负偏离的，得6分； 有7-9项（含本数）条款为负偏离的，得3分； 有10-12项（含本数）条款为负偏离的，得1分； 有13项（含本数）以上条款为负偏离的，得0分。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jc w:val="left"/>
            </w:pPr>
            <w:r>
              <w:rPr/>
              <w:t>产品质量及安全保证措施 (5.0分)</w:t>
            </w:r>
            <w:r>
              <w:rPr/>
              <w:t>，（等次分值选择：</w:t>
            </w:r>
            <w:r>
              <w:rPr/>
              <w:t>0.0;</w:t>
            </w:r>
            <w:r>
              <w:rPr/>
              <w:t>1.0;</w:t>
            </w:r>
            <w:r>
              <w:rPr/>
              <w:t>3.0;</w:t>
            </w:r>
            <w:r>
              <w:rPr/>
              <w:t>5.0;</w:t>
            </w:r>
            <w:r>
              <w:rPr/>
              <w:t>）</w:t>
            </w:r>
          </w:p>
        </w:tc>
        <w:tc>
          <w:tcPr>
            <w:tcW w:type="dxa" w:w="5076"/>
          </w:tcPr>
          <w:p>
            <w:pPr>
              <w:jc w:val="left"/>
            </w:pPr>
            <w:r>
              <w:rPr/>
              <w:t>有合理可行的维护计划、完善的质量保证体系、质量保证及服务承诺等进行综合评审： 投标人质量保证措施、方案具体详实、可行性高，得5分； 投标人质量保证措施、方案较具体，基本完整、可行性较高，得3分； 投标人质量保证措施方案不够具体详实，可行性一般，得1分； 无措施或其他情形，得0分。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提供的各阶段售后服务计划详尽，服务便利，质保、响应时间、拟投入人员、维护保养服务（包括费用）等承诺可靠、具体，可操作性强，包括但不限于以下内容：①应急维修时间安排；②免费保修期及质保期满后的承诺；③其它服务承诺；④培训计划及人员安排；⑤服务便利性等进行综合评审： 售后服务方案详细具体，针对性强，完全适用本项目需求，得5分； 售后服务方案较详细具体，可操作性一般，较满足适用本项目需求，得3分； 售后服务方案不够详细、全面，基本满足项目需求，得1分。 无提供售后服务方案或其他情形的得0分。</w:t>
            </w:r>
          </w:p>
        </w:tc>
      </w:tr>
      <w:tr>
        <w:tc>
          <w:tcPr>
            <w:tcW w:type="dxa" w:w="922"/>
            <w:gridSpan w:val="2"/>
            <w:vMerge w:val="restart"/>
          </w:tcPr>
          <w:p>
            <w:pPr>
              <w:jc w:val="center"/>
            </w:pPr>
            <w:r>
              <w:rPr/>
              <w:t>商务部分</w:t>
            </w:r>
          </w:p>
        </w:tc>
        <w:tc>
          <w:tcPr>
            <w:tcW w:type="dxa" w:w="2307"/>
          </w:tcPr>
          <w:p>
            <w:pPr>
              <w:jc w:val="left"/>
            </w:pPr>
            <w:r>
              <w:rPr/>
              <w:t>商务条款响应程度 (6.0分)</w:t>
            </w:r>
          </w:p>
        </w:tc>
        <w:tc>
          <w:tcPr>
            <w:tcW w:type="dxa" w:w="5076"/>
          </w:tcPr>
          <w:p>
            <w:pPr>
              <w:jc w:val="left"/>
            </w:pPr>
            <w:r>
              <w:rPr/>
              <w:t>根据投标人对采购需求书商务要求条款的响应程度进行评审： 所有条款完全满足得6分；有一项负偏离(不满足)扣1分，扣完为止。 注：以《商务条件响应表》响应的主要商务要求为准，不按要求提供评审依据不得分。</w:t>
            </w:r>
          </w:p>
        </w:tc>
      </w:tr>
      <w:tr>
        <w:tc>
          <w:tcPr>
            <w:tcW w:type="dxa" w:w="922"/>
            <w:gridSpan w:val="2"/>
            <w:vMerge/>
          </w:tcPr>
          <w:p/>
        </w:tc>
        <w:tc>
          <w:tcPr>
            <w:tcW w:type="dxa" w:w="2307"/>
          </w:tcPr>
          <w:p>
            <w:pPr>
              <w:jc w:val="left"/>
            </w:pPr>
            <w:r>
              <w:rPr/>
              <w:t>投标人同类产品业绩 (6.0分)</w:t>
            </w:r>
          </w:p>
        </w:tc>
        <w:tc>
          <w:tcPr>
            <w:tcW w:type="dxa" w:w="5076"/>
          </w:tcPr>
          <w:p>
            <w:pPr>
              <w:jc w:val="left"/>
            </w:pPr>
            <w:r>
              <w:rPr/>
              <w:t>投标人自2020年1月1日至今（以合同签订时间为准）的同类产品（采购包任意一种产品）业绩，每提供一个得1分，满分6分。 注：须同时提供中标/成交书及合同复印件，不提供或提供资料不全不得分。</w:t>
            </w:r>
          </w:p>
        </w:tc>
      </w:tr>
      <w:tr>
        <w:tc>
          <w:tcPr>
            <w:tcW w:type="dxa" w:w="922"/>
            <w:gridSpan w:val="2"/>
            <w:vMerge/>
          </w:tcPr>
          <w:p/>
        </w:tc>
        <w:tc>
          <w:tcPr>
            <w:tcW w:type="dxa" w:w="2307"/>
          </w:tcPr>
          <w:p>
            <w:pPr>
              <w:jc w:val="left"/>
            </w:pPr>
            <w:r>
              <w:rPr/>
              <w:t>客户评价 (5.0分)</w:t>
            </w:r>
          </w:p>
        </w:tc>
        <w:tc>
          <w:tcPr>
            <w:tcW w:type="dxa" w:w="5076"/>
          </w:tcPr>
          <w:p>
            <w:pPr>
              <w:jc w:val="left"/>
            </w:pPr>
            <w:r>
              <w:rPr/>
              <w:t>投标人在以上有效业绩项目中有获得合同的买方（甲方）单位对其服务质量评价，且评价内容须为满意或优等类似的正面满意度评价材料，每提供一个项目评价得1分，满分为5分。 注：需提供单位出具加盖公章的满意评价证明，同一项目提供多项用户满意度评价的，按一项计算，非上述同类业绩的有效业绩不得分。</w:t>
            </w:r>
          </w:p>
        </w:tc>
      </w:tr>
      <w:tr>
        <w:tc>
          <w:tcPr>
            <w:tcW w:type="dxa" w:w="922"/>
            <w:gridSpan w:val="2"/>
            <w:vMerge/>
          </w:tcPr>
          <w:p/>
        </w:tc>
        <w:tc>
          <w:tcPr>
            <w:tcW w:type="dxa" w:w="2307"/>
          </w:tcPr>
          <w:p>
            <w:pPr>
              <w:jc w:val="left"/>
            </w:pPr>
            <w:r>
              <w:rPr/>
              <w:t>综合实力 (3.0分)</w:t>
            </w:r>
          </w:p>
        </w:tc>
        <w:tc>
          <w:tcPr>
            <w:tcW w:type="dxa" w:w="5076"/>
          </w:tcPr>
          <w:p>
            <w:pPr>
              <w:jc w:val="left"/>
            </w:pPr>
            <w:r>
              <w:rPr/>
              <w:t>投标人获得有效期内的质量管理体系认证、环境管理体系认证、职业健康安全管理体系认证，每提供一个得1分，最高3分。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采购包5气质联用-激光散斑成像项目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所投产品设备技术参数符合性1 (18.0分)</w:t>
            </w:r>
          </w:p>
        </w:tc>
        <w:tc>
          <w:tcPr>
            <w:tcW w:type="dxa" w:w="5076"/>
          </w:tcPr>
          <w:p>
            <w:pPr>
              <w:jc w:val="left"/>
            </w:pPr>
            <w:r>
              <w:rPr/>
              <w:t>根据投标人对采购需求书标记▲号的技术参数指标的响应程度进行评审： 完全满足招标需求的得18分，每出现一处负偏离（不满足），扣3分，扣完18分为止。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2）凡是标有序号的▲号条款均以一项单独的条款计算，无论是否隶属于上一级编号。 3）本项目标记▲号的重要技术参数指标共6项。</w:t>
            </w:r>
          </w:p>
        </w:tc>
      </w:tr>
      <w:tr>
        <w:tc>
          <w:tcPr>
            <w:tcW w:type="dxa" w:w="922"/>
            <w:gridSpan w:val="2"/>
            <w:vMerge/>
          </w:tcPr>
          <w:p/>
        </w:tc>
        <w:tc>
          <w:tcPr>
            <w:tcW w:type="dxa" w:w="2307"/>
          </w:tcPr>
          <w:p>
            <w:pPr>
              <w:jc w:val="left"/>
            </w:pPr>
            <w:r>
              <w:rPr/>
              <w:t>所投产品设备技术参数符合性2 (22.0分)</w:t>
            </w:r>
          </w:p>
        </w:tc>
        <w:tc>
          <w:tcPr>
            <w:tcW w:type="dxa" w:w="5076"/>
          </w:tcPr>
          <w:p>
            <w:pPr>
              <w:jc w:val="left"/>
            </w:pPr>
            <w:r>
              <w:rPr/>
              <w:t>根据投标人对采购需求书中不带“▲”号、不带“★”号的一般技术参数指标的响应程度进行评审： 完全满足招标需求的得22分，有负偏离情况按以下要求得分： 有1-3项（含本数）条款为负偏离的，得17分； 有4-6项（含本数）条款为负偏离的，得12分； 有7-9项（含本数）条款为负偏离的，得8分； 有10-12项（含本数）条款为负偏离的，得3分； 有13项（含本数）以上条款为负偏离的，得0分。 注：1）如采购需求书中有明确要求提供证明资料的，以采购需求书中的要求为准；如采购需求书中未明确证明材料的，以投标人在《技术和服务要求响应表》中的响应情况填写内容为准，未填写的或参数不满足的都视为负偏离。 2）凡是标有序号的一般条款均以一项单独的条款计算，无论是否隶属于上一级编号。</w:t>
            </w:r>
          </w:p>
        </w:tc>
      </w:tr>
      <w:tr>
        <w:tc>
          <w:tcPr>
            <w:tcW w:type="dxa" w:w="922"/>
            <w:gridSpan w:val="2"/>
            <w:vMerge/>
          </w:tcPr>
          <w:p/>
        </w:tc>
        <w:tc>
          <w:tcPr>
            <w:tcW w:type="dxa" w:w="2307"/>
          </w:tcPr>
          <w:p>
            <w:pPr>
              <w:jc w:val="left"/>
            </w:pPr>
            <w:r>
              <w:rPr/>
              <w:t>产品质量及安全保证措施 (5.0分)</w:t>
            </w:r>
            <w:r>
              <w:rPr/>
              <w:t>，（等次分值选择：</w:t>
            </w:r>
            <w:r>
              <w:rPr/>
              <w:t>0.0;</w:t>
            </w:r>
            <w:r>
              <w:rPr/>
              <w:t>1.0;</w:t>
            </w:r>
            <w:r>
              <w:rPr/>
              <w:t>3.0;</w:t>
            </w:r>
            <w:r>
              <w:rPr/>
              <w:t>5.0;</w:t>
            </w:r>
            <w:r>
              <w:rPr/>
              <w:t>）</w:t>
            </w:r>
          </w:p>
        </w:tc>
        <w:tc>
          <w:tcPr>
            <w:tcW w:type="dxa" w:w="5076"/>
          </w:tcPr>
          <w:p>
            <w:pPr>
              <w:jc w:val="left"/>
            </w:pPr>
            <w:r>
              <w:rPr/>
              <w:t>有合理可行的维护计划、完善的质量保证体系、质量保证及服务承诺等进行综合评审： 投标人质量保证措施、方案具体详实、可行性高，得5分； 投标人质量保证措施、方案较具体，基本完整、可行性较高，得3分； 投标人质量保证措施方案不够具体详实，可行性一般，得1分； 无措施或其他情形，得0分。</w:t>
            </w:r>
          </w:p>
        </w:tc>
      </w:tr>
      <w:tr>
        <w:tc>
          <w:tcPr>
            <w:tcW w:type="dxa" w:w="922"/>
            <w:gridSpan w:val="2"/>
            <w:vMerge/>
          </w:tcPr>
          <w:p/>
        </w:tc>
        <w:tc>
          <w:tcPr>
            <w:tcW w:type="dxa" w:w="2307"/>
          </w:tcPr>
          <w:p>
            <w:pPr>
              <w:jc w:val="left"/>
            </w:pPr>
            <w:r>
              <w:rPr/>
              <w:t>售后服务方案 (5.0分)</w:t>
            </w:r>
            <w:r>
              <w:rPr/>
              <w:t>，（等次分值选择：</w:t>
            </w:r>
            <w:r>
              <w:rPr/>
              <w:t>0.0;</w:t>
            </w:r>
            <w:r>
              <w:rPr/>
              <w:t>1.0;</w:t>
            </w:r>
            <w:r>
              <w:rPr/>
              <w:t>3.0;</w:t>
            </w:r>
            <w:r>
              <w:rPr/>
              <w:t>5.0;</w:t>
            </w:r>
            <w:r>
              <w:rPr/>
              <w:t>）</w:t>
            </w:r>
          </w:p>
        </w:tc>
        <w:tc>
          <w:tcPr>
            <w:tcW w:type="dxa" w:w="5076"/>
          </w:tcPr>
          <w:p>
            <w:pPr>
              <w:jc w:val="left"/>
            </w:pPr>
            <w:r>
              <w:rPr/>
              <w:t>根据投标人提供的各阶段售后服务计划详尽，服务便利，质保、响应时间、拟投入人员、维护保养服务（包括费用）等承诺可靠、具体，可操作性强，包括但不限于以下内容：①应急维修时间安排；②免费保修期及质保期满后的承诺；③其它服务承诺；④培训计划及人员安排；⑤服务便利性等进行综合评审： 售后服务方案详细具体，针对性强，完全适用本项目需求，得5分； 售后服务方案较详细具体，可操作性一般，较满足适用本项目需求，得3分； 售后服务方案不够详细、全面，基本满足项目需求，得1分。 无提供售后服务方案或其他情形的得0分。</w:t>
            </w:r>
          </w:p>
        </w:tc>
      </w:tr>
      <w:tr>
        <w:tc>
          <w:tcPr>
            <w:tcW w:type="dxa" w:w="922"/>
            <w:gridSpan w:val="2"/>
            <w:vMerge w:val="restart"/>
          </w:tcPr>
          <w:p>
            <w:pPr>
              <w:jc w:val="center"/>
            </w:pPr>
            <w:r>
              <w:rPr/>
              <w:t>商务部分</w:t>
            </w:r>
          </w:p>
        </w:tc>
        <w:tc>
          <w:tcPr>
            <w:tcW w:type="dxa" w:w="2307"/>
          </w:tcPr>
          <w:p>
            <w:pPr>
              <w:jc w:val="left"/>
            </w:pPr>
            <w:r>
              <w:rPr/>
              <w:t>商务条款响应程度 (6.0分)</w:t>
            </w:r>
          </w:p>
        </w:tc>
        <w:tc>
          <w:tcPr>
            <w:tcW w:type="dxa" w:w="5076"/>
          </w:tcPr>
          <w:p>
            <w:pPr>
              <w:jc w:val="left"/>
            </w:pPr>
            <w:r>
              <w:rPr/>
              <w:t>根据投标人对采购需求书商务要求条款的响应程度进行评审： 所有条款完全满足得6分；有一项负偏离(不满足)扣1分，扣完为止。 注：以《商务条件响应表》响应的主要商务要求为准，不按要求提供评审依据不得分。</w:t>
            </w:r>
          </w:p>
        </w:tc>
      </w:tr>
      <w:tr>
        <w:tc>
          <w:tcPr>
            <w:tcW w:type="dxa" w:w="922"/>
            <w:gridSpan w:val="2"/>
            <w:vMerge/>
          </w:tcPr>
          <w:p/>
        </w:tc>
        <w:tc>
          <w:tcPr>
            <w:tcW w:type="dxa" w:w="2307"/>
          </w:tcPr>
          <w:p>
            <w:pPr>
              <w:jc w:val="left"/>
            </w:pPr>
            <w:r>
              <w:rPr/>
              <w:t>投标人同类产品业绩 (6.0分)</w:t>
            </w:r>
          </w:p>
        </w:tc>
        <w:tc>
          <w:tcPr>
            <w:tcW w:type="dxa" w:w="5076"/>
          </w:tcPr>
          <w:p>
            <w:pPr>
              <w:jc w:val="left"/>
            </w:pPr>
            <w:r>
              <w:rPr/>
              <w:t>投标人自2020年1月1日至今（以合同签订时间为准）的同类产品（采购包任意一种产品）业绩，每提供一个得1分，满分6分。 注：须同时提供中标/成交书及合同复印件，不提供或提供资料不全不得分。</w:t>
            </w:r>
          </w:p>
        </w:tc>
      </w:tr>
      <w:tr>
        <w:tc>
          <w:tcPr>
            <w:tcW w:type="dxa" w:w="922"/>
            <w:gridSpan w:val="2"/>
            <w:vMerge/>
          </w:tcPr>
          <w:p/>
        </w:tc>
        <w:tc>
          <w:tcPr>
            <w:tcW w:type="dxa" w:w="2307"/>
          </w:tcPr>
          <w:p>
            <w:pPr>
              <w:jc w:val="left"/>
            </w:pPr>
            <w:r>
              <w:rPr/>
              <w:t>客户评价 (5.0分)</w:t>
            </w:r>
          </w:p>
        </w:tc>
        <w:tc>
          <w:tcPr>
            <w:tcW w:type="dxa" w:w="5076"/>
          </w:tcPr>
          <w:p>
            <w:pPr>
              <w:jc w:val="left"/>
            </w:pPr>
            <w:r>
              <w:rPr/>
              <w:t>投标人在以上有效业绩项目中有获得合同的买方（甲方）单位对其服务质量评价，且评价内容须为满意或优等类似的正面满意度评价材料，每提供一个项目评价得1分，满分为5分。 注：需提供单位出具加盖公章的满意评价证明，同一项目提供多项用户满意度评价的，按一项计算，非上述同类业绩的有效业绩不得分。</w:t>
            </w:r>
          </w:p>
        </w:tc>
      </w:tr>
      <w:tr>
        <w:tc>
          <w:tcPr>
            <w:tcW w:type="dxa" w:w="922"/>
            <w:gridSpan w:val="2"/>
            <w:vMerge/>
          </w:tcPr>
          <w:p/>
        </w:tc>
        <w:tc>
          <w:tcPr>
            <w:tcW w:type="dxa" w:w="2307"/>
          </w:tcPr>
          <w:p>
            <w:pPr>
              <w:jc w:val="left"/>
            </w:pPr>
            <w:r>
              <w:rPr/>
              <w:t>综合实力 (3.0分)</w:t>
            </w:r>
          </w:p>
        </w:tc>
        <w:tc>
          <w:tcPr>
            <w:tcW w:type="dxa" w:w="5076"/>
          </w:tcPr>
          <w:p>
            <w:pPr>
              <w:jc w:val="left"/>
            </w:pPr>
            <w:r>
              <w:rPr/>
              <w:t>投标人获得有效期内的质量管理体系认证、环境管理体系认证、职业健康安全管理体系认证，每提供一个得1分，最高3分。 注：提供有效期内的证书复印件，并须同时提供在全国认证认可信息公共服务平台（http://cx.cnca.cn/）对体系证书的信息查询截图作为评审依据，未按上述要求提供证明材料或证书已失效或撤销或暂停的不得分。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采购包4：</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采购包5：</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21"/>
        </w:rPr>
        <w:t>合同文本（各包组均适用）</w:t>
      </w:r>
    </w:p>
    <w:p>
      <w:pPr>
        <w:ind w:firstLine="420"/>
        <w:jc w:val="center"/>
      </w:pPr>
      <w:r>
        <w:rPr>
          <w:sz w:val="21"/>
        </w:rPr>
        <w:t>国产设备物资采购合同</w:t>
      </w:r>
    </w:p>
    <w:p>
      <w:pPr>
        <w:jc w:val="both"/>
      </w:pPr>
      <w:r>
        <w:rPr>
          <w:sz w:val="21"/>
        </w:rPr>
        <w:t xml:space="preserve">甲方（买方）：广州中医药大学            签约地点：广州中医药大学         </w:t>
      </w:r>
    </w:p>
    <w:p>
      <w:pPr>
        <w:jc w:val="both"/>
      </w:pPr>
      <w:r>
        <w:rPr>
          <w:sz w:val="21"/>
        </w:rPr>
        <w:t>住所：广州市机场路12号大院</w:t>
      </w:r>
    </w:p>
    <w:p>
      <w:pPr>
        <w:jc w:val="both"/>
      </w:pPr>
      <w:r>
        <w:rPr>
          <w:sz w:val="21"/>
        </w:rPr>
        <w:t xml:space="preserve">乙方（卖方）：                        </w:t>
      </w:r>
    </w:p>
    <w:p>
      <w:pPr>
        <w:jc w:val="both"/>
      </w:pPr>
      <w:r>
        <w:rPr>
          <w:sz w:val="21"/>
        </w:rPr>
        <w:t>住所：</w:t>
      </w:r>
    </w:p>
    <w:p>
      <w:pPr>
        <w:ind w:firstLine="420"/>
        <w:jc w:val="both"/>
      </w:pPr>
    </w:p>
    <w:p>
      <w:pPr>
        <w:ind w:firstLine="420"/>
        <w:jc w:val="both"/>
      </w:pPr>
      <w:r>
        <w:rPr>
          <w:sz w:val="21"/>
        </w:rPr>
        <w:t>根据《中华人民共和国民法典》及</w:t>
      </w:r>
      <w:r>
        <w:rPr>
          <w:sz w:val="21"/>
          <w:u w:val="single"/>
        </w:rPr>
        <w:t xml:space="preserve">                   </w:t>
      </w:r>
      <w:r>
        <w:rPr>
          <w:sz w:val="21"/>
        </w:rPr>
        <w:t>项目（招标编号：</w:t>
      </w:r>
      <w:r>
        <w:rPr>
          <w:sz w:val="21"/>
          <w:u w:val="single"/>
        </w:rPr>
        <w:t xml:space="preserve">                </w:t>
      </w:r>
      <w:r>
        <w:rPr>
          <w:sz w:val="21"/>
        </w:rPr>
        <w:t>）的成交结果，甲乙双方在平等自愿的基础上，经协商一致，签订本合同。</w:t>
      </w:r>
    </w:p>
    <w:p>
      <w:pPr>
        <w:ind w:firstLine="422"/>
        <w:jc w:val="both"/>
      </w:pPr>
      <w:r>
        <w:rPr>
          <w:b/>
          <w:sz w:val="21"/>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06"/>
        <w:gridCol w:w="1903"/>
        <w:gridCol w:w="2163"/>
        <w:gridCol w:w="606"/>
        <w:gridCol w:w="692"/>
        <w:gridCol w:w="1211"/>
        <w:gridCol w:w="1125"/>
      </w:tblGrid>
      <w:tr>
        <w:tc>
          <w:tcPr>
            <w:tcW w:type="dxa" w:w="606"/>
            <w:tcBorders>
              <w:top w:val="single" w:color="000000" w:sz="4"/>
              <w:left w:val="single" w:color="000000" w:sz="4"/>
              <w:bottom w:val="single" w:color="000000" w:sz="4"/>
              <w:right w:val="single" w:color="000000" w:sz="4"/>
            </w:tcBorders>
          </w:tcPr>
          <w:p>
            <w:pPr>
              <w:jc w:val="center"/>
            </w:pPr>
            <w:r>
              <w:rPr>
                <w:sz w:val="21"/>
              </w:rPr>
              <w:t>序号</w:t>
            </w:r>
          </w:p>
        </w:tc>
        <w:tc>
          <w:tcPr>
            <w:tcW w:type="dxa" w:w="1903"/>
            <w:tcBorders>
              <w:top w:val="single" w:color="000000" w:sz="4"/>
              <w:left w:val="none" w:color="000000" w:sz="4"/>
              <w:bottom w:val="single" w:color="000000" w:sz="4"/>
              <w:right w:val="single" w:color="000000" w:sz="4"/>
            </w:tcBorders>
          </w:tcPr>
          <w:p>
            <w:pPr>
              <w:jc w:val="center"/>
            </w:pPr>
            <w:r>
              <w:rPr>
                <w:sz w:val="21"/>
              </w:rPr>
              <w:t>设备物资名称</w:t>
            </w:r>
          </w:p>
        </w:tc>
        <w:tc>
          <w:tcPr>
            <w:tcW w:type="dxa" w:w="2163"/>
            <w:tcBorders>
              <w:top w:val="single" w:color="000000" w:sz="4"/>
              <w:left w:val="none" w:color="000000" w:sz="4"/>
              <w:bottom w:val="single" w:color="000000" w:sz="4"/>
              <w:right w:val="single" w:color="000000" w:sz="4"/>
            </w:tcBorders>
          </w:tcPr>
          <w:p>
            <w:pPr>
              <w:jc w:val="center"/>
            </w:pPr>
            <w:r>
              <w:rPr>
                <w:sz w:val="21"/>
              </w:rPr>
              <w:t>品牌/型号/规格</w:t>
            </w:r>
          </w:p>
        </w:tc>
        <w:tc>
          <w:tcPr>
            <w:tcW w:type="dxa" w:w="606"/>
            <w:tcBorders>
              <w:top w:val="single" w:color="000000" w:sz="4"/>
              <w:left w:val="none" w:color="000000" w:sz="4"/>
              <w:bottom w:val="single" w:color="000000" w:sz="4"/>
              <w:right w:val="single" w:color="000000" w:sz="4"/>
            </w:tcBorders>
          </w:tcPr>
          <w:p>
            <w:pPr>
              <w:jc w:val="center"/>
            </w:pPr>
            <w:r>
              <w:rPr>
                <w:sz w:val="21"/>
              </w:rPr>
              <w:t>单位</w:t>
            </w:r>
          </w:p>
        </w:tc>
        <w:tc>
          <w:tcPr>
            <w:tcW w:type="dxa" w:w="692"/>
            <w:tcBorders>
              <w:top w:val="single" w:color="000000" w:sz="4"/>
              <w:left w:val="none" w:color="000000" w:sz="4"/>
              <w:bottom w:val="single" w:color="000000" w:sz="4"/>
              <w:right w:val="single" w:color="000000" w:sz="4"/>
            </w:tcBorders>
          </w:tcPr>
          <w:p>
            <w:pPr>
              <w:jc w:val="center"/>
            </w:pPr>
            <w:r>
              <w:rPr>
                <w:sz w:val="21"/>
              </w:rPr>
              <w:t>数量</w:t>
            </w:r>
          </w:p>
        </w:tc>
        <w:tc>
          <w:tcPr>
            <w:tcW w:type="dxa" w:w="1211"/>
            <w:tcBorders>
              <w:top w:val="single" w:color="000000" w:sz="4"/>
              <w:left w:val="none" w:color="000000" w:sz="4"/>
              <w:bottom w:val="single" w:color="000000" w:sz="4"/>
              <w:right w:val="single" w:color="000000" w:sz="4"/>
            </w:tcBorders>
          </w:tcPr>
          <w:p>
            <w:pPr>
              <w:jc w:val="center"/>
            </w:pPr>
            <w:r>
              <w:rPr>
                <w:sz w:val="21"/>
              </w:rPr>
              <w:t>单价（元）</w:t>
            </w:r>
          </w:p>
        </w:tc>
        <w:tc>
          <w:tcPr>
            <w:tcW w:type="dxa" w:w="1125"/>
            <w:tcBorders>
              <w:top w:val="single" w:color="000000" w:sz="4"/>
              <w:left w:val="none" w:color="000000" w:sz="4"/>
              <w:bottom w:val="single" w:color="000000" w:sz="4"/>
              <w:right w:val="single" w:color="000000" w:sz="4"/>
            </w:tcBorders>
          </w:tcPr>
          <w:p>
            <w:pPr>
              <w:jc w:val="center"/>
            </w:pPr>
            <w:r>
              <w:rPr>
                <w:sz w:val="21"/>
              </w:rPr>
              <w:t>总价（元）</w:t>
            </w:r>
          </w:p>
        </w:tc>
      </w:tr>
      <w:tr>
        <w:tc>
          <w:tcPr>
            <w:tcW w:type="dxa" w:w="606"/>
            <w:tcBorders>
              <w:top w:val="none" w:color="000000" w:sz="4"/>
              <w:left w:val="single" w:color="000000" w:sz="4"/>
              <w:bottom w:val="single" w:color="000000" w:sz="4"/>
              <w:right w:val="single" w:color="000000" w:sz="4"/>
            </w:tcBorders>
          </w:tcPr>
          <w:p>
            <w:pPr>
              <w:jc w:val="center"/>
            </w:pPr>
            <w:r>
              <w:rPr>
                <w:sz w:val="21"/>
              </w:rPr>
              <w:t>1</w:t>
            </w:r>
          </w:p>
        </w:tc>
        <w:tc>
          <w:tcPr>
            <w:tcW w:type="dxa" w:w="1903"/>
            <w:tcBorders>
              <w:top w:val="none" w:color="000000" w:sz="4"/>
              <w:left w:val="none" w:color="000000" w:sz="4"/>
              <w:bottom w:val="single" w:color="000000" w:sz="4"/>
              <w:right w:val="single" w:color="000000" w:sz="4"/>
            </w:tcBorders>
            <w:vAlign w:val="top"/>
          </w:tcPr>
          <w:p>
            <w:pPr>
              <w:jc w:val="both"/>
            </w:pPr>
          </w:p>
        </w:tc>
        <w:tc>
          <w:tcPr>
            <w:tcW w:type="dxa" w:w="2163"/>
            <w:tcBorders>
              <w:top w:val="none" w:color="000000" w:sz="4"/>
              <w:left w:val="none" w:color="000000" w:sz="4"/>
              <w:bottom w:val="single" w:color="000000" w:sz="4"/>
              <w:right w:val="single" w:color="000000" w:sz="4"/>
            </w:tcBorders>
            <w:vAlign w:val="top"/>
          </w:tcPr>
          <w:p>
            <w:pPr>
              <w:jc w:val="both"/>
            </w:pPr>
          </w:p>
        </w:tc>
        <w:tc>
          <w:tcPr>
            <w:tcW w:type="dxa" w:w="606"/>
            <w:tcBorders>
              <w:top w:val="none" w:color="000000" w:sz="4"/>
              <w:left w:val="none" w:color="000000" w:sz="4"/>
              <w:bottom w:val="single" w:color="000000" w:sz="4"/>
              <w:right w:val="single" w:color="000000" w:sz="4"/>
            </w:tcBorders>
            <w:vAlign w:val="top"/>
          </w:tcPr>
          <w:p>
            <w:pPr>
              <w:jc w:val="both"/>
            </w:pPr>
          </w:p>
        </w:tc>
        <w:tc>
          <w:tcPr>
            <w:tcW w:type="dxa" w:w="692"/>
            <w:tcBorders>
              <w:top w:val="none" w:color="000000" w:sz="4"/>
              <w:left w:val="none" w:color="000000" w:sz="4"/>
              <w:bottom w:val="single" w:color="000000" w:sz="4"/>
              <w:right w:val="single" w:color="000000" w:sz="4"/>
            </w:tcBorders>
            <w:vAlign w:val="top"/>
          </w:tcPr>
          <w:p>
            <w:pPr>
              <w:jc w:val="both"/>
            </w:pPr>
          </w:p>
        </w:tc>
        <w:tc>
          <w:tcPr>
            <w:tcW w:type="dxa" w:w="1211"/>
            <w:tcBorders>
              <w:top w:val="none" w:color="000000" w:sz="4"/>
              <w:left w:val="none" w:color="000000" w:sz="4"/>
              <w:bottom w:val="single" w:color="000000" w:sz="4"/>
              <w:right w:val="single" w:color="000000" w:sz="4"/>
            </w:tcBorders>
            <w:vAlign w:val="top"/>
          </w:tcPr>
          <w:p>
            <w:pPr>
              <w:jc w:val="both"/>
            </w:pPr>
          </w:p>
        </w:tc>
        <w:tc>
          <w:tcPr>
            <w:tcW w:type="dxa" w:w="1125"/>
            <w:tcBorders>
              <w:top w:val="none" w:color="000000" w:sz="4"/>
              <w:left w:val="none" w:color="000000" w:sz="4"/>
              <w:bottom w:val="single" w:color="000000" w:sz="4"/>
              <w:right w:val="single" w:color="000000" w:sz="4"/>
            </w:tcBorders>
            <w:vAlign w:val="top"/>
          </w:tcPr>
          <w:p>
            <w:pPr>
              <w:jc w:val="both"/>
            </w:pPr>
          </w:p>
        </w:tc>
      </w:tr>
      <w:tr>
        <w:tc>
          <w:tcPr>
            <w:tcW w:type="dxa" w:w="606"/>
            <w:tcBorders>
              <w:top w:val="none" w:color="000000" w:sz="4"/>
              <w:left w:val="single" w:color="000000" w:sz="4"/>
              <w:bottom w:val="single" w:color="000000" w:sz="4"/>
              <w:right w:val="single" w:color="000000" w:sz="4"/>
            </w:tcBorders>
            <w:vAlign w:val="top"/>
          </w:tcPr>
          <w:p>
            <w:pPr>
              <w:jc w:val="both"/>
            </w:pPr>
          </w:p>
        </w:tc>
        <w:tc>
          <w:tcPr>
            <w:tcW w:type="dxa" w:w="1903"/>
            <w:tcBorders>
              <w:top w:val="none" w:color="000000" w:sz="4"/>
              <w:left w:val="none" w:color="000000" w:sz="4"/>
              <w:bottom w:val="single" w:color="000000" w:sz="4"/>
              <w:right w:val="single" w:color="000000" w:sz="4"/>
            </w:tcBorders>
            <w:vAlign w:val="top"/>
          </w:tcPr>
          <w:p>
            <w:pPr>
              <w:jc w:val="both"/>
            </w:pPr>
          </w:p>
        </w:tc>
        <w:tc>
          <w:tcPr>
            <w:tcW w:type="dxa" w:w="2163"/>
            <w:tcBorders>
              <w:top w:val="none" w:color="000000" w:sz="4"/>
              <w:left w:val="none" w:color="000000" w:sz="4"/>
              <w:bottom w:val="single" w:color="000000" w:sz="4"/>
              <w:right w:val="single" w:color="000000" w:sz="4"/>
            </w:tcBorders>
            <w:vAlign w:val="top"/>
          </w:tcPr>
          <w:p>
            <w:pPr>
              <w:jc w:val="both"/>
            </w:pPr>
          </w:p>
        </w:tc>
        <w:tc>
          <w:tcPr>
            <w:tcW w:type="dxa" w:w="606"/>
            <w:tcBorders>
              <w:top w:val="none" w:color="000000" w:sz="4"/>
              <w:left w:val="none" w:color="000000" w:sz="4"/>
              <w:bottom w:val="single" w:color="000000" w:sz="4"/>
              <w:right w:val="single" w:color="000000" w:sz="4"/>
            </w:tcBorders>
            <w:vAlign w:val="top"/>
          </w:tcPr>
          <w:p>
            <w:pPr>
              <w:jc w:val="both"/>
            </w:pPr>
          </w:p>
        </w:tc>
        <w:tc>
          <w:tcPr>
            <w:tcW w:type="dxa" w:w="692"/>
            <w:tcBorders>
              <w:top w:val="none" w:color="000000" w:sz="4"/>
              <w:left w:val="none" w:color="000000" w:sz="4"/>
              <w:bottom w:val="single" w:color="000000" w:sz="4"/>
              <w:right w:val="single" w:color="000000" w:sz="4"/>
            </w:tcBorders>
            <w:vAlign w:val="top"/>
          </w:tcPr>
          <w:p>
            <w:pPr>
              <w:jc w:val="both"/>
            </w:pPr>
          </w:p>
        </w:tc>
        <w:tc>
          <w:tcPr>
            <w:tcW w:type="dxa" w:w="1211"/>
            <w:tcBorders>
              <w:top w:val="none" w:color="000000" w:sz="4"/>
              <w:left w:val="none" w:color="000000" w:sz="4"/>
              <w:bottom w:val="single" w:color="000000" w:sz="4"/>
              <w:right w:val="single" w:color="000000" w:sz="4"/>
            </w:tcBorders>
            <w:vAlign w:val="top"/>
          </w:tcPr>
          <w:p>
            <w:pPr>
              <w:jc w:val="both"/>
            </w:pPr>
          </w:p>
        </w:tc>
        <w:tc>
          <w:tcPr>
            <w:tcW w:type="dxa" w:w="1125"/>
            <w:tcBorders>
              <w:top w:val="none" w:color="000000" w:sz="4"/>
              <w:left w:val="none" w:color="000000" w:sz="4"/>
              <w:bottom w:val="single" w:color="000000" w:sz="4"/>
              <w:right w:val="single" w:color="000000" w:sz="4"/>
            </w:tcBorders>
            <w:vAlign w:val="top"/>
          </w:tcPr>
          <w:p>
            <w:pPr>
              <w:jc w:val="both"/>
            </w:pPr>
          </w:p>
        </w:tc>
      </w:tr>
      <w:tr>
        <w:tc>
          <w:tcPr>
            <w:tcW w:type="dxa" w:w="8306"/>
            <w:gridSpan w:val="7"/>
            <w:tcBorders>
              <w:top w:val="none" w:color="000000" w:sz="4"/>
              <w:left w:val="single" w:color="000000" w:sz="4"/>
              <w:bottom w:val="single" w:color="000000" w:sz="4"/>
              <w:right w:val="single" w:color="000000" w:sz="4"/>
            </w:tcBorders>
          </w:tcPr>
          <w:p>
            <w:pPr>
              <w:jc w:val="center"/>
            </w:pPr>
            <w:r>
              <w:rPr>
                <w:b/>
                <w:sz w:val="21"/>
              </w:rPr>
              <w:t xml:space="preserve">总金额（人民币）：   </w:t>
            </w:r>
            <w:r>
              <w:rPr>
                <w:sz w:val="21"/>
              </w:rPr>
              <w:t>万   仟   佰   拾   元   角   分（¥          ）</w:t>
            </w:r>
          </w:p>
        </w:tc>
      </w:tr>
    </w:tbl>
    <w:p>
      <w:pPr>
        <w:ind w:firstLine="420"/>
        <w:jc w:val="both"/>
      </w:pPr>
      <w:r>
        <w:rPr>
          <w:sz w:val="21"/>
        </w:rPr>
        <w:t>1.</w:t>
      </w:r>
      <w:r>
        <w:rPr>
          <w:sz w:val="21"/>
        </w:rPr>
        <w:t>上述合同价款为包干总价，该包干总价为乙方按照合同约定完成合同全部义务后所适用的总价格，包括但不限于购买设备物资的费用、运输费、保险费、装卸费、配套资料费、安装调试费用、</w:t>
      </w:r>
      <w:r>
        <w:rPr>
          <w:sz w:val="21"/>
        </w:rPr>
        <w:t>验收时的试剂耗材、强制性第三方监督检验机构的验收检验费、培训费用以及售后服务费用等。除本合同明确约定的费用外，甲方无需支付任何额外费用和承担任何额外义务。上述合同价款等各项内容在本合同履行过程中保持不变，经甲乙双方协商一致以书面形式予以变更的除外。</w:t>
      </w:r>
    </w:p>
    <w:p>
      <w:pPr>
        <w:ind w:firstLine="420"/>
        <w:jc w:val="both"/>
      </w:pPr>
      <w:r>
        <w:rPr>
          <w:sz w:val="21"/>
        </w:rPr>
        <w:t>2.</w:t>
      </w:r>
      <w:r>
        <w:rPr>
          <w:sz w:val="21"/>
        </w:rPr>
        <w:t>在实际合同履行过程中，如果乙方未完全履行合同义务或履行的合同义务不符合约定的，则未履行或履行不符合合同约定的内容所对应的价款由甲方直接从上述约定的包干价中扣除。</w:t>
      </w:r>
    </w:p>
    <w:p>
      <w:pPr>
        <w:ind w:firstLine="422"/>
        <w:jc w:val="both"/>
      </w:pPr>
      <w:r>
        <w:rPr>
          <w:b/>
          <w:sz w:val="21"/>
        </w:rPr>
        <w:t>二、质量要求</w:t>
      </w:r>
    </w:p>
    <w:p>
      <w:pPr>
        <w:ind w:firstLine="420"/>
        <w:jc w:val="both"/>
      </w:pPr>
      <w:r>
        <w:rPr>
          <w:sz w:val="21"/>
        </w:rPr>
        <w:t>1.</w:t>
      </w:r>
      <w:r>
        <w:rPr>
          <w:sz w:val="21"/>
        </w:rPr>
        <w:t>乙方按照本合同、项目招标文件的要求及投标文件的承诺向甲方交付合格设备，并保证甲方对交付的设备拥有完全、合法的所有权与处置权。</w:t>
      </w:r>
    </w:p>
    <w:p>
      <w:pPr>
        <w:ind w:firstLine="420"/>
        <w:jc w:val="both"/>
      </w:pPr>
      <w:r>
        <w:rPr>
          <w:sz w:val="21"/>
        </w:rPr>
        <w:t>2.</w:t>
      </w:r>
      <w:r>
        <w:rPr>
          <w:sz w:val="21"/>
        </w:rPr>
        <w:t>乙方交付的设备物资应符合现行适用的相关法律、法规以及相应的国家标准或行业标准等，如各标准不一致，以对甲方最有利的标准为准。</w:t>
      </w:r>
    </w:p>
    <w:p>
      <w:pPr>
        <w:ind w:firstLine="420"/>
        <w:jc w:val="both"/>
      </w:pPr>
      <w:r>
        <w:rPr>
          <w:sz w:val="21"/>
        </w:rPr>
        <w:t>3.</w:t>
      </w:r>
      <w:r>
        <w:rPr>
          <w:sz w:val="21"/>
        </w:rPr>
        <w:t>乙方交付的设备物资必须是全新产品、表面无划损、破损、无任何缺陷及隐患，必须具备出厂合格证，且进货渠道合法，在中国境内可依常规安全合法使用。</w:t>
      </w:r>
    </w:p>
    <w:p>
      <w:pPr>
        <w:ind w:firstLine="422"/>
        <w:jc w:val="both"/>
      </w:pPr>
      <w:r>
        <w:rPr>
          <w:b/>
          <w:sz w:val="21"/>
        </w:rPr>
        <w:t>三、交付及验收</w:t>
      </w:r>
    </w:p>
    <w:p>
      <w:pPr>
        <w:ind w:firstLine="420"/>
        <w:jc w:val="both"/>
      </w:pPr>
      <w:r>
        <w:rPr>
          <w:sz w:val="21"/>
        </w:rPr>
        <w:t>1.</w:t>
      </w:r>
      <w:r>
        <w:rPr>
          <w:sz w:val="21"/>
        </w:rPr>
        <w:t>交货时间和地点：签订合同后</w:t>
      </w:r>
      <w:r>
        <w:rPr>
          <w:sz w:val="21"/>
          <w:u w:val="single"/>
        </w:rPr>
        <w:t xml:space="preserve">   </w:t>
      </w:r>
      <w:r>
        <w:rPr>
          <w:sz w:val="21"/>
        </w:rPr>
        <w:t>个工作日内送到甲方指定地点（</w:t>
      </w:r>
      <w:r>
        <w:rPr>
          <w:sz w:val="21"/>
          <w:u w:val="single"/>
        </w:rPr>
        <w:t xml:space="preserve">      </w:t>
      </w:r>
      <w:r>
        <w:rPr>
          <w:sz w:val="21"/>
        </w:rPr>
        <w:t>校区</w:t>
      </w:r>
      <w:r>
        <w:rPr>
          <w:sz w:val="21"/>
          <w:u w:val="single"/>
        </w:rPr>
        <w:t xml:space="preserve">         </w:t>
      </w:r>
      <w:r>
        <w:rPr>
          <w:sz w:val="21"/>
        </w:rPr>
        <w:t>楼</w:t>
      </w:r>
      <w:r>
        <w:rPr>
          <w:sz w:val="21"/>
          <w:u w:val="single"/>
        </w:rPr>
        <w:t xml:space="preserve">    </w:t>
      </w:r>
      <w:r>
        <w:rPr>
          <w:sz w:val="21"/>
        </w:rPr>
        <w:t>房），乙方应在交货前两日内通知甲方到货日期。</w:t>
      </w:r>
    </w:p>
    <w:p>
      <w:pPr>
        <w:ind w:firstLine="420"/>
        <w:jc w:val="both"/>
      </w:pPr>
      <w:r>
        <w:rPr>
          <w:sz w:val="21"/>
        </w:rPr>
        <w:t>2.</w:t>
      </w:r>
      <w:r>
        <w:rPr>
          <w:sz w:val="21"/>
        </w:rPr>
        <w:t>乙方应保证设备物资的包装符合运输的要求，足以保护设备物资在运输过程中不受锈蚀、损坏或灭失。如果设备物资在运输和安装过程中因事故造成设备物资短缺、损坏，乙方应及时安排换装，换货的相关费用由乙方承担。</w:t>
      </w:r>
    </w:p>
    <w:p>
      <w:pPr>
        <w:ind w:firstLine="420"/>
        <w:jc w:val="both"/>
      </w:pPr>
      <w:r>
        <w:rPr>
          <w:sz w:val="21"/>
        </w:rPr>
        <w:t>3.</w:t>
      </w:r>
      <w:r>
        <w:rPr>
          <w:sz w:val="21"/>
        </w:rPr>
        <w:t>乙方应当保证设备的各部件、备品备件、合格证、操作使用说明、保修单、发票和产品软件等必要物品随设备一并交付甲方,并负责设备物资的安装调试及相关免费技术培训。</w:t>
      </w:r>
    </w:p>
    <w:p>
      <w:pPr>
        <w:ind w:firstLine="420"/>
        <w:jc w:val="both"/>
      </w:pPr>
      <w:r>
        <w:rPr>
          <w:sz w:val="21"/>
        </w:rPr>
        <w:t>4.</w:t>
      </w:r>
      <w:r>
        <w:rPr>
          <w:sz w:val="21"/>
        </w:rPr>
        <w:t>设备物资送达指定地点时，由双方代表共同开箱验货,经确认后签署国产设备物资开箱验货情况表。在开箱验货中如发现包装破损、设备数量不符、技术资料不全等不符合合同约定的情况，甲方有权拒收，乙方应于</w:t>
      </w:r>
      <w:r>
        <w:rPr>
          <w:sz w:val="21"/>
        </w:rPr>
        <w:t>5</w:t>
      </w:r>
      <w:r>
        <w:rPr>
          <w:sz w:val="21"/>
        </w:rPr>
        <w:t>日</w:t>
      </w:r>
      <w:r>
        <w:rPr>
          <w:sz w:val="21"/>
        </w:rPr>
        <w:t>内重新提供符合合同约定的设备物资，否则，视为乙方逾期交货。</w:t>
      </w:r>
      <w:r>
        <w:rPr>
          <w:sz w:val="21"/>
        </w:rPr>
        <w:t>如果重新交付的设备仍与合同约定不符，甲方有权解除合同。</w:t>
      </w:r>
    </w:p>
    <w:p>
      <w:pPr>
        <w:ind w:firstLine="420"/>
        <w:jc w:val="both"/>
      </w:pPr>
      <w:r>
        <w:rPr>
          <w:sz w:val="21"/>
        </w:rPr>
        <w:t>5.</w:t>
      </w:r>
      <w:r>
        <w:rPr>
          <w:sz w:val="21"/>
        </w:rPr>
        <w:t>需要安装调试的设备物资，乙方应于开箱验货合格后</w:t>
      </w:r>
      <w:r>
        <w:rPr>
          <w:sz w:val="21"/>
        </w:rPr>
        <w:t>5</w:t>
      </w:r>
      <w:r>
        <w:rPr>
          <w:sz w:val="21"/>
        </w:rPr>
        <w:t>日</w:t>
      </w:r>
      <w:r>
        <w:rPr>
          <w:sz w:val="21"/>
        </w:rPr>
        <w:t>内进行设备安装调试、技术指标和性能测试及整机运行测试。安装调试完成后双方填写安装调试登记表。</w:t>
      </w:r>
    </w:p>
    <w:p>
      <w:pPr>
        <w:ind w:firstLine="420"/>
        <w:jc w:val="both"/>
      </w:pPr>
      <w:r>
        <w:rPr>
          <w:sz w:val="21"/>
        </w:rPr>
        <w:t>6.</w:t>
      </w:r>
      <w:r>
        <w:rPr>
          <w:sz w:val="21"/>
        </w:rPr>
        <w:t>设备安装调试完成后，</w:t>
      </w:r>
      <w:r>
        <w:rPr>
          <w:sz w:val="21"/>
        </w:rPr>
        <w:t>乙方认为已经达到验收条件并准备齐验收所需文件后，向甲方提出验收申请，甲方认为乙方满足验收条件后组织验收。</w:t>
      </w:r>
    </w:p>
    <w:p>
      <w:pPr>
        <w:ind w:firstLine="420"/>
        <w:jc w:val="both"/>
      </w:pPr>
      <w:r>
        <w:rPr>
          <w:sz w:val="21"/>
        </w:rPr>
        <w:t>7.</w:t>
      </w:r>
      <w:r>
        <w:rPr>
          <w:sz w:val="21"/>
        </w:rPr>
        <w:t>设备物资验收由甲方聘请专家组和乙方联合进行，验收时间由甲方确定。乙方未派员参加的，视为认可验收结果。</w:t>
      </w:r>
    </w:p>
    <w:p>
      <w:pPr>
        <w:ind w:firstLine="420"/>
        <w:jc w:val="both"/>
      </w:pPr>
      <w:r>
        <w:rPr>
          <w:sz w:val="21"/>
        </w:rPr>
        <w:t>8.</w:t>
      </w:r>
      <w:r>
        <w:rPr>
          <w:sz w:val="21"/>
        </w:rPr>
        <w:t>设备物资的验收标准按照本合同及招投标文件中列明的技术参数、规格、性能指标等执行。</w:t>
      </w:r>
    </w:p>
    <w:p>
      <w:pPr>
        <w:ind w:firstLine="420"/>
        <w:jc w:val="both"/>
      </w:pPr>
      <w:r>
        <w:rPr>
          <w:sz w:val="21"/>
        </w:rPr>
        <w:t>9.</w:t>
      </w:r>
      <w:r>
        <w:rPr>
          <w:sz w:val="21"/>
        </w:rPr>
        <w:t>验收不合格，甲方有权要求乙方重新提供设备，或有权解除合同。乙方应在甲方指定的期限内重新提供设备，并承担因此而发生的全部费用，赔偿由此给甲方造成的损失。</w:t>
      </w:r>
    </w:p>
    <w:p>
      <w:pPr>
        <w:ind w:firstLine="420"/>
        <w:jc w:val="both"/>
      </w:pPr>
      <w:r>
        <w:rPr>
          <w:sz w:val="21"/>
        </w:rPr>
        <w:t>10.</w:t>
      </w:r>
      <w:r>
        <w:rPr>
          <w:sz w:val="21"/>
        </w:rPr>
        <w:t>如乙方对验收结果有异议，可提请甲方所在地商检部门进行复检。商检部门的检验结果表明设备物资不符合合同约定的，因复检发生的费用由乙方承担；检验结果表明设备物资符合合同约定的，因复检发生的费用由甲方承担。</w:t>
      </w:r>
    </w:p>
    <w:p>
      <w:pPr>
        <w:ind w:firstLine="420"/>
        <w:jc w:val="both"/>
      </w:pPr>
      <w:r>
        <w:rPr>
          <w:sz w:val="21"/>
        </w:rPr>
        <w:t>四、付款方式</w:t>
      </w:r>
    </w:p>
    <w:p>
      <w:pPr>
        <w:ind w:firstLine="420"/>
        <w:jc w:val="both"/>
      </w:pPr>
      <w:r>
        <w:rPr>
          <w:sz w:val="21"/>
        </w:rPr>
        <w:t>鉴于乙方为：中小企业（  ）非中小企业（  ），付款方式按以下第（  ）种执行。</w:t>
      </w:r>
    </w:p>
    <w:p>
      <w:pPr>
        <w:ind w:firstLine="420"/>
        <w:jc w:val="both"/>
      </w:pPr>
      <w:r>
        <w:rPr>
          <w:sz w:val="21"/>
        </w:rPr>
        <w:t>1</w:t>
      </w:r>
      <w:r>
        <w:rPr>
          <w:sz w:val="21"/>
        </w:rPr>
        <w:t xml:space="preserve">．如乙方为中小企业： </w:t>
      </w:r>
      <w:r>
        <w:br/>
      </w:r>
      <w:r>
        <w:rPr>
          <w:sz w:val="21"/>
        </w:rPr>
        <w:t xml:space="preserve">   （1）合同签订且收到履约保证金后5个工作日内甲方向乙方支付合同金额的30%（支付方式含银行转账、支票、银行承兑汇票、商业承兑汇票等形式）。 </w:t>
      </w:r>
      <w:r>
        <w:br/>
      </w:r>
      <w:r>
        <w:rPr>
          <w:sz w:val="21"/>
        </w:rPr>
        <w:t xml:space="preserve">   （2）所有货物验收合格且收到发票后15日内甲方向乙方支付至合同总价的100%（支付方式含银行转账、支票、银行承兑汇票、商业承兑汇票等形式）。 </w:t>
      </w:r>
      <w:r>
        <w:br/>
      </w:r>
      <w:r>
        <w:rPr>
          <w:sz w:val="21"/>
        </w:rPr>
        <w:t xml:space="preserve">   2．如乙方为非中小企业： </w:t>
      </w:r>
      <w:r>
        <w:br/>
      </w:r>
      <w:r>
        <w:rPr>
          <w:sz w:val="21"/>
        </w:rPr>
        <w:t xml:space="preserve">   所有货物验收合格且收到发票后15日内甲方向乙方支付合同总价的100%（支付方式含银行转账、支票、银行承兑汇票、商业承兑汇票等形式）。</w:t>
      </w:r>
    </w:p>
    <w:p>
      <w:pPr>
        <w:ind w:firstLine="420"/>
        <w:jc w:val="both"/>
      </w:pPr>
      <w:r>
        <w:rPr>
          <w:sz w:val="21"/>
        </w:rPr>
        <w:t>3.</w:t>
      </w:r>
      <w:r>
        <w:rPr>
          <w:sz w:val="21"/>
        </w:rPr>
        <w:t>甲方在上述期限内，按广东省财政厅规定的支付手续将付款的申请文件递出, 即完成付款义务。但可以协助乙方查询政府审核和支付的进度。</w:t>
      </w:r>
    </w:p>
    <w:p>
      <w:pPr>
        <w:ind w:firstLine="420"/>
        <w:jc w:val="both"/>
      </w:pPr>
      <w:r>
        <w:rPr>
          <w:sz w:val="21"/>
        </w:rPr>
        <w:t>4</w:t>
      </w:r>
      <w:r>
        <w:rPr>
          <w:sz w:val="21"/>
        </w:rPr>
        <w:t>．履约保证金提交：</w:t>
      </w:r>
    </w:p>
    <w:p>
      <w:pPr>
        <w:ind w:firstLine="420"/>
        <w:jc w:val="both"/>
      </w:pPr>
      <w:r>
        <w:rPr>
          <w:sz w:val="21"/>
        </w:rPr>
        <w:t>履约金额为合同金额的10%（如乙方为中小企业，履约保证金为合同金额的5%），乙方应在合同签订后5日内递交履约保证金。乙方可根据自身实际自主选择以转账、支票、汇票、本票、保函、现金等形式向甲方缴纳履约保证金，但采用保函形式递交履约保证金的，须是无条件保函。</w:t>
      </w:r>
    </w:p>
    <w:p>
      <w:pPr>
        <w:ind w:firstLine="420"/>
        <w:jc w:val="both"/>
      </w:pPr>
      <w:r>
        <w:rPr>
          <w:sz w:val="21"/>
        </w:rPr>
        <w:t>5</w:t>
      </w:r>
      <w:r>
        <w:rPr>
          <w:sz w:val="21"/>
        </w:rPr>
        <w:t>．履约保证金退还：</w:t>
      </w:r>
    </w:p>
    <w:p>
      <w:pPr>
        <w:ind w:firstLine="420"/>
        <w:jc w:val="both"/>
      </w:pPr>
      <w:r>
        <w:rPr>
          <w:sz w:val="21"/>
        </w:rPr>
        <w:t>验收合格至免费保修期满，乙方向甲方申请退还履约保证金，甲方于接到申请后15个工作日内将履约保证金无息退回乙方。</w:t>
      </w:r>
    </w:p>
    <w:p>
      <w:pPr>
        <w:ind w:firstLine="420"/>
        <w:jc w:val="both"/>
      </w:pPr>
      <w:r>
        <w:rPr>
          <w:sz w:val="21"/>
        </w:rPr>
        <w:t>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46"/>
        <w:gridCol w:w="6460"/>
      </w:tblGrid>
      <w:tr>
        <w:tc>
          <w:tcPr>
            <w:tcW w:type="dxa" w:w="1846"/>
            <w:tcBorders>
              <w:top w:val="single" w:color="000000" w:sz="4"/>
              <w:left w:val="single" w:color="000000" w:sz="4"/>
              <w:bottom w:val="single" w:color="000000" w:sz="4"/>
              <w:right w:val="single" w:color="000000" w:sz="4"/>
            </w:tcBorders>
          </w:tcPr>
          <w:p>
            <w:pPr>
              <w:jc w:val="both"/>
            </w:pPr>
            <w:r>
              <w:rPr>
                <w:sz w:val="21"/>
              </w:rPr>
              <w:t>单位名称</w:t>
            </w:r>
          </w:p>
        </w:tc>
        <w:tc>
          <w:tcPr>
            <w:tcW w:type="dxa" w:w="6460"/>
            <w:tcBorders>
              <w:top w:val="single" w:color="000000" w:sz="4"/>
              <w:left w:val="none" w:color="000000" w:sz="4"/>
              <w:bottom w:val="single" w:color="000000" w:sz="4"/>
              <w:right w:val="single" w:color="000000" w:sz="4"/>
            </w:tcBorders>
          </w:tcPr>
          <w:p>
            <w:pPr>
              <w:jc w:val="both"/>
            </w:pPr>
            <w:r>
              <w:rPr>
                <w:sz w:val="21"/>
              </w:rPr>
              <w:t>广州中医药大学（广州中医药研究院）</w:t>
            </w:r>
          </w:p>
        </w:tc>
      </w:tr>
      <w:tr>
        <w:tc>
          <w:tcPr>
            <w:tcW w:type="dxa" w:w="1846"/>
            <w:tcBorders>
              <w:top w:val="none" w:color="000000" w:sz="4"/>
              <w:left w:val="single" w:color="000000" w:sz="4"/>
              <w:bottom w:val="single" w:color="000000" w:sz="4"/>
              <w:right w:val="single" w:color="000000" w:sz="4"/>
            </w:tcBorders>
          </w:tcPr>
          <w:p>
            <w:pPr>
              <w:jc w:val="both"/>
            </w:pPr>
            <w:r>
              <w:rPr>
                <w:sz w:val="21"/>
              </w:rPr>
              <w:t>纳税人识别号</w:t>
            </w:r>
          </w:p>
        </w:tc>
        <w:tc>
          <w:tcPr>
            <w:tcW w:type="dxa" w:w="6460"/>
            <w:tcBorders>
              <w:top w:val="none" w:color="000000" w:sz="4"/>
              <w:left w:val="none" w:color="000000" w:sz="4"/>
              <w:bottom w:val="single" w:color="000000" w:sz="4"/>
              <w:right w:val="single" w:color="000000" w:sz="4"/>
            </w:tcBorders>
          </w:tcPr>
          <w:p>
            <w:pPr>
              <w:jc w:val="both"/>
            </w:pPr>
            <w:r>
              <w:rPr>
                <w:sz w:val="21"/>
              </w:rPr>
              <w:t>12440000455860373F</w:t>
            </w:r>
          </w:p>
        </w:tc>
      </w:tr>
      <w:tr>
        <w:tc>
          <w:tcPr>
            <w:tcW w:type="dxa" w:w="1846"/>
            <w:tcBorders>
              <w:top w:val="none" w:color="000000" w:sz="4"/>
              <w:left w:val="single" w:color="000000" w:sz="4"/>
              <w:bottom w:val="single" w:color="000000" w:sz="4"/>
              <w:right w:val="single" w:color="000000" w:sz="4"/>
            </w:tcBorders>
          </w:tcPr>
          <w:p>
            <w:pPr>
              <w:jc w:val="both"/>
            </w:pPr>
            <w:r>
              <w:rPr>
                <w:sz w:val="21"/>
              </w:rPr>
              <w:t>地址</w:t>
            </w:r>
          </w:p>
        </w:tc>
        <w:tc>
          <w:tcPr>
            <w:tcW w:type="dxa" w:w="6460"/>
            <w:tcBorders>
              <w:top w:val="none" w:color="000000" w:sz="4"/>
              <w:left w:val="none" w:color="000000" w:sz="4"/>
              <w:bottom w:val="single" w:color="000000" w:sz="4"/>
              <w:right w:val="single" w:color="000000" w:sz="4"/>
            </w:tcBorders>
          </w:tcPr>
          <w:p>
            <w:pPr>
              <w:jc w:val="both"/>
            </w:pPr>
            <w:r>
              <w:rPr>
                <w:sz w:val="21"/>
              </w:rPr>
              <w:t>广州市机场路12号</w:t>
            </w:r>
          </w:p>
        </w:tc>
      </w:tr>
      <w:tr>
        <w:tc>
          <w:tcPr>
            <w:tcW w:type="dxa" w:w="1846"/>
            <w:tcBorders>
              <w:top w:val="none" w:color="000000" w:sz="4"/>
              <w:left w:val="single" w:color="000000" w:sz="4"/>
              <w:bottom w:val="single" w:color="000000" w:sz="4"/>
              <w:right w:val="single" w:color="000000" w:sz="4"/>
            </w:tcBorders>
          </w:tcPr>
          <w:p>
            <w:pPr>
              <w:jc w:val="both"/>
            </w:pPr>
            <w:r>
              <w:rPr>
                <w:sz w:val="21"/>
              </w:rPr>
              <w:t>电话号码</w:t>
            </w:r>
          </w:p>
        </w:tc>
        <w:tc>
          <w:tcPr>
            <w:tcW w:type="dxa" w:w="6460"/>
            <w:tcBorders>
              <w:top w:val="none" w:color="000000" w:sz="4"/>
              <w:left w:val="none" w:color="000000" w:sz="4"/>
              <w:bottom w:val="single" w:color="000000" w:sz="4"/>
              <w:right w:val="single" w:color="000000" w:sz="4"/>
            </w:tcBorders>
          </w:tcPr>
          <w:p>
            <w:pPr>
              <w:jc w:val="both"/>
            </w:pPr>
            <w:r>
              <w:rPr>
                <w:sz w:val="21"/>
              </w:rPr>
              <w:t>020-36585216</w:t>
            </w:r>
          </w:p>
        </w:tc>
      </w:tr>
      <w:tr>
        <w:tc>
          <w:tcPr>
            <w:tcW w:type="dxa" w:w="1846"/>
            <w:tcBorders>
              <w:top w:val="none" w:color="000000" w:sz="4"/>
              <w:left w:val="single" w:color="000000" w:sz="4"/>
              <w:bottom w:val="single" w:color="000000" w:sz="4"/>
              <w:right w:val="single" w:color="000000" w:sz="4"/>
            </w:tcBorders>
          </w:tcPr>
          <w:p>
            <w:pPr>
              <w:jc w:val="both"/>
            </w:pPr>
            <w:r>
              <w:rPr>
                <w:sz w:val="21"/>
              </w:rPr>
              <w:t>开户行</w:t>
            </w:r>
          </w:p>
        </w:tc>
        <w:tc>
          <w:tcPr>
            <w:tcW w:type="dxa" w:w="6460"/>
            <w:tcBorders>
              <w:top w:val="none" w:color="000000" w:sz="4"/>
              <w:left w:val="none" w:color="000000" w:sz="4"/>
              <w:bottom w:val="single" w:color="000000" w:sz="4"/>
              <w:right w:val="single" w:color="000000" w:sz="4"/>
            </w:tcBorders>
          </w:tcPr>
          <w:p>
            <w:pPr>
              <w:jc w:val="both"/>
            </w:pPr>
            <w:r>
              <w:rPr>
                <w:sz w:val="21"/>
              </w:rPr>
              <w:t>中国建设银行广州大学城新天地支行</w:t>
            </w:r>
          </w:p>
        </w:tc>
      </w:tr>
      <w:tr>
        <w:tc>
          <w:tcPr>
            <w:tcW w:type="dxa" w:w="1846"/>
            <w:tcBorders>
              <w:top w:val="none" w:color="000000" w:sz="4"/>
              <w:left w:val="single" w:color="000000" w:sz="4"/>
              <w:bottom w:val="single" w:color="000000" w:sz="4"/>
              <w:right w:val="single" w:color="000000" w:sz="4"/>
            </w:tcBorders>
          </w:tcPr>
          <w:p>
            <w:pPr>
              <w:jc w:val="both"/>
            </w:pPr>
            <w:r>
              <w:rPr>
                <w:sz w:val="21"/>
              </w:rPr>
              <w:t>开户行账号</w:t>
            </w:r>
          </w:p>
        </w:tc>
        <w:tc>
          <w:tcPr>
            <w:tcW w:type="dxa" w:w="6460"/>
            <w:tcBorders>
              <w:top w:val="none" w:color="000000" w:sz="4"/>
              <w:left w:val="none" w:color="000000" w:sz="4"/>
              <w:bottom w:val="single" w:color="000000" w:sz="4"/>
              <w:right w:val="single" w:color="000000" w:sz="4"/>
            </w:tcBorders>
          </w:tcPr>
          <w:p>
            <w:pPr>
              <w:jc w:val="both"/>
            </w:pPr>
            <w:r>
              <w:rPr>
                <w:sz w:val="21"/>
              </w:rPr>
              <w:t>44050153004900000813</w:t>
            </w:r>
          </w:p>
        </w:tc>
      </w:tr>
    </w:tbl>
    <w:p>
      <w:pPr>
        <w:ind w:firstLine="420"/>
        <w:jc w:val="both"/>
      </w:pPr>
      <w:r>
        <w:rPr>
          <w:sz w:val="21"/>
        </w:rPr>
        <w:t>备注：开增值税专用发票。</w:t>
      </w:r>
    </w:p>
    <w:p>
      <w:pPr>
        <w:ind w:firstLine="422"/>
        <w:jc w:val="both"/>
      </w:pPr>
      <w:r>
        <w:rPr>
          <w:b/>
          <w:sz w:val="21"/>
        </w:rPr>
        <w:t>五、售后服务</w:t>
      </w:r>
    </w:p>
    <w:p>
      <w:pPr>
        <w:ind w:firstLine="420"/>
        <w:jc w:val="both"/>
      </w:pPr>
      <w:r>
        <w:rPr>
          <w:sz w:val="21"/>
        </w:rPr>
        <w:t>1.</w:t>
      </w:r>
      <w:r>
        <w:rPr>
          <w:sz w:val="21"/>
        </w:rPr>
        <w:t>保修期限：乙方承诺本合同项下设备物资的免费保修期为</w:t>
      </w:r>
      <w:r>
        <w:rPr>
          <w:sz w:val="21"/>
        </w:rPr>
        <w:t>___</w:t>
      </w:r>
      <w:r>
        <w:rPr>
          <w:sz w:val="21"/>
        </w:rPr>
        <w:t>年，保修承担方为</w:t>
      </w:r>
      <w:r>
        <w:rPr>
          <w:sz w:val="21"/>
        </w:rPr>
        <w:t>________________________</w:t>
      </w:r>
      <w:r>
        <w:rPr>
          <w:sz w:val="21"/>
        </w:rPr>
        <w:t>（保修承担方承诺函为本合同附件，</w:t>
      </w:r>
      <w:r>
        <w:rPr>
          <w:sz w:val="21"/>
        </w:rPr>
        <w:t>乙方同意与实际保修方共同无限承担连带责任</w:t>
      </w:r>
      <w:r>
        <w:rPr>
          <w:sz w:val="21"/>
        </w:rPr>
        <w:t>）。保修期限自货物通过甲方组织的验收之日起算。</w:t>
      </w:r>
      <w:r>
        <w:rPr>
          <w:sz w:val="21"/>
        </w:rPr>
        <w:t>在保修期内，如货物非因甲方原因而出现的质量问题由乙方负责保修、包换或包退，并承担修理、调换或退货的实际费用。乙方不能修复、调换或不能退货的，应退回相应货款，并承担相应的违约责任。</w:t>
      </w:r>
    </w:p>
    <w:p>
      <w:pPr>
        <w:ind w:firstLine="420"/>
        <w:jc w:val="both"/>
      </w:pPr>
      <w:r>
        <w:rPr>
          <w:sz w:val="21"/>
        </w:rPr>
        <w:t>2.</w:t>
      </w:r>
      <w:r>
        <w:rPr>
          <w:sz w:val="21"/>
        </w:rPr>
        <w:t>对甲方的服务通知，乙方在接报后12小时内到达现场处理。若在</w:t>
      </w:r>
      <w:r>
        <w:rPr>
          <w:sz w:val="21"/>
          <w:u w:val="single"/>
        </w:rPr>
        <w:t xml:space="preserve">  </w:t>
      </w:r>
      <w:r>
        <w:rPr>
          <w:sz w:val="21"/>
        </w:rPr>
        <w:t>48小时内仍未能有效解决，乙方应免费提供主要参数不低于原设备的替代设备并保证其正常运行。</w:t>
      </w:r>
    </w:p>
    <w:p>
      <w:pPr>
        <w:ind w:firstLine="420"/>
        <w:jc w:val="both"/>
      </w:pPr>
      <w:r>
        <w:rPr>
          <w:sz w:val="21"/>
        </w:rPr>
        <w:t>3.</w:t>
      </w:r>
      <w:r>
        <w:rPr>
          <w:sz w:val="21"/>
        </w:rPr>
        <w:t>免费保修期满后，如有零部件出现故障，且属于寿命异常问题（明显短于该零部件正常寿命）的，由乙方负责免费更换及维修。</w:t>
      </w:r>
    </w:p>
    <w:p>
      <w:pPr>
        <w:ind w:firstLine="420"/>
        <w:jc w:val="both"/>
      </w:pPr>
      <w:r>
        <w:rPr>
          <w:sz w:val="21"/>
        </w:rPr>
        <w:t>4.</w:t>
      </w:r>
      <w:r>
        <w:rPr>
          <w:sz w:val="21"/>
        </w:rPr>
        <w:t>免费保修期满后，设备物资维修服务及配件费用享受市价的八折优惠。</w:t>
      </w:r>
    </w:p>
    <w:p>
      <w:pPr>
        <w:ind w:firstLine="422"/>
        <w:jc w:val="both"/>
      </w:pPr>
      <w:r>
        <w:rPr>
          <w:b/>
          <w:sz w:val="21"/>
        </w:rPr>
        <w:t>六、风险承担和不可抗力</w:t>
      </w:r>
    </w:p>
    <w:p>
      <w:pPr>
        <w:ind w:firstLine="420"/>
        <w:jc w:val="both"/>
      </w:pPr>
      <w:r>
        <w:rPr>
          <w:sz w:val="21"/>
        </w:rPr>
        <w:t>1.</w:t>
      </w:r>
      <w:r>
        <w:rPr>
          <w:sz w:val="21"/>
        </w:rPr>
        <w:t>设备物资毁损、灭失的风险与后果，在设备物资经甲方验收合格以前由乙方承担，在设备物资经甲方验收合格以后由甲方承担。</w:t>
      </w:r>
    </w:p>
    <w:p>
      <w:pPr>
        <w:ind w:firstLine="420"/>
        <w:jc w:val="both"/>
      </w:pPr>
      <w:r>
        <w:rPr>
          <w:sz w:val="21"/>
        </w:rPr>
        <w:t>2.</w:t>
      </w:r>
      <w:r>
        <w:rPr>
          <w:sz w:val="21"/>
        </w:rPr>
        <w:t>甲方因设备物资质量不符合约定而拒绝接受设备物资或解除合同的，设备物资毁损、灭失的风险与后果由乙方承担。</w:t>
      </w:r>
    </w:p>
    <w:p>
      <w:pPr>
        <w:ind w:firstLine="420"/>
        <w:jc w:val="left"/>
      </w:pPr>
      <w:r>
        <w:rPr>
          <w:sz w:val="21"/>
        </w:rPr>
        <w:t>3.</w:t>
      </w:r>
      <w:r>
        <w:rPr>
          <w:sz w:val="21"/>
        </w:rPr>
        <w:t>由乙方承担设备物资毁损、灭失风险的，如设备物资毁损或灭失的，乙方应于7日内重新提供符合合同规定的设备物资，否则，视为乙方逾期交货。</w:t>
      </w:r>
    </w:p>
    <w:p>
      <w:pPr>
        <w:ind w:firstLine="420"/>
        <w:jc w:val="left"/>
      </w:pPr>
      <w:r>
        <w:rPr>
          <w:sz w:val="21"/>
        </w:rPr>
        <w:t>4.</w:t>
      </w:r>
      <w:r>
        <w:rPr>
          <w:sz w:val="21"/>
        </w:rPr>
        <w:t>设备物资毁损、灭失的风险由甲方承担的，不影响因乙方履行其他合同义务不符合约定的，甲方要求其承担违约责任的权利。</w:t>
      </w:r>
    </w:p>
    <w:p>
      <w:pPr>
        <w:ind w:firstLine="420"/>
        <w:jc w:val="both"/>
      </w:pPr>
      <w:r>
        <w:rPr>
          <w:sz w:val="21"/>
        </w:rPr>
        <w:t>5.</w:t>
      </w:r>
      <w:r>
        <w:rPr>
          <w:sz w:val="21"/>
        </w:rPr>
        <w:t>不可抗力：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ind w:firstLine="422"/>
        <w:jc w:val="both"/>
      </w:pPr>
      <w:r>
        <w:rPr>
          <w:b/>
          <w:sz w:val="21"/>
        </w:rPr>
        <w:t>七、知识产权和保密责任</w:t>
      </w:r>
    </w:p>
    <w:p>
      <w:pPr>
        <w:ind w:firstLine="420"/>
        <w:jc w:val="both"/>
      </w:pPr>
      <w:r>
        <w:rPr>
          <w:sz w:val="21"/>
        </w:rPr>
        <w:t>1.</w:t>
      </w:r>
      <w:r>
        <w:rPr>
          <w:sz w:val="21"/>
        </w:rPr>
        <w:t>乙方保证其交付的设备物资无任何专利权、著作权、商标权及其他知识产权方面的限制，不侵犯任何专利、商标、企业或贸易名称、版权、肖像权、技术秘密、商业秘密或其他任何权益。</w:t>
      </w:r>
    </w:p>
    <w:p>
      <w:pPr>
        <w:ind w:firstLine="420"/>
        <w:jc w:val="both"/>
      </w:pPr>
      <w:r>
        <w:rPr>
          <w:sz w:val="21"/>
        </w:rPr>
        <w:t>2.</w:t>
      </w:r>
      <w:r>
        <w:rPr>
          <w:sz w:val="21"/>
        </w:rPr>
        <w:t>甲方使用该设备物资或设备物资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ind w:firstLine="420"/>
        <w:jc w:val="both"/>
      </w:pPr>
      <w:r>
        <w:rPr>
          <w:sz w:val="21"/>
        </w:rPr>
        <w:t>3.</w:t>
      </w:r>
      <w:r>
        <w:rPr>
          <w:sz w:val="21"/>
        </w:rPr>
        <w:t>乙方为执行本合同而提供的技术资料、软件的使用权归甲方所有。</w:t>
      </w:r>
    </w:p>
    <w:p>
      <w:pPr>
        <w:ind w:firstLine="420"/>
        <w:jc w:val="both"/>
      </w:pPr>
      <w:r>
        <w:rPr>
          <w:sz w:val="21"/>
        </w:rPr>
        <w:t>4.</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ind w:firstLine="422"/>
        <w:jc w:val="both"/>
      </w:pPr>
      <w:r>
        <w:rPr>
          <w:b/>
          <w:sz w:val="21"/>
        </w:rPr>
        <w:t>八、违约责任</w:t>
      </w:r>
    </w:p>
    <w:p>
      <w:pPr>
        <w:ind w:firstLine="420"/>
        <w:jc w:val="left"/>
      </w:pPr>
      <w:r>
        <w:rPr>
          <w:sz w:val="21"/>
        </w:rPr>
        <w:t>1.</w:t>
      </w:r>
      <w:r>
        <w:rPr>
          <w:sz w:val="21"/>
        </w:rPr>
        <w:t>甲方逾期支付货款，经乙方催告后无正当理由仍不支付的，自催告后每逾期一日，</w:t>
      </w:r>
      <w:r>
        <w:rPr>
          <w:sz w:val="21"/>
        </w:rPr>
        <w:t>应按逾期付款金额每日</w:t>
      </w:r>
      <w:r>
        <w:rPr>
          <w:sz w:val="21"/>
        </w:rPr>
        <w:t>5</w:t>
      </w:r>
      <w:r>
        <w:rPr>
          <w:sz w:val="21"/>
        </w:rPr>
        <w:t>‰</w:t>
      </w:r>
      <w:r>
        <w:rPr>
          <w:sz w:val="21"/>
        </w:rPr>
        <w:t>向乙方支付违约金。</w:t>
      </w:r>
    </w:p>
    <w:p>
      <w:pPr>
        <w:ind w:firstLine="420"/>
        <w:jc w:val="left"/>
      </w:pPr>
      <w:r>
        <w:rPr>
          <w:sz w:val="21"/>
        </w:rPr>
        <w:t>2.</w:t>
      </w:r>
      <w:r>
        <w:rPr>
          <w:sz w:val="21"/>
        </w:rPr>
        <w:t>验收不合格，且乙方不重新提供设备物资的，</w:t>
      </w:r>
      <w:r>
        <w:rPr>
          <w:sz w:val="21"/>
        </w:rPr>
        <w:t>乙方需向甲方支付合同总金额5%的违约金。如甲方同意更换的，乙方应于5日内重新提供符合合同约定的货物，乙方在征得甲方同意的时间内未能调换的，按逾期交货处理，逾期时点自最初约定的交付日期起计。</w:t>
      </w:r>
    </w:p>
    <w:p>
      <w:pPr>
        <w:ind w:firstLine="420"/>
        <w:jc w:val="left"/>
      </w:pPr>
      <w:r>
        <w:rPr>
          <w:sz w:val="21"/>
        </w:rPr>
        <w:t>3.</w:t>
      </w:r>
      <w:r>
        <w:rPr>
          <w:sz w:val="21"/>
        </w:rPr>
        <w:t>乙方逾期交付设备物资的，则每逾期一天，按合同总额的5‰向甲方支付违约金，甲方有权直接从应付给乙方的合同款项中扣除该违约金；甲方有权要求乙方继续向甲方交付直至符合要求。</w:t>
      </w:r>
    </w:p>
    <w:p>
      <w:pPr>
        <w:ind w:firstLine="420"/>
        <w:jc w:val="both"/>
      </w:pPr>
      <w:r>
        <w:rPr>
          <w:sz w:val="21"/>
        </w:rPr>
        <w:t>4.</w:t>
      </w:r>
      <w:r>
        <w:rPr>
          <w:sz w:val="21"/>
        </w:rPr>
        <w:t>若乙方未按本合同的约定提供保修服务，甲方有权自行委托第三方提供甲方所需要的技术支持和售后服务，由此造成的包括但不限于第三方维保费用、甲方其他经济损失等均由乙方承担赔偿。</w:t>
      </w:r>
    </w:p>
    <w:p>
      <w:pPr>
        <w:ind w:firstLine="420"/>
        <w:jc w:val="both"/>
      </w:pPr>
      <w:r>
        <w:rPr>
          <w:sz w:val="21"/>
        </w:rPr>
        <w:t>5.</w:t>
      </w:r>
      <w:r>
        <w:rPr>
          <w:sz w:val="21"/>
        </w:rPr>
        <w:t>有以下情形之一的，甲方有权解除合同，乙方需退还甲方已支付的所有款项，并按合同总金额的10%向甲方支付违约金，违约金不足以弥补甲方损失的，乙方应另行赔偿，具体情形如下：</w:t>
      </w:r>
    </w:p>
    <w:p>
      <w:pPr>
        <w:ind w:firstLine="420"/>
        <w:jc w:val="left"/>
      </w:pPr>
      <w:r>
        <w:rPr>
          <w:sz w:val="21"/>
        </w:rPr>
        <w:t>（1）乙方交付设备(物资)存在侵犯他人知识产权、肖像权、技术秘密、商业秘密或其他任何权益的；</w:t>
      </w:r>
    </w:p>
    <w:p>
      <w:pPr>
        <w:ind w:firstLine="420"/>
        <w:jc w:val="left"/>
      </w:pPr>
      <w:r>
        <w:rPr>
          <w:sz w:val="21"/>
        </w:rPr>
        <w:t>（2）乙方履行义务不符合约定，经甲方提出后在合理期限内仍未改正的；</w:t>
      </w:r>
    </w:p>
    <w:p>
      <w:pPr>
        <w:ind w:firstLine="420"/>
        <w:jc w:val="left"/>
      </w:pPr>
      <w:r>
        <w:rPr>
          <w:sz w:val="21"/>
        </w:rPr>
        <w:t>（3）未经甲方书面同意，乙方将本合同项下的权利或义务转让，或将本合同项下服务转包或分包的；</w:t>
      </w:r>
    </w:p>
    <w:p>
      <w:pPr>
        <w:ind w:firstLine="420"/>
        <w:jc w:val="left"/>
      </w:pPr>
      <w:r>
        <w:rPr>
          <w:sz w:val="21"/>
        </w:rPr>
        <w:t>（4）乙方逾期交货超过10日的；</w:t>
      </w:r>
    </w:p>
    <w:p>
      <w:pPr>
        <w:ind w:firstLine="420"/>
        <w:jc w:val="left"/>
      </w:pPr>
      <w:r>
        <w:rPr>
          <w:sz w:val="21"/>
        </w:rPr>
        <w:t>（5 ）法律规定的其他合同解除情形。</w:t>
      </w:r>
    </w:p>
    <w:p>
      <w:pPr>
        <w:ind w:firstLine="420"/>
        <w:jc w:val="both"/>
      </w:pPr>
      <w:r>
        <w:rPr>
          <w:color w:val="000000"/>
          <w:sz w:val="21"/>
        </w:rPr>
        <w:t>6.</w:t>
      </w:r>
      <w:r>
        <w:rPr>
          <w:color w:val="000000"/>
          <w:sz w:val="21"/>
        </w:rPr>
        <w:t>本合同所称之损失包括直接经济损失和合同履行后可以获得的利益及合理的调查费、评估费、公证费、诉讼费、交通费、律师费、保全费等相关法律费用。</w:t>
      </w:r>
    </w:p>
    <w:p>
      <w:pPr>
        <w:ind w:firstLine="422"/>
        <w:jc w:val="both"/>
      </w:pPr>
      <w:r>
        <w:rPr>
          <w:b/>
          <w:sz w:val="21"/>
        </w:rPr>
        <w:t>八、解决争议方法</w:t>
      </w:r>
    </w:p>
    <w:p>
      <w:pPr>
        <w:ind w:firstLine="420"/>
        <w:jc w:val="left"/>
      </w:pPr>
      <w:r>
        <w:rPr>
          <w:sz w:val="21"/>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ind w:firstLine="422"/>
        <w:jc w:val="both"/>
      </w:pPr>
      <w:r>
        <w:rPr>
          <w:b/>
          <w:sz w:val="21"/>
        </w:rPr>
        <w:t>九、其他</w:t>
      </w:r>
    </w:p>
    <w:p>
      <w:pPr>
        <w:ind w:firstLine="420"/>
        <w:jc w:val="both"/>
      </w:pPr>
      <w:r>
        <w:rPr>
          <w:color w:val="000000"/>
          <w:sz w:val="21"/>
        </w:rPr>
        <w:t>1.</w:t>
      </w:r>
      <w:r>
        <w:rPr>
          <w:color w:val="000000"/>
          <w:sz w:val="21"/>
        </w:rPr>
        <w:t>合同的附件及本项目的招投标文件、补充协议均为本合同的组成部份，与合同具有同等效力。</w:t>
      </w:r>
    </w:p>
    <w:p>
      <w:pPr>
        <w:ind w:firstLine="420"/>
        <w:jc w:val="both"/>
      </w:pPr>
      <w:r>
        <w:rPr>
          <w:color w:val="000000"/>
          <w:sz w:val="21"/>
        </w:rPr>
        <w:t>2.</w:t>
      </w:r>
      <w:r>
        <w:rPr>
          <w:color w:val="000000"/>
          <w:sz w:val="21"/>
        </w:rPr>
        <w:t>本合同自签订（甲乙双方授权代表共同签字、盖章）之日起生效，共一式六份，均为正本，具有同等法律效力，乙方一份、甲方五份。</w:t>
      </w:r>
    </w:p>
    <w:p>
      <w:pPr>
        <w:ind w:firstLine="420"/>
        <w:jc w:val="both"/>
      </w:pPr>
      <w:r>
        <w:rPr>
          <w:color w:val="000000"/>
          <w:sz w:val="21"/>
        </w:rPr>
        <w:t>3.</w:t>
      </w:r>
      <w:r>
        <w:rPr>
          <w:color w:val="000000"/>
          <w:sz w:val="21"/>
        </w:rPr>
        <w:t>本合同未尽事宜，由双方协商解决。如需对本合同及其附件作修改或补充，双方应签订补充合同，如补充合同与本合同存在不一致之处，以补充合同为准。</w:t>
      </w:r>
    </w:p>
    <w:p>
      <w:pPr>
        <w:ind w:firstLine="630"/>
        <w:jc w:val="both"/>
      </w:pPr>
      <w:r>
        <w:rPr>
          <w:sz w:val="21"/>
        </w:rPr>
        <w:t>附件：</w:t>
      </w:r>
    </w:p>
    <w:p>
      <w:pPr>
        <w:ind w:firstLine="630"/>
        <w:jc w:val="both"/>
      </w:pPr>
      <w:r>
        <w:rPr>
          <w:sz w:val="21"/>
        </w:rPr>
        <w:t>1.</w:t>
      </w:r>
      <w:r>
        <w:rPr>
          <w:sz w:val="21"/>
        </w:rPr>
        <w:t>设备物资技术参数</w:t>
      </w:r>
    </w:p>
    <w:p>
      <w:pPr>
        <w:ind w:firstLine="630"/>
        <w:jc w:val="both"/>
      </w:pPr>
      <w:r>
        <w:rPr>
          <w:sz w:val="21"/>
        </w:rPr>
        <w:t>2.</w:t>
      </w:r>
      <w:r>
        <w:rPr>
          <w:sz w:val="21"/>
        </w:rPr>
        <w:t>乙方项目负责人授权委托书</w:t>
      </w:r>
    </w:p>
    <w:p>
      <w:pPr>
        <w:ind w:firstLine="630"/>
        <w:jc w:val="both"/>
      </w:pPr>
      <w:r>
        <w:rPr>
          <w:sz w:val="21"/>
        </w:rPr>
        <w:t>3.</w:t>
      </w:r>
      <w:r>
        <w:rPr>
          <w:sz w:val="21"/>
        </w:rPr>
        <w:t>保修承担方承诺函</w:t>
      </w:r>
    </w:p>
    <w:p>
      <w:pPr>
        <w:ind w:firstLine="420"/>
        <w:jc w:val="both"/>
      </w:pPr>
      <w:r>
        <w:rPr>
          <w:sz w:val="21"/>
        </w:rPr>
        <w:t xml:space="preserve">       </w:t>
      </w:r>
    </w:p>
    <w:p>
      <w:pPr>
        <w:jc w:val="both"/>
      </w:pPr>
      <w:r>
        <w:rPr>
          <w:sz w:val="21"/>
        </w:rPr>
        <w:t>甲方（盖章）：广州中医药大学     乙方（盖章）：</w:t>
      </w:r>
    </w:p>
    <w:p>
      <w:pPr>
        <w:ind w:firstLine="420"/>
        <w:jc w:val="both"/>
      </w:pPr>
      <w:r>
        <w:rPr>
          <w:sz w:val="21"/>
        </w:rPr>
        <w:t>法定代表人：                     法定代表人：</w:t>
      </w:r>
    </w:p>
    <w:p>
      <w:pPr>
        <w:ind w:firstLine="420"/>
        <w:jc w:val="both"/>
      </w:pPr>
      <w:r>
        <w:rPr>
          <w:sz w:val="21"/>
        </w:rPr>
        <w:t>委托代理人：                     委托代理人：</w:t>
      </w:r>
    </w:p>
    <w:p>
      <w:pPr>
        <w:ind w:firstLine="420"/>
        <w:jc w:val="both"/>
      </w:pPr>
      <w:r>
        <w:rPr>
          <w:sz w:val="21"/>
        </w:rPr>
        <w:t>联系电话：                       联系电话：</w:t>
      </w:r>
    </w:p>
    <w:p>
      <w:pPr>
        <w:ind w:firstLine="420"/>
        <w:jc w:val="both"/>
      </w:pPr>
      <w:r>
        <w:rPr>
          <w:sz w:val="21"/>
        </w:rPr>
        <w:t>电子邮箱：                       电子邮箱：</w:t>
      </w:r>
    </w:p>
    <w:p>
      <w:pPr>
        <w:ind w:firstLine="420"/>
        <w:jc w:val="both"/>
      </w:pPr>
      <w:r>
        <w:rPr>
          <w:sz w:val="21"/>
        </w:rPr>
        <w:t>日期：    年  月  日             日期：    年  月  日</w:t>
      </w:r>
    </w:p>
    <w:p>
      <w:pPr>
        <w:ind w:firstLine="420"/>
        <w:jc w:val="both"/>
      </w:pPr>
    </w:p>
    <w:p>
      <w:pPr>
        <w:ind w:firstLine="420"/>
        <w:jc w:val="both"/>
      </w:pPr>
    </w:p>
    <w:p/>
    <w:p>
      <w:pPr>
        <w:jc w:val="left"/>
      </w:pPr>
    </w:p>
    <w:p>
      <w:pPr>
        <w:ind w:firstLine="420"/>
        <w:jc w:val="both"/>
      </w:pPr>
      <w:r>
        <w:rPr>
          <w:sz w:val="21"/>
        </w:rPr>
        <w:t>附件1.设备技术参数模版（模版）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678"/>
        <w:gridCol w:w="2119"/>
        <w:gridCol w:w="3390"/>
        <w:gridCol w:w="2119"/>
      </w:tblGrid>
      <w:tr>
        <w:tc>
          <w:tcPr>
            <w:tcW w:type="dxa" w:w="678"/>
            <w:tcBorders>
              <w:top w:val="single" w:color="000000" w:sz="4"/>
              <w:left w:val="single" w:color="000000" w:sz="4"/>
              <w:bottom w:val="single" w:color="000000" w:sz="4"/>
              <w:right w:val="single" w:color="000000" w:sz="4"/>
            </w:tcBorders>
            <w:vAlign w:val="top"/>
          </w:tcPr>
          <w:p>
            <w:pPr>
              <w:ind w:firstLine="420"/>
              <w:jc w:val="both"/>
            </w:pPr>
            <w:r>
              <w:rPr>
                <w:sz w:val="21"/>
              </w:rPr>
              <w:t>序号</w:t>
            </w:r>
          </w:p>
        </w:tc>
        <w:tc>
          <w:tcPr>
            <w:tcW w:type="dxa" w:w="2119"/>
            <w:tcBorders>
              <w:top w:val="single" w:color="000000" w:sz="4"/>
              <w:left w:val="none" w:color="000000" w:sz="4"/>
              <w:bottom w:val="single" w:color="000000" w:sz="4"/>
              <w:right w:val="single" w:color="000000" w:sz="4"/>
            </w:tcBorders>
            <w:vAlign w:val="top"/>
          </w:tcPr>
          <w:p>
            <w:pPr>
              <w:ind w:firstLine="420"/>
              <w:jc w:val="both"/>
            </w:pPr>
            <w:r>
              <w:rPr>
                <w:sz w:val="21"/>
              </w:rPr>
              <w:t>设备名称</w:t>
            </w:r>
          </w:p>
        </w:tc>
        <w:tc>
          <w:tcPr>
            <w:tcW w:type="dxa" w:w="3390"/>
            <w:tcBorders>
              <w:top w:val="single" w:color="000000" w:sz="4"/>
              <w:left w:val="none" w:color="000000" w:sz="4"/>
              <w:bottom w:val="single" w:color="000000" w:sz="4"/>
              <w:right w:val="single" w:color="000000" w:sz="4"/>
            </w:tcBorders>
            <w:vAlign w:val="top"/>
          </w:tcPr>
          <w:p>
            <w:pPr>
              <w:ind w:firstLine="420"/>
              <w:jc w:val="both"/>
            </w:pPr>
            <w:r>
              <w:rPr>
                <w:sz w:val="21"/>
              </w:rPr>
              <w:t>主要技术参数</w:t>
            </w:r>
          </w:p>
        </w:tc>
        <w:tc>
          <w:tcPr>
            <w:tcW w:type="dxa" w:w="2119"/>
            <w:tcBorders>
              <w:top w:val="single" w:color="000000" w:sz="4"/>
              <w:left w:val="none" w:color="000000" w:sz="4"/>
              <w:bottom w:val="single" w:color="000000" w:sz="4"/>
              <w:right w:val="single" w:color="000000" w:sz="4"/>
            </w:tcBorders>
            <w:vAlign w:val="top"/>
          </w:tcPr>
          <w:p>
            <w:pPr>
              <w:ind w:firstLine="420"/>
              <w:jc w:val="both"/>
            </w:pPr>
            <w:r>
              <w:rPr>
                <w:sz w:val="21"/>
              </w:rPr>
              <w:t>配置清单</w:t>
            </w:r>
          </w:p>
        </w:tc>
      </w:tr>
      <w:tr>
        <w:tc>
          <w:tcPr>
            <w:tcW w:type="dxa" w:w="678"/>
            <w:tcBorders>
              <w:top w:val="none" w:color="000000" w:sz="4"/>
              <w:left w:val="singl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c>
          <w:tcPr>
            <w:tcW w:type="dxa" w:w="3390"/>
            <w:tcBorders>
              <w:top w:val="none" w:color="000000" w:sz="4"/>
              <w:left w:val="non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r>
      <w:tr>
        <w:tc>
          <w:tcPr>
            <w:tcW w:type="dxa" w:w="678"/>
            <w:tcBorders>
              <w:top w:val="none" w:color="000000" w:sz="4"/>
              <w:left w:val="singl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c>
          <w:tcPr>
            <w:tcW w:type="dxa" w:w="3390"/>
            <w:tcBorders>
              <w:top w:val="none" w:color="000000" w:sz="4"/>
              <w:left w:val="non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r>
    </w:tbl>
    <w:p>
      <w:pPr>
        <w:ind w:firstLine="422"/>
        <w:jc w:val="both"/>
      </w:pPr>
    </w:p>
    <w:p>
      <w:pPr>
        <w:ind w:firstLine="420"/>
        <w:jc w:val="both"/>
      </w:pPr>
    </w:p>
    <w:p>
      <w:pPr>
        <w:ind w:firstLine="420"/>
        <w:jc w:val="both"/>
      </w:pPr>
    </w:p>
    <w:p>
      <w:pPr>
        <w:ind w:firstLine="420"/>
        <w:jc w:val="both"/>
      </w:pPr>
    </w:p>
    <w:p/>
    <w:p>
      <w:pPr>
        <w:jc w:val="left"/>
      </w:pPr>
    </w:p>
    <w:p>
      <w:pPr>
        <w:ind w:firstLine="420"/>
        <w:jc w:val="both"/>
      </w:pPr>
      <w:r>
        <w:rPr>
          <w:sz w:val="21"/>
        </w:rPr>
        <w:t>附件3.保修承担方承诺函模版（模版）</w:t>
      </w:r>
    </w:p>
    <w:p>
      <w:pPr>
        <w:jc w:val="center"/>
      </w:pPr>
      <w:r>
        <w:rPr>
          <w:sz w:val="21"/>
        </w:rPr>
        <w:t>保修承诺函</w:t>
      </w:r>
    </w:p>
    <w:p>
      <w:pPr>
        <w:ind w:firstLine="420"/>
        <w:jc w:val="both"/>
      </w:pPr>
      <w:r>
        <w:rPr>
          <w:sz w:val="21"/>
        </w:rPr>
        <w:t>广州中医药大学：</w:t>
      </w:r>
    </w:p>
    <w:p>
      <w:pPr>
        <w:ind w:firstLine="420"/>
        <w:jc w:val="both"/>
      </w:pPr>
      <w:r>
        <w:rPr>
          <w:sz w:val="21"/>
        </w:rPr>
        <w:t>根据贵单位</w:t>
      </w:r>
      <w:r>
        <w:rPr>
          <w:sz w:val="21"/>
          <w:u w:val="single"/>
        </w:rPr>
        <w:t xml:space="preserve">                   </w:t>
      </w:r>
      <w:r>
        <w:rPr>
          <w:sz w:val="21"/>
        </w:rPr>
        <w:t>项目（招标编号：</w:t>
      </w:r>
      <w:r>
        <w:rPr>
          <w:sz w:val="21"/>
          <w:u w:val="single"/>
        </w:rPr>
        <w:t xml:space="preserve">                </w:t>
      </w:r>
      <w:r>
        <w:rPr>
          <w:sz w:val="21"/>
        </w:rPr>
        <w:t>）的招标文件及合同约定，由</w:t>
      </w:r>
      <w:r>
        <w:rPr>
          <w:sz w:val="21"/>
          <w:u w:val="single"/>
        </w:rPr>
        <w:t xml:space="preserve">              </w:t>
      </w:r>
      <w:r>
        <w:rPr>
          <w:sz w:val="21"/>
        </w:rPr>
        <w:t>公司、</w:t>
      </w:r>
      <w:r>
        <w:rPr>
          <w:sz w:val="21"/>
          <w:u w:val="single"/>
        </w:rPr>
        <w:t xml:space="preserve">             </w:t>
      </w:r>
      <w:r>
        <w:rPr>
          <w:sz w:val="21"/>
        </w:rPr>
        <w:t>公司对该项目设备的保修做出如下承诺：</w:t>
      </w:r>
    </w:p>
    <w:p>
      <w:pPr>
        <w:ind w:firstLine="420"/>
        <w:jc w:val="both"/>
      </w:pPr>
    </w:p>
    <w:tbl>
      <w:tblPr>
        <w:tblW w:w="0" w:type="auto"/>
        <w:tblBorders>
          <w:top w:val="none" w:color="000000" w:sz="4"/>
          <w:left w:val="none" w:color="000000" w:sz="4"/>
          <w:bottom w:val="none" w:color="000000" w:sz="4"/>
          <w:right w:val="none" w:color="000000" w:sz="4"/>
          <w:insideH w:val="none"/>
          <w:insideV w:val="none"/>
        </w:tblBorders>
      </w:tblPr>
      <w:tblGrid>
        <w:gridCol w:w="606"/>
        <w:gridCol w:w="2076"/>
        <w:gridCol w:w="1211"/>
        <w:gridCol w:w="1211"/>
        <w:gridCol w:w="3201"/>
      </w:tblGrid>
      <w:tr>
        <w:tc>
          <w:tcPr>
            <w:tcW w:type="dxa" w:w="606"/>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076"/>
            <w:tcBorders>
              <w:top w:val="single" w:color="000000" w:sz="4"/>
              <w:left w:val="none" w:color="000000" w:sz="4"/>
              <w:bottom w:val="single" w:color="000000" w:sz="4"/>
              <w:right w:val="single" w:color="000000" w:sz="4"/>
            </w:tcBorders>
            <w:vAlign w:val="top"/>
          </w:tcPr>
          <w:p>
            <w:pPr>
              <w:jc w:val="both"/>
            </w:pPr>
            <w:r>
              <w:rPr>
                <w:sz w:val="21"/>
              </w:rPr>
              <w:t>设备或主要配件名称</w:t>
            </w:r>
          </w:p>
        </w:tc>
        <w:tc>
          <w:tcPr>
            <w:tcW w:type="dxa" w:w="1211"/>
            <w:tcBorders>
              <w:top w:val="single" w:color="000000" w:sz="4"/>
              <w:left w:val="none" w:color="000000" w:sz="4"/>
              <w:bottom w:val="single" w:color="000000" w:sz="4"/>
              <w:right w:val="single" w:color="000000" w:sz="4"/>
            </w:tcBorders>
            <w:vAlign w:val="top"/>
          </w:tcPr>
          <w:p>
            <w:pPr>
              <w:jc w:val="both"/>
            </w:pPr>
            <w:r>
              <w:rPr>
                <w:sz w:val="21"/>
              </w:rPr>
              <w:t>免费保修期</w:t>
            </w:r>
          </w:p>
        </w:tc>
        <w:tc>
          <w:tcPr>
            <w:tcW w:type="dxa" w:w="1211"/>
            <w:tcBorders>
              <w:top w:val="single" w:color="000000" w:sz="4"/>
              <w:left w:val="none" w:color="000000" w:sz="4"/>
              <w:bottom w:val="single" w:color="000000" w:sz="4"/>
              <w:right w:val="single" w:color="000000" w:sz="4"/>
            </w:tcBorders>
            <w:vAlign w:val="top"/>
          </w:tcPr>
          <w:p>
            <w:pPr>
              <w:jc w:val="both"/>
            </w:pPr>
            <w:r>
              <w:rPr>
                <w:sz w:val="21"/>
              </w:rPr>
              <w:t>市场价格</w:t>
            </w:r>
          </w:p>
        </w:tc>
        <w:tc>
          <w:tcPr>
            <w:tcW w:type="dxa" w:w="3201"/>
            <w:tcBorders>
              <w:top w:val="single" w:color="000000" w:sz="4"/>
              <w:left w:val="none" w:color="000000" w:sz="4"/>
              <w:bottom w:val="single" w:color="000000" w:sz="4"/>
              <w:right w:val="single" w:color="000000" w:sz="4"/>
            </w:tcBorders>
            <w:vAlign w:val="top"/>
          </w:tcPr>
          <w:p>
            <w:pPr>
              <w:jc w:val="both"/>
            </w:pPr>
            <w:r>
              <w:rPr>
                <w:sz w:val="21"/>
              </w:rPr>
              <w:t>售后网点及电话</w:t>
            </w: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bl>
    <w:p>
      <w:pPr>
        <w:ind w:firstLine="420"/>
        <w:jc w:val="both"/>
      </w:pPr>
    </w:p>
    <w:p>
      <w:pPr>
        <w:ind w:firstLine="420"/>
        <w:jc w:val="both"/>
      </w:pPr>
      <w:r>
        <w:rPr>
          <w:sz w:val="21"/>
        </w:rPr>
        <w:t xml:space="preserve">                       </w:t>
      </w:r>
      <w:r>
        <w:rPr>
          <w:sz w:val="21"/>
        </w:rPr>
        <w:t>保修承担方</w:t>
      </w:r>
      <w:r>
        <w:rPr>
          <w:sz w:val="21"/>
        </w:rPr>
        <w:t>：（盖章）</w:t>
      </w:r>
    </w:p>
    <w:p>
      <w:pPr>
        <w:ind w:firstLine="420"/>
        <w:jc w:val="both"/>
      </w:pPr>
      <w:r>
        <w:rPr>
          <w:sz w:val="21"/>
        </w:rPr>
        <w:t xml:space="preserve">                       </w:t>
      </w:r>
      <w:r>
        <w:rPr>
          <w:sz w:val="21"/>
        </w:rPr>
        <w:t>乙  方：（盖章）</w:t>
      </w:r>
    </w:p>
    <w:p>
      <w:pPr>
        <w:ind w:firstLine="420"/>
        <w:jc w:val="both"/>
      </w:pPr>
      <w:r>
        <w:rPr>
          <w:sz w:val="21"/>
        </w:rPr>
        <w:t xml:space="preserve">                       </w:t>
      </w:r>
      <w:r>
        <w:rPr>
          <w:sz w:val="21"/>
        </w:rPr>
        <w:t>日  期：</w:t>
      </w:r>
    </w:p>
    <w:p>
      <w:pPr>
        <w:ind w:firstLine="420"/>
        <w:jc w:val="both"/>
      </w:pPr>
      <w:r>
        <w:rPr>
          <w:sz w:val="21"/>
        </w:rPr>
        <w:t xml:space="preserve">                       </w:t>
      </w:r>
    </w:p>
    <w:p>
      <w:pPr>
        <w:jc w:val="both"/>
      </w:pPr>
      <w:r>
        <w:rPr>
          <w:sz w:val="21"/>
        </w:rPr>
        <w:t xml:space="preserve">            </w:t>
      </w:r>
    </w:p>
    <w:p>
      <w:pPr>
        <w:ind w:firstLine="420"/>
        <w:jc w:val="both"/>
      </w:pPr>
    </w:p>
    <w:p>
      <w:pPr>
        <w:jc w:val="both"/>
      </w:pPr>
      <w:r>
        <w:rPr>
          <w:sz w:val="21"/>
        </w:rPr>
        <w:t xml:space="preserve">            </w:t>
      </w:r>
    </w:p>
    <w:p/>
    <w:p>
      <w:pPr>
        <w:jc w:val="left"/>
      </w:pPr>
    </w:p>
    <w:p>
      <w:pPr>
        <w:ind w:firstLine="420"/>
        <w:jc w:val="center"/>
      </w:pPr>
      <w:r>
        <w:rPr>
          <w:sz w:val="21"/>
        </w:rPr>
        <w:t>进口设备采购合同</w:t>
      </w:r>
    </w:p>
    <w:p>
      <w:pPr>
        <w:ind w:firstLine="420"/>
        <w:jc w:val="both"/>
      </w:pPr>
    </w:p>
    <w:p>
      <w:pPr>
        <w:jc w:val="both"/>
      </w:pPr>
      <w:r>
        <w:rPr>
          <w:sz w:val="21"/>
        </w:rPr>
        <w:t xml:space="preserve">甲方（买方）：广州中医药大学            签约地点：广州中医药大学         </w:t>
      </w:r>
    </w:p>
    <w:p>
      <w:pPr>
        <w:jc w:val="both"/>
      </w:pPr>
      <w:r>
        <w:rPr>
          <w:sz w:val="21"/>
        </w:rPr>
        <w:t>住所：广州市机场路12号大院</w:t>
      </w:r>
    </w:p>
    <w:p>
      <w:pPr>
        <w:jc w:val="both"/>
      </w:pPr>
      <w:r>
        <w:rPr>
          <w:sz w:val="21"/>
        </w:rPr>
        <w:t xml:space="preserve">乙方（卖方）：                        </w:t>
      </w:r>
    </w:p>
    <w:p>
      <w:pPr>
        <w:jc w:val="both"/>
      </w:pPr>
      <w:r>
        <w:rPr>
          <w:sz w:val="21"/>
        </w:rPr>
        <w:t>住所：</w:t>
      </w:r>
    </w:p>
    <w:p>
      <w:pPr>
        <w:ind w:firstLine="420"/>
        <w:jc w:val="both"/>
      </w:pPr>
    </w:p>
    <w:p>
      <w:pPr>
        <w:ind w:firstLine="420"/>
        <w:jc w:val="both"/>
      </w:pPr>
      <w:r>
        <w:rPr>
          <w:sz w:val="21"/>
        </w:rPr>
        <w:t>根据《中华人民共和国民法典》及</w:t>
      </w:r>
      <w:r>
        <w:rPr>
          <w:sz w:val="21"/>
          <w:u w:val="single"/>
        </w:rPr>
        <w:t xml:space="preserve">                   </w:t>
      </w:r>
      <w:r>
        <w:rPr>
          <w:sz w:val="21"/>
        </w:rPr>
        <w:t>项目（招标编号：</w:t>
      </w:r>
      <w:r>
        <w:rPr>
          <w:sz w:val="21"/>
          <w:u w:val="single"/>
        </w:rPr>
        <w:t xml:space="preserve">                </w:t>
      </w:r>
      <w:r>
        <w:rPr>
          <w:sz w:val="21"/>
        </w:rPr>
        <w:t>）的成交结果，甲乙双方在平等自愿的基础上，经协商一致，签订本合同。</w:t>
      </w:r>
    </w:p>
    <w:p>
      <w:pPr>
        <w:ind w:firstLine="422"/>
        <w:jc w:val="both"/>
      </w:pPr>
      <w:r>
        <w:rPr>
          <w:b/>
          <w:sz w:val="21"/>
        </w:rPr>
        <w:t>一、标的</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06"/>
        <w:gridCol w:w="1903"/>
        <w:gridCol w:w="2163"/>
        <w:gridCol w:w="606"/>
        <w:gridCol w:w="692"/>
        <w:gridCol w:w="1211"/>
        <w:gridCol w:w="1125"/>
      </w:tblGrid>
      <w:tr>
        <w:tc>
          <w:tcPr>
            <w:tcW w:type="dxa" w:w="606"/>
            <w:tcBorders>
              <w:top w:val="single" w:color="000000" w:sz="4"/>
              <w:left w:val="single" w:color="000000" w:sz="4"/>
              <w:bottom w:val="single" w:color="000000" w:sz="4"/>
              <w:right w:val="single" w:color="000000" w:sz="4"/>
            </w:tcBorders>
          </w:tcPr>
          <w:p>
            <w:pPr>
              <w:jc w:val="center"/>
            </w:pPr>
            <w:r>
              <w:rPr>
                <w:sz w:val="21"/>
              </w:rPr>
              <w:t>序号</w:t>
            </w:r>
          </w:p>
        </w:tc>
        <w:tc>
          <w:tcPr>
            <w:tcW w:type="dxa" w:w="1903"/>
            <w:tcBorders>
              <w:top w:val="single" w:color="000000" w:sz="4"/>
              <w:left w:val="none" w:color="000000" w:sz="4"/>
              <w:bottom w:val="single" w:color="000000" w:sz="4"/>
              <w:right w:val="single" w:color="000000" w:sz="4"/>
            </w:tcBorders>
          </w:tcPr>
          <w:p>
            <w:pPr>
              <w:jc w:val="center"/>
            </w:pPr>
            <w:r>
              <w:rPr>
                <w:sz w:val="21"/>
              </w:rPr>
              <w:t>设备名称</w:t>
            </w:r>
          </w:p>
        </w:tc>
        <w:tc>
          <w:tcPr>
            <w:tcW w:type="dxa" w:w="2163"/>
            <w:tcBorders>
              <w:top w:val="single" w:color="000000" w:sz="4"/>
              <w:left w:val="none" w:color="000000" w:sz="4"/>
              <w:bottom w:val="single" w:color="000000" w:sz="4"/>
              <w:right w:val="single" w:color="000000" w:sz="4"/>
            </w:tcBorders>
          </w:tcPr>
          <w:p>
            <w:pPr>
              <w:jc w:val="center"/>
            </w:pPr>
            <w:r>
              <w:rPr>
                <w:sz w:val="21"/>
              </w:rPr>
              <w:t>品牌/型号/规格</w:t>
            </w:r>
          </w:p>
        </w:tc>
        <w:tc>
          <w:tcPr>
            <w:tcW w:type="dxa" w:w="606"/>
            <w:tcBorders>
              <w:top w:val="single" w:color="000000" w:sz="4"/>
              <w:left w:val="none" w:color="000000" w:sz="4"/>
              <w:bottom w:val="single" w:color="000000" w:sz="4"/>
              <w:right w:val="single" w:color="000000" w:sz="4"/>
            </w:tcBorders>
          </w:tcPr>
          <w:p>
            <w:pPr>
              <w:jc w:val="center"/>
            </w:pPr>
            <w:r>
              <w:rPr>
                <w:sz w:val="21"/>
              </w:rPr>
              <w:t>单位</w:t>
            </w:r>
          </w:p>
        </w:tc>
        <w:tc>
          <w:tcPr>
            <w:tcW w:type="dxa" w:w="692"/>
            <w:tcBorders>
              <w:top w:val="single" w:color="000000" w:sz="4"/>
              <w:left w:val="none" w:color="000000" w:sz="4"/>
              <w:bottom w:val="single" w:color="000000" w:sz="4"/>
              <w:right w:val="single" w:color="000000" w:sz="4"/>
            </w:tcBorders>
          </w:tcPr>
          <w:p>
            <w:pPr>
              <w:jc w:val="center"/>
            </w:pPr>
            <w:r>
              <w:rPr>
                <w:sz w:val="21"/>
              </w:rPr>
              <w:t>数量</w:t>
            </w:r>
          </w:p>
        </w:tc>
        <w:tc>
          <w:tcPr>
            <w:tcW w:type="dxa" w:w="1211"/>
            <w:tcBorders>
              <w:top w:val="single" w:color="000000" w:sz="4"/>
              <w:left w:val="none" w:color="000000" w:sz="4"/>
              <w:bottom w:val="single" w:color="000000" w:sz="4"/>
              <w:right w:val="single" w:color="000000" w:sz="4"/>
            </w:tcBorders>
          </w:tcPr>
          <w:p>
            <w:pPr>
              <w:jc w:val="center"/>
            </w:pPr>
            <w:r>
              <w:rPr>
                <w:sz w:val="21"/>
              </w:rPr>
              <w:t>单价（元）</w:t>
            </w:r>
          </w:p>
        </w:tc>
        <w:tc>
          <w:tcPr>
            <w:tcW w:type="dxa" w:w="1125"/>
            <w:tcBorders>
              <w:top w:val="single" w:color="000000" w:sz="4"/>
              <w:left w:val="none" w:color="000000" w:sz="4"/>
              <w:bottom w:val="single" w:color="000000" w:sz="4"/>
              <w:right w:val="single" w:color="000000" w:sz="4"/>
            </w:tcBorders>
          </w:tcPr>
          <w:p>
            <w:pPr>
              <w:jc w:val="center"/>
            </w:pPr>
            <w:r>
              <w:rPr>
                <w:sz w:val="21"/>
              </w:rPr>
              <w:t>总价（元）</w:t>
            </w:r>
          </w:p>
        </w:tc>
      </w:tr>
      <w:tr>
        <w:tc>
          <w:tcPr>
            <w:tcW w:type="dxa" w:w="606"/>
            <w:tcBorders>
              <w:top w:val="none" w:color="000000" w:sz="4"/>
              <w:left w:val="single" w:color="000000" w:sz="4"/>
              <w:bottom w:val="single" w:color="000000" w:sz="4"/>
              <w:right w:val="single" w:color="000000" w:sz="4"/>
            </w:tcBorders>
          </w:tcPr>
          <w:p>
            <w:pPr>
              <w:jc w:val="center"/>
            </w:pPr>
            <w:r>
              <w:rPr>
                <w:sz w:val="21"/>
              </w:rPr>
              <w:t>1</w:t>
            </w:r>
          </w:p>
        </w:tc>
        <w:tc>
          <w:tcPr>
            <w:tcW w:type="dxa" w:w="1903"/>
            <w:tcBorders>
              <w:top w:val="none" w:color="000000" w:sz="4"/>
              <w:left w:val="none" w:color="000000" w:sz="4"/>
              <w:bottom w:val="single" w:color="000000" w:sz="4"/>
              <w:right w:val="single" w:color="000000" w:sz="4"/>
            </w:tcBorders>
            <w:vAlign w:val="top"/>
          </w:tcPr>
          <w:p>
            <w:pPr>
              <w:jc w:val="both"/>
            </w:pPr>
          </w:p>
        </w:tc>
        <w:tc>
          <w:tcPr>
            <w:tcW w:type="dxa" w:w="2163"/>
            <w:tcBorders>
              <w:top w:val="none" w:color="000000" w:sz="4"/>
              <w:left w:val="none" w:color="000000" w:sz="4"/>
              <w:bottom w:val="single" w:color="000000" w:sz="4"/>
              <w:right w:val="single" w:color="000000" w:sz="4"/>
            </w:tcBorders>
            <w:vAlign w:val="top"/>
          </w:tcPr>
          <w:p>
            <w:pPr>
              <w:jc w:val="both"/>
            </w:pPr>
          </w:p>
        </w:tc>
        <w:tc>
          <w:tcPr>
            <w:tcW w:type="dxa" w:w="606"/>
            <w:tcBorders>
              <w:top w:val="none" w:color="000000" w:sz="4"/>
              <w:left w:val="none" w:color="000000" w:sz="4"/>
              <w:bottom w:val="single" w:color="000000" w:sz="4"/>
              <w:right w:val="single" w:color="000000" w:sz="4"/>
            </w:tcBorders>
            <w:vAlign w:val="top"/>
          </w:tcPr>
          <w:p>
            <w:pPr>
              <w:jc w:val="both"/>
            </w:pPr>
          </w:p>
        </w:tc>
        <w:tc>
          <w:tcPr>
            <w:tcW w:type="dxa" w:w="692"/>
            <w:tcBorders>
              <w:top w:val="none" w:color="000000" w:sz="4"/>
              <w:left w:val="none" w:color="000000" w:sz="4"/>
              <w:bottom w:val="single" w:color="000000" w:sz="4"/>
              <w:right w:val="single" w:color="000000" w:sz="4"/>
            </w:tcBorders>
            <w:vAlign w:val="top"/>
          </w:tcPr>
          <w:p>
            <w:pPr>
              <w:jc w:val="both"/>
            </w:pPr>
          </w:p>
        </w:tc>
        <w:tc>
          <w:tcPr>
            <w:tcW w:type="dxa" w:w="1211"/>
            <w:tcBorders>
              <w:top w:val="none" w:color="000000" w:sz="4"/>
              <w:left w:val="none" w:color="000000" w:sz="4"/>
              <w:bottom w:val="single" w:color="000000" w:sz="4"/>
              <w:right w:val="single" w:color="000000" w:sz="4"/>
            </w:tcBorders>
            <w:vAlign w:val="top"/>
          </w:tcPr>
          <w:p>
            <w:pPr>
              <w:jc w:val="both"/>
            </w:pPr>
          </w:p>
        </w:tc>
        <w:tc>
          <w:tcPr>
            <w:tcW w:type="dxa" w:w="1125"/>
            <w:tcBorders>
              <w:top w:val="none" w:color="000000" w:sz="4"/>
              <w:left w:val="none" w:color="000000" w:sz="4"/>
              <w:bottom w:val="single" w:color="000000" w:sz="4"/>
              <w:right w:val="single" w:color="000000" w:sz="4"/>
            </w:tcBorders>
            <w:vAlign w:val="top"/>
          </w:tcPr>
          <w:p>
            <w:pPr>
              <w:jc w:val="both"/>
            </w:pPr>
          </w:p>
        </w:tc>
      </w:tr>
      <w:tr>
        <w:tc>
          <w:tcPr>
            <w:tcW w:type="dxa" w:w="606"/>
            <w:tcBorders>
              <w:top w:val="none" w:color="000000" w:sz="4"/>
              <w:left w:val="single" w:color="000000" w:sz="4"/>
              <w:bottom w:val="single" w:color="000000" w:sz="4"/>
              <w:right w:val="single" w:color="000000" w:sz="4"/>
            </w:tcBorders>
            <w:vAlign w:val="top"/>
          </w:tcPr>
          <w:p>
            <w:pPr>
              <w:jc w:val="both"/>
            </w:pPr>
          </w:p>
        </w:tc>
        <w:tc>
          <w:tcPr>
            <w:tcW w:type="dxa" w:w="1903"/>
            <w:tcBorders>
              <w:top w:val="none" w:color="000000" w:sz="4"/>
              <w:left w:val="none" w:color="000000" w:sz="4"/>
              <w:bottom w:val="single" w:color="000000" w:sz="4"/>
              <w:right w:val="single" w:color="000000" w:sz="4"/>
            </w:tcBorders>
            <w:vAlign w:val="top"/>
          </w:tcPr>
          <w:p>
            <w:pPr>
              <w:jc w:val="both"/>
            </w:pPr>
          </w:p>
        </w:tc>
        <w:tc>
          <w:tcPr>
            <w:tcW w:type="dxa" w:w="2163"/>
            <w:tcBorders>
              <w:top w:val="none" w:color="000000" w:sz="4"/>
              <w:left w:val="none" w:color="000000" w:sz="4"/>
              <w:bottom w:val="single" w:color="000000" w:sz="4"/>
              <w:right w:val="single" w:color="000000" w:sz="4"/>
            </w:tcBorders>
            <w:vAlign w:val="top"/>
          </w:tcPr>
          <w:p>
            <w:pPr>
              <w:jc w:val="both"/>
            </w:pPr>
          </w:p>
        </w:tc>
        <w:tc>
          <w:tcPr>
            <w:tcW w:type="dxa" w:w="606"/>
            <w:tcBorders>
              <w:top w:val="none" w:color="000000" w:sz="4"/>
              <w:left w:val="none" w:color="000000" w:sz="4"/>
              <w:bottom w:val="single" w:color="000000" w:sz="4"/>
              <w:right w:val="single" w:color="000000" w:sz="4"/>
            </w:tcBorders>
            <w:vAlign w:val="top"/>
          </w:tcPr>
          <w:p>
            <w:pPr>
              <w:jc w:val="both"/>
            </w:pPr>
          </w:p>
        </w:tc>
        <w:tc>
          <w:tcPr>
            <w:tcW w:type="dxa" w:w="692"/>
            <w:tcBorders>
              <w:top w:val="none" w:color="000000" w:sz="4"/>
              <w:left w:val="none" w:color="000000" w:sz="4"/>
              <w:bottom w:val="single" w:color="000000" w:sz="4"/>
              <w:right w:val="single" w:color="000000" w:sz="4"/>
            </w:tcBorders>
            <w:vAlign w:val="top"/>
          </w:tcPr>
          <w:p>
            <w:pPr>
              <w:jc w:val="both"/>
            </w:pPr>
          </w:p>
        </w:tc>
        <w:tc>
          <w:tcPr>
            <w:tcW w:type="dxa" w:w="1211"/>
            <w:tcBorders>
              <w:top w:val="none" w:color="000000" w:sz="4"/>
              <w:left w:val="none" w:color="000000" w:sz="4"/>
              <w:bottom w:val="single" w:color="000000" w:sz="4"/>
              <w:right w:val="single" w:color="000000" w:sz="4"/>
            </w:tcBorders>
            <w:vAlign w:val="top"/>
          </w:tcPr>
          <w:p>
            <w:pPr>
              <w:jc w:val="both"/>
            </w:pPr>
          </w:p>
        </w:tc>
        <w:tc>
          <w:tcPr>
            <w:tcW w:type="dxa" w:w="1125"/>
            <w:tcBorders>
              <w:top w:val="none" w:color="000000" w:sz="4"/>
              <w:left w:val="none" w:color="000000" w:sz="4"/>
              <w:bottom w:val="single" w:color="000000" w:sz="4"/>
              <w:right w:val="single" w:color="000000" w:sz="4"/>
            </w:tcBorders>
            <w:vAlign w:val="top"/>
          </w:tcPr>
          <w:p>
            <w:pPr>
              <w:jc w:val="both"/>
            </w:pPr>
          </w:p>
        </w:tc>
      </w:tr>
      <w:tr>
        <w:tc>
          <w:tcPr>
            <w:tcW w:type="dxa" w:w="8306"/>
            <w:gridSpan w:val="7"/>
            <w:tcBorders>
              <w:top w:val="none" w:color="000000" w:sz="4"/>
              <w:left w:val="single" w:color="000000" w:sz="4"/>
              <w:bottom w:val="single" w:color="000000" w:sz="4"/>
              <w:right w:val="single" w:color="000000" w:sz="4"/>
            </w:tcBorders>
          </w:tcPr>
          <w:p>
            <w:pPr>
              <w:jc w:val="center"/>
            </w:pPr>
            <w:r>
              <w:rPr>
                <w:b/>
                <w:sz w:val="21"/>
              </w:rPr>
              <w:t xml:space="preserve">总金额（人民币）：   </w:t>
            </w:r>
            <w:r>
              <w:rPr>
                <w:sz w:val="21"/>
              </w:rPr>
              <w:t>万   仟   佰   拾   元   角   分（¥          ）</w:t>
            </w:r>
          </w:p>
        </w:tc>
      </w:tr>
    </w:tbl>
    <w:p>
      <w:pPr>
        <w:ind w:firstLine="420"/>
        <w:jc w:val="both"/>
      </w:pPr>
      <w:r>
        <w:rPr>
          <w:sz w:val="21"/>
        </w:rPr>
        <w:t>1.</w:t>
      </w:r>
      <w:r>
        <w:rPr>
          <w:sz w:val="21"/>
        </w:rPr>
        <w:t>上述合同价款为包干总价，该包干总价为乙方按照合同约定完成合同全部义务后所适用的总价格，包括但不限于购买设备的费用、外贸代理所需费用、运输费、保险费、装卸费、配套资料费、安装调试费用、</w:t>
      </w:r>
      <w:r>
        <w:rPr>
          <w:sz w:val="21"/>
        </w:rPr>
        <w:t>验收时的试剂耗材、强制性第三方监督检验机构的验收检验费、培训费用以及售后服务费用等；汇率或政策变化导致的风险与费用由乙方承担。除本合同明确约定的费用外，甲方无需支付任何额外费用和承担任何额外义务。上述合同价款等各项内容在本合同履行过程中保持不变，经甲乙双方协商一致以书面形式予以变更的除外。</w:t>
      </w:r>
    </w:p>
    <w:p>
      <w:pPr>
        <w:ind w:firstLine="420"/>
        <w:jc w:val="both"/>
      </w:pPr>
      <w:r>
        <w:rPr>
          <w:sz w:val="21"/>
        </w:rPr>
        <w:t>2.</w:t>
      </w:r>
      <w:r>
        <w:rPr>
          <w:sz w:val="21"/>
        </w:rPr>
        <w:t>在实际合同履行过程中，如果乙方未完全履行合同义务或履行的合同义务不符合约定的，则未履行或履行不符合合同约定的内容所对应的价款由甲方直接从上述约定的包干价中扣除。</w:t>
      </w:r>
    </w:p>
    <w:p>
      <w:pPr>
        <w:ind w:firstLine="422"/>
        <w:jc w:val="both"/>
      </w:pPr>
      <w:r>
        <w:rPr>
          <w:b/>
          <w:sz w:val="21"/>
        </w:rPr>
        <w:t>二、质量要求</w:t>
      </w:r>
    </w:p>
    <w:p>
      <w:pPr>
        <w:ind w:firstLine="420"/>
        <w:jc w:val="both"/>
      </w:pPr>
      <w:r>
        <w:rPr>
          <w:sz w:val="21"/>
        </w:rPr>
        <w:t>1.</w:t>
      </w:r>
      <w:r>
        <w:rPr>
          <w:sz w:val="21"/>
        </w:rPr>
        <w:t>乙方按照本合同、项目招标文件的要求及投标文件的承诺向甲方交付合格设备，并保证甲方对交付的设备拥有完全、合法的所有权与处置权。</w:t>
      </w:r>
    </w:p>
    <w:p>
      <w:pPr>
        <w:ind w:firstLine="420"/>
        <w:jc w:val="both"/>
      </w:pPr>
      <w:r>
        <w:rPr>
          <w:sz w:val="21"/>
        </w:rPr>
        <w:t>2.</w:t>
      </w:r>
      <w:r>
        <w:rPr>
          <w:sz w:val="21"/>
        </w:rPr>
        <w:t>乙方交付的设备应符合现行适用的相关法律、法规以及相应的国家标准或行业标准等，如各标准不一致，以对甲方最有利的标准为准。</w:t>
      </w:r>
    </w:p>
    <w:p>
      <w:pPr>
        <w:ind w:firstLine="420"/>
        <w:jc w:val="both"/>
      </w:pPr>
      <w:r>
        <w:rPr>
          <w:sz w:val="21"/>
        </w:rPr>
        <w:t>3.</w:t>
      </w:r>
      <w:r>
        <w:rPr>
          <w:sz w:val="21"/>
        </w:rPr>
        <w:t>乙方交付的设备必须是全新产品、表面无划损、破损、无任何缺陷及隐患，必须具备出厂合格证，且进货渠道合法，在中国境内可依常规安全合法使用。</w:t>
      </w:r>
    </w:p>
    <w:p>
      <w:pPr>
        <w:ind w:firstLine="422"/>
        <w:jc w:val="both"/>
      </w:pPr>
      <w:r>
        <w:rPr>
          <w:b/>
          <w:sz w:val="21"/>
        </w:rPr>
        <w:t>三、交付及验收</w:t>
      </w:r>
    </w:p>
    <w:p>
      <w:pPr>
        <w:ind w:firstLine="420"/>
        <w:jc w:val="both"/>
      </w:pPr>
      <w:r>
        <w:rPr>
          <w:sz w:val="21"/>
        </w:rPr>
        <w:t>1.</w:t>
      </w:r>
      <w:r>
        <w:rPr>
          <w:sz w:val="21"/>
        </w:rPr>
        <w:t>交货时间和地点：签订合同后</w:t>
      </w:r>
      <w:r>
        <w:rPr>
          <w:sz w:val="21"/>
          <w:u w:val="single"/>
        </w:rPr>
        <w:t xml:space="preserve">   </w:t>
      </w:r>
      <w:r>
        <w:rPr>
          <w:sz w:val="21"/>
        </w:rPr>
        <w:t>个工作日内由外贸代理商送到甲方指定地点（</w:t>
      </w:r>
      <w:r>
        <w:rPr>
          <w:sz w:val="21"/>
          <w:u w:val="single"/>
        </w:rPr>
        <w:t xml:space="preserve">      </w:t>
      </w:r>
      <w:r>
        <w:rPr>
          <w:sz w:val="21"/>
        </w:rPr>
        <w:t>校区</w:t>
      </w:r>
      <w:r>
        <w:rPr>
          <w:sz w:val="21"/>
          <w:u w:val="single"/>
        </w:rPr>
        <w:t xml:space="preserve">         </w:t>
      </w:r>
      <w:r>
        <w:rPr>
          <w:sz w:val="21"/>
        </w:rPr>
        <w:t>楼</w:t>
      </w:r>
      <w:r>
        <w:rPr>
          <w:sz w:val="21"/>
          <w:u w:val="single"/>
        </w:rPr>
        <w:t xml:space="preserve">    </w:t>
      </w:r>
      <w:r>
        <w:rPr>
          <w:sz w:val="21"/>
        </w:rPr>
        <w:t>房），外贸代理商应在交货前两日内通知甲方和乙方到货日期。</w:t>
      </w:r>
    </w:p>
    <w:p>
      <w:pPr>
        <w:ind w:firstLine="420"/>
        <w:jc w:val="both"/>
      </w:pPr>
      <w:r>
        <w:rPr>
          <w:sz w:val="21"/>
        </w:rPr>
        <w:t>2.</w:t>
      </w:r>
      <w:r>
        <w:rPr>
          <w:sz w:val="21"/>
        </w:rPr>
        <w:t>乙方应保证设备的包装符合运输的要求，足以保护设备在运输过程中不受锈蚀、损坏或灭失。如果设备在运输和安装过程中因事故造成设备短缺、损坏，乙方应及时安排换装，换货的相关费用由乙方承担。</w:t>
      </w:r>
    </w:p>
    <w:p>
      <w:pPr>
        <w:ind w:firstLine="420"/>
        <w:jc w:val="both"/>
      </w:pPr>
      <w:r>
        <w:rPr>
          <w:sz w:val="21"/>
        </w:rPr>
        <w:t>3.</w:t>
      </w:r>
      <w:r>
        <w:rPr>
          <w:sz w:val="21"/>
        </w:rPr>
        <w:t>乙方应当保证设备的各部件、备品备件、合格证、操作使用说明、保修单、发票和产品软件等必要物品随设备一并交付甲方,并负责设备的安装调试及相关免费技术培训。</w:t>
      </w:r>
    </w:p>
    <w:p>
      <w:pPr>
        <w:ind w:firstLine="420"/>
        <w:jc w:val="both"/>
      </w:pPr>
      <w:r>
        <w:rPr>
          <w:sz w:val="21"/>
        </w:rPr>
        <w:t>4.</w:t>
      </w:r>
      <w:r>
        <w:rPr>
          <w:sz w:val="21"/>
        </w:rPr>
        <w:t>设备送达指定地点时，由甲方、乙方、外贸代理公司三方代表共同开箱验货,经确认后签署进口设备开箱验货情况表。在开箱验货中如发现包装破损、设备数量不符、技术资料不全等不符合合同约定的情况，甲方有权拒收，乙方应于</w:t>
      </w:r>
      <w:r>
        <w:rPr>
          <w:sz w:val="21"/>
        </w:rPr>
        <w:t>5</w:t>
      </w:r>
      <w:r>
        <w:rPr>
          <w:sz w:val="21"/>
        </w:rPr>
        <w:t>日</w:t>
      </w:r>
      <w:r>
        <w:rPr>
          <w:sz w:val="21"/>
        </w:rPr>
        <w:t>内重新提供符合合同约定的设备，否则，视为乙方逾期交货。</w:t>
      </w:r>
      <w:r>
        <w:rPr>
          <w:sz w:val="21"/>
        </w:rPr>
        <w:t>如果重新交付的设备仍与合同约定不符，甲方有权解除合同。</w:t>
      </w:r>
    </w:p>
    <w:p>
      <w:pPr>
        <w:ind w:firstLine="420"/>
        <w:jc w:val="both"/>
      </w:pPr>
      <w:r>
        <w:rPr>
          <w:sz w:val="21"/>
        </w:rPr>
        <w:t>5.</w:t>
      </w:r>
      <w:r>
        <w:rPr>
          <w:sz w:val="21"/>
        </w:rPr>
        <w:t>需要安装调试的设备，乙方应于开箱验货合格后</w:t>
      </w:r>
      <w:r>
        <w:rPr>
          <w:sz w:val="21"/>
        </w:rPr>
        <w:t>5</w:t>
      </w:r>
      <w:r>
        <w:rPr>
          <w:sz w:val="21"/>
        </w:rPr>
        <w:t>日</w:t>
      </w:r>
      <w:r>
        <w:rPr>
          <w:sz w:val="21"/>
        </w:rPr>
        <w:t>内进行设备安装调试、技术指标和性能测试及整机运行测试。安装调试完成后双方填写安装调试登记表。</w:t>
      </w:r>
    </w:p>
    <w:p>
      <w:pPr>
        <w:ind w:firstLine="420"/>
        <w:jc w:val="both"/>
      </w:pPr>
      <w:r>
        <w:rPr>
          <w:sz w:val="21"/>
        </w:rPr>
        <w:t>6.</w:t>
      </w:r>
      <w:r>
        <w:rPr>
          <w:sz w:val="21"/>
        </w:rPr>
        <w:t>设备安装调试完成后，</w:t>
      </w:r>
      <w:r>
        <w:rPr>
          <w:sz w:val="21"/>
        </w:rPr>
        <w:t>乙方认为已经达到验收条件并准备齐验收所需文件后，向甲方提出验收申请，甲方认为乙方满足验收条件后，</w:t>
      </w:r>
      <w:r>
        <w:rPr>
          <w:sz w:val="21"/>
        </w:rPr>
        <w:t>应于索赔期（到港后的90日）内完成验收，另有约定除外。</w:t>
      </w:r>
    </w:p>
    <w:p>
      <w:pPr>
        <w:ind w:firstLine="420"/>
        <w:jc w:val="both"/>
      </w:pPr>
      <w:r>
        <w:rPr>
          <w:sz w:val="21"/>
        </w:rPr>
        <w:t>7.</w:t>
      </w:r>
      <w:r>
        <w:rPr>
          <w:sz w:val="21"/>
        </w:rPr>
        <w:t>设备验收由甲方聘请专家组、乙方和</w:t>
      </w:r>
      <w:r>
        <w:rPr>
          <w:sz w:val="21"/>
        </w:rPr>
        <w:t>外贸代理商</w:t>
      </w:r>
      <w:r>
        <w:rPr>
          <w:sz w:val="21"/>
        </w:rPr>
        <w:t>联合进行，验收时间由甲方确定。乙方和</w:t>
      </w:r>
      <w:r>
        <w:rPr>
          <w:sz w:val="21"/>
        </w:rPr>
        <w:t>外贸代理商</w:t>
      </w:r>
      <w:r>
        <w:rPr>
          <w:sz w:val="21"/>
        </w:rPr>
        <w:t>未派员参加的，视为认可验收结果。</w:t>
      </w:r>
    </w:p>
    <w:p>
      <w:pPr>
        <w:ind w:firstLine="420"/>
        <w:jc w:val="both"/>
      </w:pPr>
      <w:r>
        <w:rPr>
          <w:sz w:val="21"/>
        </w:rPr>
        <w:t>8.</w:t>
      </w:r>
      <w:r>
        <w:rPr>
          <w:sz w:val="21"/>
        </w:rPr>
        <w:t>设备的验收标准按照本合同及招投标文件中列明的技术参数、规格、性能指标等执行。</w:t>
      </w:r>
    </w:p>
    <w:p>
      <w:pPr>
        <w:ind w:firstLine="420"/>
        <w:jc w:val="both"/>
      </w:pPr>
      <w:r>
        <w:rPr>
          <w:sz w:val="21"/>
        </w:rPr>
        <w:t>9.</w:t>
      </w:r>
      <w:r>
        <w:rPr>
          <w:sz w:val="21"/>
        </w:rPr>
        <w:t>如乙方对验收结果有异议，可提请甲方所在地商检部门进行复检。商检部门的检验结果表明设备不符合合同约定的，因复检发生的费用由乙方承担；检验结果表明设备符合合同约定的，因复检发生的费用由甲方承担。</w:t>
      </w:r>
    </w:p>
    <w:p>
      <w:pPr>
        <w:ind w:firstLine="420"/>
        <w:jc w:val="both"/>
      </w:pPr>
      <w:r>
        <w:rPr>
          <w:sz w:val="21"/>
        </w:rPr>
        <w:t>10.</w:t>
      </w:r>
      <w:r>
        <w:rPr>
          <w:sz w:val="21"/>
        </w:rPr>
        <w:t>验收不合格，甲方有权要求乙方重新提供设备，或有权解除合同。乙方应在甲方指定的期限内重新提供设备，并承担因此而发生的全部费用，赔偿由此给甲方造成的损失。</w:t>
      </w:r>
    </w:p>
    <w:p>
      <w:pPr>
        <w:ind w:firstLine="422"/>
        <w:jc w:val="both"/>
      </w:pPr>
      <w:r>
        <w:rPr>
          <w:b/>
          <w:sz w:val="21"/>
        </w:rPr>
        <w:t>四、付款方式</w:t>
      </w:r>
    </w:p>
    <w:p>
      <w:pPr>
        <w:ind w:firstLine="420"/>
        <w:jc w:val="left"/>
      </w:pPr>
      <w:r>
        <w:rPr>
          <w:sz w:val="21"/>
        </w:rPr>
        <w:t>1.</w:t>
      </w:r>
      <w:r>
        <w:rPr>
          <w:sz w:val="21"/>
        </w:rPr>
        <w:t>合同生效之日起5日内，乙方支付给甲方</w:t>
      </w:r>
      <w:r>
        <w:rPr>
          <w:sz w:val="21"/>
        </w:rPr>
        <w:t>合同金额的10%（如乙方为中小微企业，履约保证金为合同金额的5%）作为履约保证金。乙方可根据自身实际自主选择以转账、支票、汇票、本票、保函或现金等形式向甲方缴纳履约保证金，但采用保函形式递交履约保证金的，须是无条件保函。</w:t>
      </w:r>
    </w:p>
    <w:p>
      <w:pPr>
        <w:ind w:firstLine="420"/>
        <w:jc w:val="left"/>
      </w:pPr>
      <w:r>
        <w:rPr>
          <w:sz w:val="21"/>
        </w:rPr>
        <w:t>2.</w:t>
      </w:r>
      <w:r>
        <w:rPr>
          <w:sz w:val="21"/>
        </w:rPr>
        <w:t>甲方收到履约保证金后，凭《代理进口合同》按广东省财政厅规定的支付手续在15日内开始办理支付合同总额100%货款给指定外贸代理商。外贸代理商收到全部货款后开具100%的L/C并凭L/C规定的发货单据对外支付全款，或全部货物交甲方后以T/T方式支付100%的货款。</w:t>
      </w:r>
    </w:p>
    <w:p>
      <w:pPr>
        <w:ind w:firstLine="420"/>
        <w:jc w:val="both"/>
      </w:pPr>
      <w:r>
        <w:rPr>
          <w:sz w:val="21"/>
        </w:rPr>
        <w:t>3.</w:t>
      </w:r>
      <w:r>
        <w:rPr>
          <w:sz w:val="21"/>
        </w:rPr>
        <w:t>甲方在上述期限内，按广东省财政厅规定的支付手续将付款的申请文件递出, 即完成付款义务。但可以协助乙方查询政府审核和支付的进度。</w:t>
      </w:r>
    </w:p>
    <w:p>
      <w:pPr>
        <w:ind w:firstLine="420"/>
        <w:jc w:val="both"/>
      </w:pPr>
      <w:r>
        <w:rPr>
          <w:sz w:val="21"/>
        </w:rPr>
        <w:t>4.</w:t>
      </w:r>
      <w:r>
        <w:rPr>
          <w:sz w:val="21"/>
        </w:rPr>
        <w:t>验收合格至免费保修期满，乙方向甲方申请退还履约保证金，甲方于接到申请后15个工作日内将履约保证金无息退回乙方。</w:t>
      </w:r>
    </w:p>
    <w:p>
      <w:pPr>
        <w:ind w:firstLine="420"/>
        <w:jc w:val="both"/>
      </w:pPr>
      <w:r>
        <w:rPr>
          <w:sz w:val="21"/>
        </w:rPr>
        <w:t>5.</w:t>
      </w:r>
      <w:r>
        <w:rPr>
          <w:sz w:val="21"/>
        </w:rPr>
        <w:t>甲方全权委托</w:t>
      </w:r>
      <w:r>
        <w:rPr>
          <w:sz w:val="21"/>
          <w:u w:val="single"/>
        </w:rPr>
        <w:t xml:space="preserve">        </w:t>
      </w:r>
      <w:r>
        <w:rPr>
          <w:sz w:val="21"/>
        </w:rPr>
        <w:t>公司（外贸代理商）办理进口业务（另行签订代理进口合同），由该公司与乙方结算，代理进口有关的一切费用由乙方承担。</w:t>
      </w:r>
    </w:p>
    <w:p>
      <w:pPr>
        <w:ind w:firstLine="420"/>
        <w:jc w:val="both"/>
      </w:pPr>
      <w:r>
        <w:rPr>
          <w:sz w:val="21"/>
        </w:rPr>
        <w:t xml:space="preserve">  </w:t>
      </w:r>
      <w:r>
        <w:rPr>
          <w:sz w:val="21"/>
        </w:rPr>
        <w:t>向甲方开具发票的信息：</w:t>
      </w:r>
    </w:p>
    <w:tbl>
      <w:tblPr>
        <w:tblW w:w="0" w:type="auto"/>
        <w:tblBorders>
          <w:top w:val="none" w:color="000000" w:sz="4"/>
          <w:left w:val="none" w:color="000000" w:sz="4"/>
          <w:bottom w:val="none" w:color="000000" w:sz="4"/>
          <w:right w:val="none" w:color="000000" w:sz="4"/>
          <w:insideH w:val="none"/>
          <w:insideV w:val="none"/>
        </w:tblBorders>
      </w:tblPr>
      <w:tblGrid>
        <w:gridCol w:w="1846"/>
        <w:gridCol w:w="6460"/>
      </w:tblGrid>
      <w:tr>
        <w:tc>
          <w:tcPr>
            <w:tcW w:type="dxa" w:w="1846"/>
            <w:tcBorders>
              <w:top w:val="single" w:color="000000" w:sz="4"/>
              <w:left w:val="single" w:color="000000" w:sz="4"/>
              <w:bottom w:val="single" w:color="000000" w:sz="4"/>
              <w:right w:val="single" w:color="000000" w:sz="4"/>
            </w:tcBorders>
          </w:tcPr>
          <w:p>
            <w:pPr>
              <w:jc w:val="both"/>
            </w:pPr>
            <w:r>
              <w:rPr>
                <w:sz w:val="21"/>
              </w:rPr>
              <w:t>单位名称</w:t>
            </w:r>
          </w:p>
        </w:tc>
        <w:tc>
          <w:tcPr>
            <w:tcW w:type="dxa" w:w="6460"/>
            <w:tcBorders>
              <w:top w:val="single" w:color="000000" w:sz="4"/>
              <w:left w:val="none" w:color="000000" w:sz="4"/>
              <w:bottom w:val="single" w:color="000000" w:sz="4"/>
              <w:right w:val="single" w:color="000000" w:sz="4"/>
            </w:tcBorders>
          </w:tcPr>
          <w:p>
            <w:pPr>
              <w:jc w:val="both"/>
            </w:pPr>
            <w:r>
              <w:rPr>
                <w:sz w:val="21"/>
              </w:rPr>
              <w:t>广州中医药大学（广州中医药研究院）</w:t>
            </w:r>
          </w:p>
        </w:tc>
      </w:tr>
      <w:tr>
        <w:tc>
          <w:tcPr>
            <w:tcW w:type="dxa" w:w="1846"/>
            <w:tcBorders>
              <w:top w:val="none" w:color="000000" w:sz="4"/>
              <w:left w:val="single" w:color="000000" w:sz="4"/>
              <w:bottom w:val="single" w:color="000000" w:sz="4"/>
              <w:right w:val="single" w:color="000000" w:sz="4"/>
            </w:tcBorders>
          </w:tcPr>
          <w:p>
            <w:pPr>
              <w:jc w:val="both"/>
            </w:pPr>
            <w:r>
              <w:rPr>
                <w:sz w:val="21"/>
              </w:rPr>
              <w:t>纳税人识别号</w:t>
            </w:r>
          </w:p>
        </w:tc>
        <w:tc>
          <w:tcPr>
            <w:tcW w:type="dxa" w:w="6460"/>
            <w:tcBorders>
              <w:top w:val="none" w:color="000000" w:sz="4"/>
              <w:left w:val="none" w:color="000000" w:sz="4"/>
              <w:bottom w:val="single" w:color="000000" w:sz="4"/>
              <w:right w:val="single" w:color="000000" w:sz="4"/>
            </w:tcBorders>
          </w:tcPr>
          <w:p>
            <w:pPr>
              <w:jc w:val="both"/>
            </w:pPr>
            <w:r>
              <w:rPr>
                <w:sz w:val="21"/>
              </w:rPr>
              <w:t>12440000455860373F</w:t>
            </w:r>
          </w:p>
        </w:tc>
      </w:tr>
      <w:tr>
        <w:tc>
          <w:tcPr>
            <w:tcW w:type="dxa" w:w="1846"/>
            <w:tcBorders>
              <w:top w:val="none" w:color="000000" w:sz="4"/>
              <w:left w:val="single" w:color="000000" w:sz="4"/>
              <w:bottom w:val="single" w:color="000000" w:sz="4"/>
              <w:right w:val="single" w:color="000000" w:sz="4"/>
            </w:tcBorders>
          </w:tcPr>
          <w:p>
            <w:pPr>
              <w:jc w:val="both"/>
            </w:pPr>
            <w:r>
              <w:rPr>
                <w:sz w:val="21"/>
              </w:rPr>
              <w:t>地址</w:t>
            </w:r>
          </w:p>
        </w:tc>
        <w:tc>
          <w:tcPr>
            <w:tcW w:type="dxa" w:w="6460"/>
            <w:tcBorders>
              <w:top w:val="none" w:color="000000" w:sz="4"/>
              <w:left w:val="none" w:color="000000" w:sz="4"/>
              <w:bottom w:val="single" w:color="000000" w:sz="4"/>
              <w:right w:val="single" w:color="000000" w:sz="4"/>
            </w:tcBorders>
          </w:tcPr>
          <w:p>
            <w:pPr>
              <w:jc w:val="both"/>
            </w:pPr>
            <w:r>
              <w:rPr>
                <w:sz w:val="21"/>
              </w:rPr>
              <w:t>广州市机场路12号</w:t>
            </w:r>
          </w:p>
        </w:tc>
      </w:tr>
      <w:tr>
        <w:tc>
          <w:tcPr>
            <w:tcW w:type="dxa" w:w="1846"/>
            <w:tcBorders>
              <w:top w:val="none" w:color="000000" w:sz="4"/>
              <w:left w:val="single" w:color="000000" w:sz="4"/>
              <w:bottom w:val="single" w:color="000000" w:sz="4"/>
              <w:right w:val="single" w:color="000000" w:sz="4"/>
            </w:tcBorders>
          </w:tcPr>
          <w:p>
            <w:pPr>
              <w:jc w:val="both"/>
            </w:pPr>
            <w:r>
              <w:rPr>
                <w:sz w:val="21"/>
              </w:rPr>
              <w:t>电话号码</w:t>
            </w:r>
          </w:p>
        </w:tc>
        <w:tc>
          <w:tcPr>
            <w:tcW w:type="dxa" w:w="6460"/>
            <w:tcBorders>
              <w:top w:val="none" w:color="000000" w:sz="4"/>
              <w:left w:val="none" w:color="000000" w:sz="4"/>
              <w:bottom w:val="single" w:color="000000" w:sz="4"/>
              <w:right w:val="single" w:color="000000" w:sz="4"/>
            </w:tcBorders>
          </w:tcPr>
          <w:p>
            <w:pPr>
              <w:jc w:val="both"/>
            </w:pPr>
            <w:r>
              <w:rPr>
                <w:sz w:val="21"/>
              </w:rPr>
              <w:t>020-36585216</w:t>
            </w:r>
          </w:p>
        </w:tc>
      </w:tr>
      <w:tr>
        <w:tc>
          <w:tcPr>
            <w:tcW w:type="dxa" w:w="1846"/>
            <w:tcBorders>
              <w:top w:val="none" w:color="000000" w:sz="4"/>
              <w:left w:val="single" w:color="000000" w:sz="4"/>
              <w:bottom w:val="single" w:color="000000" w:sz="4"/>
              <w:right w:val="single" w:color="000000" w:sz="4"/>
            </w:tcBorders>
          </w:tcPr>
          <w:p>
            <w:pPr>
              <w:jc w:val="both"/>
            </w:pPr>
            <w:r>
              <w:rPr>
                <w:sz w:val="21"/>
              </w:rPr>
              <w:t>开户行</w:t>
            </w:r>
          </w:p>
        </w:tc>
        <w:tc>
          <w:tcPr>
            <w:tcW w:type="dxa" w:w="6460"/>
            <w:tcBorders>
              <w:top w:val="none" w:color="000000" w:sz="4"/>
              <w:left w:val="none" w:color="000000" w:sz="4"/>
              <w:bottom w:val="single" w:color="000000" w:sz="4"/>
              <w:right w:val="single" w:color="000000" w:sz="4"/>
            </w:tcBorders>
          </w:tcPr>
          <w:p>
            <w:pPr>
              <w:jc w:val="both"/>
            </w:pPr>
            <w:r>
              <w:rPr>
                <w:sz w:val="21"/>
              </w:rPr>
              <w:t>中国建设银行广州大学城新天地支行</w:t>
            </w:r>
          </w:p>
        </w:tc>
      </w:tr>
      <w:tr>
        <w:tc>
          <w:tcPr>
            <w:tcW w:type="dxa" w:w="1846"/>
            <w:tcBorders>
              <w:top w:val="none" w:color="000000" w:sz="4"/>
              <w:left w:val="single" w:color="000000" w:sz="4"/>
              <w:bottom w:val="single" w:color="000000" w:sz="4"/>
              <w:right w:val="single" w:color="000000" w:sz="4"/>
            </w:tcBorders>
          </w:tcPr>
          <w:p>
            <w:pPr>
              <w:jc w:val="both"/>
            </w:pPr>
            <w:r>
              <w:rPr>
                <w:sz w:val="21"/>
              </w:rPr>
              <w:t>开户行账号</w:t>
            </w:r>
          </w:p>
        </w:tc>
        <w:tc>
          <w:tcPr>
            <w:tcW w:type="dxa" w:w="6460"/>
            <w:tcBorders>
              <w:top w:val="none" w:color="000000" w:sz="4"/>
              <w:left w:val="none" w:color="000000" w:sz="4"/>
              <w:bottom w:val="single" w:color="000000" w:sz="4"/>
              <w:right w:val="single" w:color="000000" w:sz="4"/>
            </w:tcBorders>
          </w:tcPr>
          <w:p>
            <w:pPr>
              <w:jc w:val="both"/>
            </w:pPr>
            <w:r>
              <w:rPr>
                <w:sz w:val="21"/>
              </w:rPr>
              <w:t>44050153004900000813</w:t>
            </w:r>
          </w:p>
        </w:tc>
      </w:tr>
    </w:tbl>
    <w:p>
      <w:pPr>
        <w:ind w:firstLine="422"/>
        <w:jc w:val="both"/>
      </w:pPr>
      <w:r>
        <w:rPr>
          <w:b/>
          <w:sz w:val="21"/>
        </w:rPr>
        <w:t>五、售后服务</w:t>
      </w:r>
    </w:p>
    <w:p>
      <w:pPr>
        <w:ind w:firstLine="420"/>
        <w:jc w:val="both"/>
      </w:pPr>
      <w:r>
        <w:rPr>
          <w:sz w:val="21"/>
        </w:rPr>
        <w:t>1.</w:t>
      </w:r>
      <w:r>
        <w:rPr>
          <w:sz w:val="21"/>
        </w:rPr>
        <w:t>保修期限：乙方承诺本合同项下设备的免费保修期为</w:t>
      </w:r>
      <w:r>
        <w:rPr>
          <w:sz w:val="21"/>
        </w:rPr>
        <w:t>___</w:t>
      </w:r>
      <w:r>
        <w:rPr>
          <w:sz w:val="21"/>
        </w:rPr>
        <w:t>年，保修承担方为</w:t>
      </w:r>
      <w:r>
        <w:rPr>
          <w:sz w:val="21"/>
        </w:rPr>
        <w:t>________________________</w:t>
      </w:r>
      <w:r>
        <w:rPr>
          <w:sz w:val="21"/>
        </w:rPr>
        <w:t>（保修承担方承诺函为本合同附件，</w:t>
      </w:r>
      <w:r>
        <w:rPr>
          <w:sz w:val="21"/>
        </w:rPr>
        <w:t>乙方同意与实际保修方共同无限承担连带责任</w:t>
      </w:r>
      <w:r>
        <w:rPr>
          <w:sz w:val="21"/>
        </w:rPr>
        <w:t>）。保修期限自设备通过甲方组织的验收之日起算。</w:t>
      </w:r>
      <w:r>
        <w:rPr>
          <w:sz w:val="21"/>
        </w:rPr>
        <w:t>在保修期内，如设备非因甲方原因而出现的质量问题由乙方负责保修、包换或包退，并承担修理、调换或退货的实际费用。乙方不能修复、调换或不能退货的，应退回相应货款，并承担相应的违约责任。</w:t>
      </w:r>
    </w:p>
    <w:p>
      <w:pPr>
        <w:ind w:firstLine="420"/>
        <w:jc w:val="both"/>
      </w:pPr>
      <w:r>
        <w:rPr>
          <w:sz w:val="21"/>
        </w:rPr>
        <w:t>2.</w:t>
      </w:r>
      <w:r>
        <w:rPr>
          <w:sz w:val="21"/>
        </w:rPr>
        <w:t>对甲方的服务通知，乙方在接报后12小时内到达现场处理。若在</w:t>
      </w:r>
      <w:r>
        <w:rPr>
          <w:sz w:val="21"/>
          <w:u w:val="single"/>
        </w:rPr>
        <w:t xml:space="preserve">  </w:t>
      </w:r>
      <w:r>
        <w:rPr>
          <w:sz w:val="21"/>
        </w:rPr>
        <w:t>48小时内仍未能有效解决，乙方应免费提供主要参数不低于原设备的替代设备并保证其正常运行。</w:t>
      </w:r>
    </w:p>
    <w:p>
      <w:pPr>
        <w:ind w:firstLine="420"/>
        <w:jc w:val="both"/>
      </w:pPr>
      <w:r>
        <w:rPr>
          <w:sz w:val="21"/>
        </w:rPr>
        <w:t>3.</w:t>
      </w:r>
      <w:r>
        <w:rPr>
          <w:sz w:val="21"/>
        </w:rPr>
        <w:t>免费保修期满后，如有零部件出现故障，且属于寿命异常问题（明显短于该零部件正常寿命）的，由乙方负责免费更换及维修。</w:t>
      </w:r>
    </w:p>
    <w:p>
      <w:pPr>
        <w:ind w:firstLine="420"/>
        <w:jc w:val="both"/>
      </w:pPr>
      <w:r>
        <w:rPr>
          <w:sz w:val="21"/>
        </w:rPr>
        <w:t>4.</w:t>
      </w:r>
      <w:r>
        <w:rPr>
          <w:sz w:val="21"/>
        </w:rPr>
        <w:t>免费保修期满后，设备维修服务及配件费用享受市场价格的八折优惠。</w:t>
      </w:r>
    </w:p>
    <w:p>
      <w:pPr>
        <w:ind w:firstLine="422"/>
        <w:jc w:val="both"/>
      </w:pPr>
      <w:r>
        <w:rPr>
          <w:b/>
          <w:sz w:val="21"/>
        </w:rPr>
        <w:t>六、风险承担和不可抗力</w:t>
      </w:r>
    </w:p>
    <w:p>
      <w:pPr>
        <w:ind w:firstLine="420"/>
        <w:jc w:val="both"/>
      </w:pPr>
      <w:r>
        <w:rPr>
          <w:sz w:val="21"/>
        </w:rPr>
        <w:t>1.</w:t>
      </w:r>
      <w:r>
        <w:rPr>
          <w:sz w:val="21"/>
        </w:rPr>
        <w:t>设备毁损、灭失的风险与后果，在设备经甲方验收合格以前由乙方承担，在设备经甲方验收合格以后由甲方承担。</w:t>
      </w:r>
    </w:p>
    <w:p>
      <w:pPr>
        <w:ind w:firstLine="420"/>
        <w:jc w:val="both"/>
      </w:pPr>
      <w:r>
        <w:rPr>
          <w:sz w:val="21"/>
        </w:rPr>
        <w:t>2.</w:t>
      </w:r>
      <w:r>
        <w:rPr>
          <w:sz w:val="21"/>
        </w:rPr>
        <w:t>甲方因设备质量不符合约定而拒绝接受设备或解除合同的，设备毁损、灭失的风险与后果由乙方承担。</w:t>
      </w:r>
    </w:p>
    <w:p>
      <w:pPr>
        <w:ind w:firstLine="420"/>
        <w:jc w:val="left"/>
      </w:pPr>
      <w:r>
        <w:rPr>
          <w:sz w:val="21"/>
        </w:rPr>
        <w:t>3.</w:t>
      </w:r>
      <w:r>
        <w:rPr>
          <w:sz w:val="21"/>
        </w:rPr>
        <w:t>由乙方承担设备毁损、灭失风险的，如设备毁损或灭失的，乙方应于7日内重新提供符合合同规定的设备，否则，视为乙方逾期交货。</w:t>
      </w:r>
    </w:p>
    <w:p>
      <w:pPr>
        <w:ind w:firstLine="420"/>
        <w:jc w:val="left"/>
      </w:pPr>
      <w:r>
        <w:rPr>
          <w:sz w:val="21"/>
        </w:rPr>
        <w:t>4.</w:t>
      </w:r>
      <w:r>
        <w:rPr>
          <w:sz w:val="21"/>
        </w:rPr>
        <w:t>设备毁损、灭失的风险由甲方承担的，不影响因乙方履行其他合同义务不符合约定的，甲方要求其承担违约责任的权利。</w:t>
      </w:r>
    </w:p>
    <w:p>
      <w:pPr>
        <w:ind w:firstLine="420"/>
        <w:jc w:val="both"/>
      </w:pPr>
      <w:r>
        <w:rPr>
          <w:sz w:val="21"/>
        </w:rPr>
        <w:t>5.</w:t>
      </w:r>
      <w:r>
        <w:rPr>
          <w:sz w:val="21"/>
        </w:rPr>
        <w:t>不可抗力：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15日内将有关机构出具的不可抗力事件的证明寄交对方。未提供以上证明的，不能免除违约责任。</w:t>
      </w:r>
    </w:p>
    <w:p>
      <w:pPr>
        <w:ind w:firstLine="422"/>
        <w:jc w:val="both"/>
      </w:pPr>
      <w:r>
        <w:rPr>
          <w:b/>
          <w:sz w:val="21"/>
        </w:rPr>
        <w:t>七、知识产权和保密责任</w:t>
      </w:r>
    </w:p>
    <w:p>
      <w:pPr>
        <w:ind w:firstLine="420"/>
        <w:jc w:val="both"/>
      </w:pPr>
      <w:r>
        <w:rPr>
          <w:sz w:val="21"/>
        </w:rPr>
        <w:t>1.</w:t>
      </w:r>
      <w:r>
        <w:rPr>
          <w:sz w:val="21"/>
        </w:rPr>
        <w:t>乙方保证其交付的设备无任何专利权、著作权、商标权及其他知识产权方面的限制，不侵犯任何专利、商标、企业或贸易名称、版权、肖像权、技术秘密、商业秘密或其他任何权益。</w:t>
      </w:r>
    </w:p>
    <w:p>
      <w:pPr>
        <w:ind w:firstLine="420"/>
        <w:jc w:val="both"/>
      </w:pPr>
      <w:r>
        <w:rPr>
          <w:sz w:val="21"/>
        </w:rPr>
        <w:t>2.</w:t>
      </w:r>
      <w:r>
        <w:rPr>
          <w:sz w:val="21"/>
        </w:rPr>
        <w:t>甲方使用该设备或设备的任何一部分时，免受第三方提出的侵犯其著作权、专利权、商标权或其他知识产权的起诉。如发生此类纠纷，由乙方承担因此给甲方造成的一切损失（包括但不限于律师费、诉讼费、保全费、担保费、交通费、差旅费、鉴定费等），且甲方有权暂停向乙方支付合同款项，直至纠纷处理完毕。</w:t>
      </w:r>
    </w:p>
    <w:p>
      <w:pPr>
        <w:ind w:firstLine="420"/>
        <w:jc w:val="both"/>
      </w:pPr>
      <w:r>
        <w:rPr>
          <w:sz w:val="21"/>
        </w:rPr>
        <w:t>3.</w:t>
      </w:r>
      <w:r>
        <w:rPr>
          <w:sz w:val="21"/>
        </w:rPr>
        <w:t>乙方为执行本合同而提供的技术资料、软件的使用权归甲方所有。</w:t>
      </w:r>
    </w:p>
    <w:p>
      <w:pPr>
        <w:ind w:firstLine="420"/>
        <w:jc w:val="both"/>
      </w:pPr>
      <w:r>
        <w:rPr>
          <w:sz w:val="21"/>
        </w:rPr>
        <w:t>4.</w:t>
      </w:r>
      <w:r>
        <w:rPr>
          <w:sz w:val="21"/>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ind w:firstLine="422"/>
        <w:jc w:val="both"/>
      </w:pPr>
      <w:r>
        <w:rPr>
          <w:b/>
          <w:sz w:val="21"/>
        </w:rPr>
        <w:t>八、违约责任</w:t>
      </w:r>
    </w:p>
    <w:p>
      <w:pPr>
        <w:ind w:firstLine="420"/>
        <w:jc w:val="left"/>
      </w:pPr>
      <w:r>
        <w:rPr>
          <w:sz w:val="21"/>
        </w:rPr>
        <w:t>1.</w:t>
      </w:r>
      <w:r>
        <w:rPr>
          <w:sz w:val="21"/>
        </w:rPr>
        <w:t>甲方逾期支付货款，经乙方催告后无正当理由仍不支付的，自催告后每逾期一日，</w:t>
      </w:r>
      <w:r>
        <w:rPr>
          <w:sz w:val="21"/>
        </w:rPr>
        <w:t>应按逾期付款金额每日</w:t>
      </w:r>
      <w:r>
        <w:rPr>
          <w:sz w:val="21"/>
        </w:rPr>
        <w:t>5</w:t>
      </w:r>
      <w:r>
        <w:rPr>
          <w:sz w:val="21"/>
        </w:rPr>
        <w:t>‰</w:t>
      </w:r>
      <w:r>
        <w:rPr>
          <w:sz w:val="21"/>
        </w:rPr>
        <w:t>向乙方支付违约金。</w:t>
      </w:r>
    </w:p>
    <w:p>
      <w:pPr>
        <w:ind w:firstLine="420"/>
        <w:jc w:val="left"/>
      </w:pPr>
      <w:r>
        <w:rPr>
          <w:sz w:val="21"/>
        </w:rPr>
        <w:t>2.</w:t>
      </w:r>
      <w:r>
        <w:rPr>
          <w:sz w:val="21"/>
        </w:rPr>
        <w:t>验收不合格，且乙方不重新提供设备的，</w:t>
      </w:r>
      <w:r>
        <w:rPr>
          <w:sz w:val="21"/>
        </w:rPr>
        <w:t>乙方需向甲方支付合同总金额5%的违约金。如甲方同意更换的，乙方应于5日内重新提供符合合同约定的设备，乙方在征得甲方同意的时间内未能调换的，按逾期交货处理，逾期时点自最初约定的交付日期起计。</w:t>
      </w:r>
    </w:p>
    <w:p>
      <w:pPr>
        <w:ind w:firstLine="420"/>
        <w:jc w:val="left"/>
      </w:pPr>
      <w:r>
        <w:rPr>
          <w:sz w:val="21"/>
        </w:rPr>
        <w:t>3.</w:t>
      </w:r>
      <w:r>
        <w:rPr>
          <w:sz w:val="21"/>
        </w:rPr>
        <w:t>乙方逾期交付设备的，则每逾期一天，按合同总额的5‰向甲方支付违约金，甲方有权直接从应付给乙方的合同款项中扣除该违约金；甲方有权要求乙方继续向甲方交付直至符合要求。</w:t>
      </w:r>
    </w:p>
    <w:p>
      <w:pPr>
        <w:ind w:firstLine="420"/>
        <w:jc w:val="both"/>
      </w:pPr>
      <w:r>
        <w:rPr>
          <w:sz w:val="21"/>
        </w:rPr>
        <w:t>4.</w:t>
      </w:r>
      <w:r>
        <w:rPr>
          <w:sz w:val="21"/>
        </w:rPr>
        <w:t>若乙方未按本合同的约定提供保修服务，甲方有权自行委托第三方提供甲方所需要的技术支持和售后服务，由此造成的包括但不限于第三方维保费用、甲方其他经济损失等均由乙方承担赔偿。</w:t>
      </w:r>
    </w:p>
    <w:p>
      <w:pPr>
        <w:ind w:firstLine="420"/>
        <w:jc w:val="both"/>
      </w:pPr>
      <w:r>
        <w:rPr>
          <w:sz w:val="21"/>
        </w:rPr>
        <w:t>5.</w:t>
      </w:r>
      <w:r>
        <w:rPr>
          <w:sz w:val="21"/>
        </w:rPr>
        <w:t>有以下情形之一的，甲方有权解除合同，乙方需退还甲方已支付的所有款项，并按合同总金额的10%向甲方支付违约金，违约金不足以弥补甲方损失的，乙方应另行赔偿，具体情形如下：</w:t>
      </w:r>
    </w:p>
    <w:p>
      <w:pPr>
        <w:ind w:firstLine="420"/>
        <w:jc w:val="left"/>
      </w:pPr>
      <w:r>
        <w:rPr>
          <w:sz w:val="21"/>
        </w:rPr>
        <w:t>（1）乙方交付设备存在侵犯他人知识产权、肖像权、技术秘密、商业秘密或其他任何权益的；</w:t>
      </w:r>
    </w:p>
    <w:p>
      <w:pPr>
        <w:ind w:firstLine="420"/>
        <w:jc w:val="left"/>
      </w:pPr>
      <w:r>
        <w:rPr>
          <w:sz w:val="21"/>
        </w:rPr>
        <w:t>（2）乙方履行义务不符合约定，经甲方提出后在合理期限内仍未改正的；</w:t>
      </w:r>
    </w:p>
    <w:p>
      <w:pPr>
        <w:ind w:firstLine="420"/>
        <w:jc w:val="left"/>
      </w:pPr>
      <w:r>
        <w:rPr>
          <w:sz w:val="21"/>
        </w:rPr>
        <w:t>（3）未经甲方书面同意，乙方将本合同项下的权利或义务转让，或将本合同项下服务转包或分包的；</w:t>
      </w:r>
    </w:p>
    <w:p>
      <w:pPr>
        <w:ind w:firstLine="420"/>
        <w:jc w:val="left"/>
      </w:pPr>
      <w:r>
        <w:rPr>
          <w:sz w:val="21"/>
        </w:rPr>
        <w:t>（4）乙方逾期交货超过10日的；</w:t>
      </w:r>
    </w:p>
    <w:p>
      <w:pPr>
        <w:ind w:firstLine="420"/>
        <w:jc w:val="left"/>
      </w:pPr>
      <w:r>
        <w:rPr>
          <w:sz w:val="21"/>
        </w:rPr>
        <w:t>（5 ）法律规定的其他合同解除情形。</w:t>
      </w:r>
    </w:p>
    <w:p>
      <w:pPr>
        <w:ind w:firstLine="420"/>
        <w:jc w:val="both"/>
      </w:pPr>
      <w:r>
        <w:rPr>
          <w:color w:val="000000"/>
          <w:sz w:val="21"/>
        </w:rPr>
        <w:t>6.</w:t>
      </w:r>
      <w:r>
        <w:rPr>
          <w:color w:val="000000"/>
          <w:sz w:val="21"/>
        </w:rPr>
        <w:t>本合同所称之损失包括直接经济损失和合同履行后可以获得的利益及合理的调查费、评估费、公证费、诉讼费、交通费、律师费、保全费等相关法律费用。</w:t>
      </w:r>
    </w:p>
    <w:p>
      <w:pPr>
        <w:ind w:firstLine="422"/>
        <w:jc w:val="both"/>
      </w:pPr>
      <w:r>
        <w:rPr>
          <w:b/>
          <w:sz w:val="21"/>
        </w:rPr>
        <w:t>八、解决争议方法</w:t>
      </w:r>
    </w:p>
    <w:p>
      <w:pPr>
        <w:ind w:firstLine="420"/>
        <w:jc w:val="left"/>
      </w:pPr>
      <w:r>
        <w:rPr>
          <w:sz w:val="21"/>
        </w:rPr>
        <w:t>本合同的成立、有效性、解释、履行、签署、修订和终止以及争议的解决均应适用中华人民共和国法律。本合同发生争议，由双方协商或调解解决，协商或调解不成时双方同意向甲方所在地人民法院起诉。诉讼进行过程中，除双方有争议的部分外，本合同其他部分仍然有效，各方应继续履行。</w:t>
      </w:r>
    </w:p>
    <w:p>
      <w:pPr>
        <w:ind w:firstLine="422"/>
        <w:jc w:val="both"/>
      </w:pPr>
      <w:r>
        <w:rPr>
          <w:b/>
          <w:sz w:val="21"/>
        </w:rPr>
        <w:t>九、其他</w:t>
      </w:r>
    </w:p>
    <w:p>
      <w:pPr>
        <w:ind w:firstLine="420"/>
        <w:jc w:val="both"/>
      </w:pPr>
      <w:r>
        <w:rPr>
          <w:color w:val="000000"/>
          <w:sz w:val="21"/>
        </w:rPr>
        <w:t>1.</w:t>
      </w:r>
      <w:r>
        <w:rPr>
          <w:color w:val="000000"/>
          <w:sz w:val="21"/>
        </w:rPr>
        <w:t>合同的附件及本项目的招投标文件、补充协议均为本合同的组成部份，与合同具有同等效力。</w:t>
      </w:r>
    </w:p>
    <w:p>
      <w:pPr>
        <w:ind w:firstLine="420"/>
        <w:jc w:val="both"/>
      </w:pPr>
      <w:r>
        <w:rPr>
          <w:color w:val="000000"/>
          <w:sz w:val="21"/>
        </w:rPr>
        <w:t>2.</w:t>
      </w:r>
      <w:r>
        <w:rPr>
          <w:color w:val="000000"/>
          <w:sz w:val="21"/>
        </w:rPr>
        <w:t>本合同自签订（甲乙双方授权代表共同签字、盖章）之日起生效，共一式六份，均为正本，具有同等法律效力，乙方一份、甲方五份。</w:t>
      </w:r>
    </w:p>
    <w:p>
      <w:pPr>
        <w:ind w:firstLine="420"/>
        <w:jc w:val="both"/>
      </w:pPr>
      <w:r>
        <w:rPr>
          <w:color w:val="000000"/>
          <w:sz w:val="21"/>
        </w:rPr>
        <w:t>3.</w:t>
      </w:r>
      <w:r>
        <w:rPr>
          <w:color w:val="000000"/>
          <w:sz w:val="21"/>
        </w:rPr>
        <w:t>本合同未尽事宜，由双方协商解决。如需对本合同及其附件作修改或补充，双方应签订补充合同，如补充合同与本合同存在不一致之处，以补充合同为准。</w:t>
      </w:r>
    </w:p>
    <w:p>
      <w:pPr>
        <w:ind w:firstLine="630"/>
        <w:jc w:val="both"/>
      </w:pPr>
      <w:r>
        <w:rPr>
          <w:sz w:val="21"/>
        </w:rPr>
        <w:t>附件：</w:t>
      </w:r>
    </w:p>
    <w:p>
      <w:pPr>
        <w:ind w:firstLine="630"/>
        <w:jc w:val="both"/>
      </w:pPr>
      <w:r>
        <w:rPr>
          <w:sz w:val="21"/>
        </w:rPr>
        <w:t>1.</w:t>
      </w:r>
      <w:r>
        <w:rPr>
          <w:sz w:val="21"/>
        </w:rPr>
        <w:t>设备技术参数</w:t>
      </w:r>
    </w:p>
    <w:p>
      <w:pPr>
        <w:ind w:firstLine="630"/>
        <w:jc w:val="both"/>
      </w:pPr>
      <w:r>
        <w:rPr>
          <w:sz w:val="21"/>
        </w:rPr>
        <w:t>2.</w:t>
      </w:r>
      <w:r>
        <w:rPr>
          <w:sz w:val="21"/>
        </w:rPr>
        <w:t>乙方项目负责人授权委托书</w:t>
      </w:r>
    </w:p>
    <w:p>
      <w:pPr>
        <w:ind w:firstLine="630"/>
        <w:jc w:val="both"/>
      </w:pPr>
      <w:r>
        <w:rPr>
          <w:sz w:val="21"/>
        </w:rPr>
        <w:t>3.</w:t>
      </w:r>
      <w:r>
        <w:rPr>
          <w:sz w:val="21"/>
        </w:rPr>
        <w:t>保修承担方承诺函</w:t>
      </w:r>
    </w:p>
    <w:p>
      <w:pPr>
        <w:ind w:firstLine="420"/>
        <w:jc w:val="both"/>
      </w:pPr>
      <w:r>
        <w:rPr>
          <w:sz w:val="21"/>
        </w:rPr>
        <w:t xml:space="preserve">       </w:t>
      </w:r>
    </w:p>
    <w:p>
      <w:pPr>
        <w:jc w:val="both"/>
      </w:pPr>
      <w:r>
        <w:rPr>
          <w:sz w:val="21"/>
        </w:rPr>
        <w:t>甲方（盖章）：广州中医药大学     乙方（盖章）：</w:t>
      </w:r>
    </w:p>
    <w:p>
      <w:pPr>
        <w:ind w:firstLine="420"/>
        <w:jc w:val="both"/>
      </w:pPr>
      <w:r>
        <w:rPr>
          <w:sz w:val="21"/>
        </w:rPr>
        <w:t>法定代表人：                     法定代表人：</w:t>
      </w:r>
    </w:p>
    <w:p>
      <w:pPr>
        <w:ind w:firstLine="420"/>
        <w:jc w:val="both"/>
      </w:pPr>
      <w:r>
        <w:rPr>
          <w:sz w:val="21"/>
        </w:rPr>
        <w:t>委托代理人：                     委托代理人：</w:t>
      </w:r>
    </w:p>
    <w:p>
      <w:pPr>
        <w:ind w:firstLine="420"/>
        <w:jc w:val="both"/>
      </w:pPr>
      <w:r>
        <w:rPr>
          <w:sz w:val="21"/>
        </w:rPr>
        <w:t>联系电话：                       联系电话：</w:t>
      </w:r>
    </w:p>
    <w:p>
      <w:pPr>
        <w:ind w:firstLine="420"/>
        <w:jc w:val="both"/>
      </w:pPr>
      <w:r>
        <w:rPr>
          <w:sz w:val="21"/>
        </w:rPr>
        <w:t>电子邮箱：                       电子邮箱：</w:t>
      </w:r>
    </w:p>
    <w:p>
      <w:pPr>
        <w:ind w:firstLine="420"/>
        <w:jc w:val="both"/>
      </w:pPr>
      <w:r>
        <w:rPr>
          <w:sz w:val="21"/>
        </w:rPr>
        <w:t>日期：    年  月  日             日期：    年  月  日</w:t>
      </w: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
      <w:pPr>
        <w:jc w:val="left"/>
      </w:pPr>
    </w:p>
    <w:p>
      <w:pPr>
        <w:ind w:firstLine="420"/>
        <w:jc w:val="both"/>
      </w:pPr>
      <w:r>
        <w:rPr>
          <w:sz w:val="21"/>
        </w:rPr>
        <w:t>附件1.设备技术参数模版（模版）</w:t>
      </w:r>
    </w:p>
    <w:tbl>
      <w:tblPr>
        <w:tblW w:w="0" w:type="auto"/>
        <w:tblBorders>
          <w:top w:val="none" w:color="000000" w:sz="4"/>
          <w:left w:val="none" w:color="000000" w:sz="4"/>
          <w:bottom w:val="none" w:color="000000" w:sz="4"/>
          <w:right w:val="none" w:color="000000" w:sz="4"/>
          <w:insideH w:val="none"/>
          <w:insideV w:val="none"/>
        </w:tblBorders>
      </w:tblPr>
      <w:tblGrid>
        <w:gridCol w:w="678"/>
        <w:gridCol w:w="2119"/>
        <w:gridCol w:w="3390"/>
        <w:gridCol w:w="2119"/>
      </w:tblGrid>
      <w:tr>
        <w:tc>
          <w:tcPr>
            <w:tcW w:type="dxa" w:w="678"/>
            <w:tcBorders>
              <w:top w:val="single" w:color="000000" w:sz="4"/>
              <w:left w:val="single" w:color="000000" w:sz="4"/>
              <w:bottom w:val="single" w:color="000000" w:sz="4"/>
              <w:right w:val="single" w:color="000000" w:sz="4"/>
            </w:tcBorders>
            <w:vAlign w:val="top"/>
          </w:tcPr>
          <w:p>
            <w:pPr>
              <w:jc w:val="both"/>
            </w:pPr>
            <w:r>
              <w:rPr>
                <w:sz w:val="21"/>
              </w:rPr>
              <w:t>序号</w:t>
            </w:r>
          </w:p>
        </w:tc>
        <w:tc>
          <w:tcPr>
            <w:tcW w:type="dxa" w:w="2119"/>
            <w:tcBorders>
              <w:top w:val="single" w:color="000000" w:sz="4"/>
              <w:left w:val="none" w:color="000000" w:sz="4"/>
              <w:bottom w:val="single" w:color="000000" w:sz="4"/>
              <w:right w:val="single" w:color="000000" w:sz="4"/>
            </w:tcBorders>
            <w:vAlign w:val="top"/>
          </w:tcPr>
          <w:p>
            <w:pPr>
              <w:ind w:firstLine="420"/>
              <w:jc w:val="both"/>
            </w:pPr>
            <w:r>
              <w:rPr>
                <w:sz w:val="21"/>
              </w:rPr>
              <w:t>设备名称</w:t>
            </w:r>
          </w:p>
        </w:tc>
        <w:tc>
          <w:tcPr>
            <w:tcW w:type="dxa" w:w="3390"/>
            <w:tcBorders>
              <w:top w:val="single" w:color="000000" w:sz="4"/>
              <w:left w:val="none" w:color="000000" w:sz="4"/>
              <w:bottom w:val="single" w:color="000000" w:sz="4"/>
              <w:right w:val="single" w:color="000000" w:sz="4"/>
            </w:tcBorders>
            <w:vAlign w:val="top"/>
          </w:tcPr>
          <w:p>
            <w:pPr>
              <w:ind w:firstLine="420"/>
              <w:jc w:val="both"/>
            </w:pPr>
            <w:r>
              <w:rPr>
                <w:sz w:val="21"/>
              </w:rPr>
              <w:t>主要技术参数</w:t>
            </w:r>
          </w:p>
        </w:tc>
        <w:tc>
          <w:tcPr>
            <w:tcW w:type="dxa" w:w="2119"/>
            <w:tcBorders>
              <w:top w:val="single" w:color="000000" w:sz="4"/>
              <w:left w:val="none" w:color="000000" w:sz="4"/>
              <w:bottom w:val="single" w:color="000000" w:sz="4"/>
              <w:right w:val="single" w:color="000000" w:sz="4"/>
            </w:tcBorders>
            <w:vAlign w:val="top"/>
          </w:tcPr>
          <w:p>
            <w:pPr>
              <w:ind w:firstLine="420"/>
              <w:jc w:val="both"/>
            </w:pPr>
            <w:r>
              <w:rPr>
                <w:sz w:val="21"/>
              </w:rPr>
              <w:t>配置清单</w:t>
            </w:r>
          </w:p>
        </w:tc>
      </w:tr>
      <w:tr>
        <w:tc>
          <w:tcPr>
            <w:tcW w:type="dxa" w:w="678"/>
            <w:tcBorders>
              <w:top w:val="none" w:color="000000" w:sz="4"/>
              <w:left w:val="singl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c>
          <w:tcPr>
            <w:tcW w:type="dxa" w:w="3390"/>
            <w:tcBorders>
              <w:top w:val="none" w:color="000000" w:sz="4"/>
              <w:left w:val="non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r>
      <w:tr>
        <w:tc>
          <w:tcPr>
            <w:tcW w:type="dxa" w:w="678"/>
            <w:tcBorders>
              <w:top w:val="none" w:color="000000" w:sz="4"/>
              <w:left w:val="singl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c>
          <w:tcPr>
            <w:tcW w:type="dxa" w:w="3390"/>
            <w:tcBorders>
              <w:top w:val="none" w:color="000000" w:sz="4"/>
              <w:left w:val="none" w:color="000000" w:sz="4"/>
              <w:bottom w:val="single" w:color="000000" w:sz="4"/>
              <w:right w:val="single" w:color="000000" w:sz="4"/>
            </w:tcBorders>
            <w:vAlign w:val="top"/>
          </w:tcPr>
          <w:p>
            <w:pPr>
              <w:ind w:firstLine="422"/>
              <w:jc w:val="both"/>
            </w:pPr>
          </w:p>
        </w:tc>
        <w:tc>
          <w:tcPr>
            <w:tcW w:type="dxa" w:w="2119"/>
            <w:tcBorders>
              <w:top w:val="none" w:color="000000" w:sz="4"/>
              <w:left w:val="none" w:color="000000" w:sz="4"/>
              <w:bottom w:val="single" w:color="000000" w:sz="4"/>
              <w:right w:val="single" w:color="000000" w:sz="4"/>
            </w:tcBorders>
            <w:vAlign w:val="top"/>
          </w:tcPr>
          <w:p>
            <w:pPr>
              <w:ind w:firstLine="422"/>
              <w:jc w:val="both"/>
            </w:pPr>
          </w:p>
        </w:tc>
      </w:tr>
    </w:tbl>
    <w:p>
      <w:pPr>
        <w:ind w:firstLine="422"/>
        <w:jc w:val="both"/>
      </w:pPr>
    </w:p>
    <w:p>
      <w:pPr>
        <w:ind w:firstLine="420"/>
        <w:jc w:val="both"/>
      </w:pPr>
    </w:p>
    <w:p>
      <w:pPr>
        <w:ind w:firstLine="420"/>
        <w:jc w:val="both"/>
      </w:pPr>
    </w:p>
    <w:p>
      <w:pPr>
        <w:ind w:firstLine="420"/>
        <w:jc w:val="both"/>
      </w:pPr>
    </w:p>
    <w:p>
      <w:pPr>
        <w:ind w:firstLine="420"/>
        <w:jc w:val="both"/>
      </w:pPr>
    </w:p>
    <w:p>
      <w:pPr>
        <w:ind w:firstLine="420"/>
        <w:jc w:val="both"/>
      </w:pPr>
      <w:r>
        <w:rPr>
          <w:sz w:val="21"/>
        </w:rPr>
        <w:t>附件3.保修承担方承诺函模版（模版）</w:t>
      </w:r>
    </w:p>
    <w:p>
      <w:pPr>
        <w:jc w:val="center"/>
      </w:pPr>
      <w:r>
        <w:rPr>
          <w:sz w:val="21"/>
        </w:rPr>
        <w:t>保修承诺函</w:t>
      </w:r>
    </w:p>
    <w:p>
      <w:pPr>
        <w:ind w:firstLine="420"/>
        <w:jc w:val="both"/>
      </w:pPr>
      <w:r>
        <w:rPr>
          <w:sz w:val="21"/>
        </w:rPr>
        <w:t>广州中医药大学：</w:t>
      </w:r>
    </w:p>
    <w:p>
      <w:pPr>
        <w:ind w:firstLine="420"/>
        <w:jc w:val="both"/>
      </w:pPr>
      <w:r>
        <w:rPr>
          <w:sz w:val="21"/>
        </w:rPr>
        <w:t>根据贵单位</w:t>
      </w:r>
      <w:r>
        <w:rPr>
          <w:sz w:val="21"/>
          <w:u w:val="single"/>
        </w:rPr>
        <w:t xml:space="preserve">                   </w:t>
      </w:r>
      <w:r>
        <w:rPr>
          <w:sz w:val="21"/>
        </w:rPr>
        <w:t>项目（招标编号：</w:t>
      </w:r>
      <w:r>
        <w:rPr>
          <w:sz w:val="21"/>
          <w:u w:val="single"/>
        </w:rPr>
        <w:t xml:space="preserve">                </w:t>
      </w:r>
      <w:r>
        <w:rPr>
          <w:sz w:val="21"/>
        </w:rPr>
        <w:t>）的招标文件及合同约定，由</w:t>
      </w:r>
      <w:r>
        <w:rPr>
          <w:sz w:val="21"/>
          <w:u w:val="single"/>
        </w:rPr>
        <w:t xml:space="preserve">              </w:t>
      </w:r>
      <w:r>
        <w:rPr>
          <w:sz w:val="21"/>
        </w:rPr>
        <w:t>公司、</w:t>
      </w:r>
      <w:r>
        <w:rPr>
          <w:sz w:val="21"/>
          <w:u w:val="single"/>
        </w:rPr>
        <w:t xml:space="preserve">             </w:t>
      </w:r>
      <w:r>
        <w:rPr>
          <w:sz w:val="21"/>
        </w:rPr>
        <w:t xml:space="preserve">公司对该项目设备的保修做出如下承诺：    </w:t>
      </w:r>
    </w:p>
    <w:p>
      <w:pPr>
        <w:ind w:firstLine="420"/>
        <w:jc w:val="both"/>
      </w:pPr>
    </w:p>
    <w:tbl>
      <w:tblPr>
        <w:tblW w:w="0" w:type="auto"/>
        <w:tblBorders>
          <w:top w:val="none" w:color="000000" w:sz="4"/>
          <w:left w:val="none" w:color="000000" w:sz="4"/>
          <w:bottom w:val="none" w:color="000000" w:sz="4"/>
          <w:right w:val="none" w:color="000000" w:sz="4"/>
          <w:insideH w:val="none"/>
          <w:insideV w:val="none"/>
        </w:tblBorders>
      </w:tblPr>
      <w:tblGrid>
        <w:gridCol w:w="606"/>
        <w:gridCol w:w="2076"/>
        <w:gridCol w:w="1211"/>
        <w:gridCol w:w="1211"/>
        <w:gridCol w:w="3201"/>
      </w:tblGrid>
      <w:tr>
        <w:tc>
          <w:tcPr>
            <w:tcW w:type="dxa" w:w="606"/>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076"/>
            <w:tcBorders>
              <w:top w:val="single" w:color="000000" w:sz="4"/>
              <w:left w:val="none" w:color="000000" w:sz="4"/>
              <w:bottom w:val="single" w:color="000000" w:sz="4"/>
              <w:right w:val="single" w:color="000000" w:sz="4"/>
            </w:tcBorders>
            <w:vAlign w:val="top"/>
          </w:tcPr>
          <w:p>
            <w:pPr>
              <w:jc w:val="center"/>
            </w:pPr>
            <w:r>
              <w:rPr>
                <w:sz w:val="21"/>
              </w:rPr>
              <w:t>设备或主要配件名称</w:t>
            </w:r>
          </w:p>
        </w:tc>
        <w:tc>
          <w:tcPr>
            <w:tcW w:type="dxa" w:w="1211"/>
            <w:tcBorders>
              <w:top w:val="single" w:color="000000" w:sz="4"/>
              <w:left w:val="none" w:color="000000" w:sz="4"/>
              <w:bottom w:val="single" w:color="000000" w:sz="4"/>
              <w:right w:val="single" w:color="000000" w:sz="4"/>
            </w:tcBorders>
            <w:vAlign w:val="top"/>
          </w:tcPr>
          <w:p>
            <w:pPr>
              <w:jc w:val="center"/>
            </w:pPr>
            <w:r>
              <w:rPr>
                <w:sz w:val="21"/>
              </w:rPr>
              <w:t>免费保修期</w:t>
            </w:r>
          </w:p>
        </w:tc>
        <w:tc>
          <w:tcPr>
            <w:tcW w:type="dxa" w:w="1211"/>
            <w:tcBorders>
              <w:top w:val="single" w:color="000000" w:sz="4"/>
              <w:left w:val="none" w:color="000000" w:sz="4"/>
              <w:bottom w:val="single" w:color="000000" w:sz="4"/>
              <w:right w:val="single" w:color="000000" w:sz="4"/>
            </w:tcBorders>
            <w:vAlign w:val="top"/>
          </w:tcPr>
          <w:p>
            <w:pPr>
              <w:jc w:val="center"/>
            </w:pPr>
            <w:r>
              <w:rPr>
                <w:sz w:val="21"/>
              </w:rPr>
              <w:t>市场价格</w:t>
            </w:r>
          </w:p>
        </w:tc>
        <w:tc>
          <w:tcPr>
            <w:tcW w:type="dxa" w:w="3201"/>
            <w:tcBorders>
              <w:top w:val="single" w:color="000000" w:sz="4"/>
              <w:left w:val="none" w:color="000000" w:sz="4"/>
              <w:bottom w:val="single" w:color="000000" w:sz="4"/>
              <w:right w:val="single" w:color="000000" w:sz="4"/>
            </w:tcBorders>
            <w:vAlign w:val="top"/>
          </w:tcPr>
          <w:p>
            <w:pPr>
              <w:ind w:firstLine="420"/>
              <w:jc w:val="center"/>
            </w:pPr>
            <w:r>
              <w:rPr>
                <w:sz w:val="21"/>
              </w:rPr>
              <w:t>售后网点及电话</w:t>
            </w: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r>
        <w:tc>
          <w:tcPr>
            <w:tcW w:type="dxa" w:w="606"/>
            <w:tcBorders>
              <w:top w:val="none" w:color="000000" w:sz="4"/>
              <w:left w:val="single" w:color="000000" w:sz="4"/>
              <w:bottom w:val="single" w:color="000000" w:sz="4"/>
              <w:right w:val="single" w:color="000000" w:sz="4"/>
            </w:tcBorders>
            <w:vAlign w:val="top"/>
          </w:tcPr>
          <w:p>
            <w:pPr>
              <w:ind w:firstLine="420"/>
              <w:jc w:val="both"/>
            </w:pPr>
          </w:p>
        </w:tc>
        <w:tc>
          <w:tcPr>
            <w:tcW w:type="dxa" w:w="2076"/>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1211"/>
            <w:tcBorders>
              <w:top w:val="none" w:color="000000" w:sz="4"/>
              <w:left w:val="none" w:color="000000" w:sz="4"/>
              <w:bottom w:val="single" w:color="000000" w:sz="4"/>
              <w:right w:val="single" w:color="000000" w:sz="4"/>
            </w:tcBorders>
            <w:vAlign w:val="top"/>
          </w:tcPr>
          <w:p>
            <w:pPr>
              <w:ind w:firstLine="420"/>
              <w:jc w:val="both"/>
            </w:pPr>
          </w:p>
        </w:tc>
        <w:tc>
          <w:tcPr>
            <w:tcW w:type="dxa" w:w="3201"/>
            <w:tcBorders>
              <w:top w:val="none" w:color="000000" w:sz="4"/>
              <w:left w:val="none" w:color="000000" w:sz="4"/>
              <w:bottom w:val="single" w:color="000000" w:sz="4"/>
              <w:right w:val="single" w:color="000000" w:sz="4"/>
            </w:tcBorders>
            <w:vAlign w:val="top"/>
          </w:tcPr>
          <w:p>
            <w:pPr>
              <w:ind w:firstLine="420"/>
              <w:jc w:val="both"/>
            </w:pPr>
          </w:p>
        </w:tc>
      </w:tr>
    </w:tbl>
    <w:p>
      <w:r>
        <w:rPr/>
        <w:t xml:space="preserve"> </w:t>
      </w:r>
    </w:p>
    <w:p>
      <w:pPr>
        <w:ind w:firstLine="420"/>
        <w:jc w:val="both"/>
      </w:pPr>
    </w:p>
    <w:p>
      <w:pPr>
        <w:ind w:firstLine="420"/>
        <w:jc w:val="both"/>
      </w:pPr>
      <w:r>
        <w:rPr>
          <w:sz w:val="21"/>
        </w:rPr>
        <w:t xml:space="preserve">                       </w:t>
      </w:r>
      <w:r>
        <w:rPr>
          <w:sz w:val="21"/>
        </w:rPr>
        <w:t>保修承担方</w:t>
      </w:r>
      <w:r>
        <w:rPr>
          <w:sz w:val="21"/>
        </w:rPr>
        <w:t>：（盖章）</w:t>
      </w:r>
    </w:p>
    <w:p>
      <w:pPr>
        <w:ind w:firstLine="420"/>
        <w:jc w:val="both"/>
      </w:pPr>
      <w:r>
        <w:rPr>
          <w:sz w:val="21"/>
        </w:rPr>
        <w:t xml:space="preserve">                       </w:t>
      </w:r>
      <w:r>
        <w:rPr>
          <w:sz w:val="21"/>
        </w:rPr>
        <w:t>乙  方：（盖章）</w:t>
      </w:r>
    </w:p>
    <w:p>
      <w:pPr>
        <w:ind w:firstLine="420"/>
        <w:jc w:val="both"/>
      </w:pPr>
      <w:r>
        <w:rPr>
          <w:sz w:val="21"/>
        </w:rPr>
        <w:t xml:space="preserve">                       </w:t>
      </w:r>
      <w:r>
        <w:rPr>
          <w:sz w:val="21"/>
        </w:rPr>
        <w:t>日  期：</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440001-2023-00215</w:t>
      </w:r>
    </w:p>
    <w:p>
      <w:pPr>
        <w:jc w:val="center"/>
      </w:pPr>
      <w:r>
        <w:rPr>
          <w:b/>
          <w:sz w:val="24"/>
        </w:rPr>
        <w:t>采购项目编号：</w:t>
      </w:r>
      <w:r>
        <w:rPr>
          <w:b/>
          <w:sz w:val="24"/>
        </w:rPr>
        <w:t>440001-2023-00215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广东志正招标有限公司</w:t>
      </w:r>
    </w:p>
    <w:p>
      <w:pPr>
        <w:ind w:firstLine="480"/>
      </w:pPr>
      <w:r>
        <w:rPr/>
        <w:t>你方组织的</w:t>
      </w:r>
      <w:r>
        <w:rPr>
          <w:u w:val="single"/>
        </w:rPr>
        <w:t>“</w:t>
      </w:r>
      <w:r>
        <w:rPr>
          <w:u w:val="single"/>
        </w:rPr>
        <w:t>超高效液相色谱仪等设备一批</w:t>
      </w:r>
      <w:r>
        <w:rPr>
          <w:u w:val="single"/>
        </w:rPr>
        <w:t>”</w:t>
      </w:r>
      <w:r>
        <w:rPr/>
        <w:t>项目的招标[采购项目编号为：</w:t>
      </w:r>
      <w:r>
        <w:rPr>
          <w:u w:val="single"/>
        </w:rPr>
        <w:t>440001-2023-00215</w:t>
      </w:r>
      <w:r>
        <w:rPr/>
        <w:t>]，我方愿参与投标。</w:t>
      </w:r>
    </w:p>
    <w:p>
      <w:pPr>
        <w:ind w:firstLine="480"/>
      </w:pPr>
      <w:r>
        <w:rPr/>
        <w:t>我方确认收到贵方提供的</w:t>
      </w:r>
      <w:r>
        <w:rPr>
          <w:u w:val="single"/>
        </w:rPr>
        <w:t>“</w:t>
      </w:r>
      <w:r>
        <w:rPr>
          <w:u w:val="single"/>
        </w:rPr>
        <w:t>超高效液相色谱仪等设备一批</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广东志正招标有限公司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超高效液相色谱仪等设备一批</w:t>
      </w:r>
      <w:r>
        <w:rPr/>
        <w:t>”项目采购[采购项目编号为</w:t>
      </w:r>
      <w:r>
        <w:rPr/>
        <w:t>440001-2023-00215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广州中医药大学</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广东志正招标有限公司</w:t>
      </w:r>
    </w:p>
    <w:p>
      <w:pPr>
        <w:ind w:firstLine="480"/>
      </w:pPr>
      <w:r>
        <w:rPr/>
        <w:t>如果我方在贵采购代理机构组织的</w:t>
      </w:r>
      <w:r>
        <w:rPr/>
        <w:t>超高效液相色谱仪等设备一批</w:t>
      </w:r>
      <w:r>
        <w:rPr/>
        <w:t>招标中获中标（采购项目编号：</w:t>
      </w:r>
      <w:r>
        <w:rPr/>
        <w:t>440001-2023-00215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广东志正招标有限公司</w:t>
      </w:r>
    </w:p>
    <w:p>
      <w:pPr>
        <w:ind w:firstLine="480"/>
      </w:pPr>
      <w:r>
        <w:rPr/>
        <w:t>我单位已登记并准备参与“</w:t>
      </w:r>
      <w:r>
        <w:rPr/>
        <w:t>超高效液相色谱仪等设备一批</w:t>
      </w:r>
      <w:r>
        <w:rPr/>
        <w:t>”项目（采购项目编号：</w:t>
      </w:r>
      <w:r>
        <w:rPr/>
        <w:t>440001-2023-00215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