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440001-2022-40638</w:t>
      </w:r>
    </w:p>
    <w:p>
      <w:pPr>
        <w:jc w:val="center"/>
      </w:pPr>
      <w:r>
        <w:rPr>
          <w:b/>
          <w:sz w:val="24"/>
        </w:rPr>
        <w:t>采购项目编号：</w:t>
      </w:r>
      <w:r>
        <w:rPr>
          <w:b/>
          <w:sz w:val="24"/>
        </w:rPr>
        <w:t>440001-2022-40638</w:t>
      </w:r>
    </w:p>
    <w:p>
      <w:pPr>
        <w:jc w:val="center"/>
      </w:pPr>
      <w:r>
        <w:rPr>
          <w:b/>
          <w:sz w:val="24"/>
        </w:rPr>
        <w:t>项目名称：</w:t>
      </w:r>
      <w:r>
        <w:rPr>
          <w:b/>
          <w:sz w:val="24"/>
        </w:rPr>
        <w:t>广东省城市技师学院智能网联汽车技术应用仪器设备及工具采购(二次)</w:t>
      </w:r>
    </w:p>
    <w:p>
      <w:pPr>
        <w:jc w:val="center"/>
      </w:pPr>
      <w:r>
        <w:rPr>
          <w:b/>
          <w:sz w:val="24"/>
        </w:rPr>
        <w:t>采购人：</w:t>
      </w:r>
      <w:r>
        <w:rPr>
          <w:b/>
          <w:sz w:val="24"/>
        </w:rPr>
        <w:t>广东省城市建设技师学院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广东省城市建设技师学院</w:t>
      </w:r>
      <w:r>
        <w:rPr/>
        <w:t>的委托，采用</w:t>
      </w:r>
      <w:r>
        <w:rPr/>
        <w:t>公开招标</w:t>
      </w:r>
      <w:r>
        <w:rPr/>
        <w:t>方式组织采购</w:t>
      </w:r>
      <w:r>
        <w:rPr/>
        <w:t>广东省城市技师学院智能网联汽车技术应用仪器设备及工具采购(二次)</w:t>
      </w:r>
      <w:r>
        <w:rPr/>
        <w:t>。欢迎符合资格条件的国内供应商参加投标。</w:t>
      </w:r>
    </w:p>
    <w:p>
      <w:r>
        <w:rPr>
          <w:b/>
          <w:sz w:val="28"/>
        </w:rPr>
        <w:t>一.项目概述</w:t>
      </w:r>
    </w:p>
    <w:p>
      <w:r>
        <w:rPr>
          <w:b/>
          <w:sz w:val="24"/>
        </w:rPr>
        <w:t>1.名称与编号</w:t>
      </w:r>
    </w:p>
    <w:p>
      <w:pPr>
        <w:ind w:firstLine="480"/>
      </w:pPr>
      <w:r>
        <w:rPr/>
        <w:t>项目名称：</w:t>
      </w:r>
      <w:r>
        <w:rPr/>
        <w:t>广东省城市技师学院智能网联汽车技术应用仪器设备及工具采购(二次)</w:t>
      </w:r>
    </w:p>
    <w:p>
      <w:pPr>
        <w:ind w:firstLine="480"/>
      </w:pPr>
      <w:r>
        <w:rPr/>
        <w:t>采购计划编号：</w:t>
      </w:r>
      <w:r>
        <w:rPr/>
        <w:t>440001-2022-40638</w:t>
      </w:r>
    </w:p>
    <w:p>
      <w:pPr>
        <w:ind w:firstLine="480"/>
      </w:pPr>
      <w:r>
        <w:rPr/>
        <w:t>采购项目编号：</w:t>
      </w:r>
      <w:r>
        <w:rPr/>
        <w:t>440001-2022-40638</w:t>
      </w:r>
    </w:p>
    <w:p>
      <w:pPr>
        <w:ind w:firstLine="480"/>
      </w:pPr>
      <w:r>
        <w:rPr/>
        <w:t>采购方式：</w:t>
      </w:r>
      <w:r>
        <w:rPr/>
        <w:t>公开招标</w:t>
      </w:r>
    </w:p>
    <w:p>
      <w:pPr>
        <w:ind w:firstLine="480"/>
      </w:pPr>
      <w:r>
        <w:rPr/>
        <w:t>预算金额：</w:t>
      </w:r>
      <w:r>
        <w:rPr/>
        <w:t>681,800.00</w:t>
      </w:r>
      <w:r>
        <w:rPr/>
        <w:t>元</w:t>
      </w:r>
    </w:p>
    <w:p>
      <w:r>
        <w:rPr>
          <w:b/>
          <w:sz w:val="24"/>
        </w:rPr>
        <w:t>2.项目内容及需求情况（采购项目技术规格、参数及要求）</w:t>
      </w:r>
    </w:p>
    <w:p>
      <w:pPr>
        <w:ind w:firstLine="480"/>
      </w:pPr>
    </w:p>
    <w:p/>
    <w:p>
      <w:r>
        <w:rPr/>
        <w:t>采购包1(智能网联汽车技术应用技能竞赛专用仪器及设备采购):</w:t>
      </w:r>
    </w:p>
    <w:p>
      <w:r>
        <w:rPr/>
        <w:t>采购包预算金额：681,800.00元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教学专用仪器</w:t>
            </w:r>
          </w:p>
        </w:tc>
        <w:tc>
          <w:tcPr>
            <w:tcW w:type="dxa" w:w="2136"/>
          </w:tcPr>
          <w:p>
            <w:r>
              <w:rPr/>
              <w:t>网联汽车智能化控制技术综合实训系统（自动驾驶开发者套件）</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教学专用仪器</w:t>
            </w:r>
          </w:p>
        </w:tc>
        <w:tc>
          <w:tcPr>
            <w:tcW w:type="dxa" w:w="2136"/>
          </w:tcPr>
          <w:p>
            <w:r>
              <w:rPr/>
              <w:t>其他设备</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合同履行期限：自合同签订之日起至质保期满之日止。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采购包1（智能网联汽车技术应用技能竞赛专用仪器及设备采购）：</w:t>
      </w:r>
      <w:r>
        <w:rPr/>
        <w:t>参与的供应商（联合体）提供的货物全部由符合政策要求的中小企业制造。</w:t>
      </w:r>
    </w:p>
    <w:p/>
    <w:p>
      <w:r>
        <w:rPr>
          <w:b/>
          <w:sz w:val="24"/>
        </w:rPr>
        <w:t>3.本项目特定的资格要求：</w:t>
      </w:r>
    </w:p>
    <w:p>
      <w:pPr>
        <w:ind w:firstLine="480"/>
      </w:pPr>
    </w:p>
    <w:p/>
    <w:p>
      <w:r>
        <w:rPr/>
        <w:t>采购包1（智能网联汽车技术应用技能竞赛专用仪器及设备采购）：</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广东省城市建设技师学院</w:t>
      </w:r>
    </w:p>
    <w:p>
      <w:pPr>
        <w:ind w:firstLine="480"/>
      </w:pPr>
      <w:r>
        <w:rPr/>
        <w:t>地址：</w:t>
      </w:r>
      <w:r>
        <w:rPr/>
        <w:t>广州市黄埔区天鹿南路289号</w:t>
      </w:r>
    </w:p>
    <w:p>
      <w:pPr>
        <w:ind w:firstLine="480"/>
      </w:pPr>
      <w:r>
        <w:rPr/>
        <w:t>联系方式：</w:t>
      </w:r>
      <w:r>
        <w:rPr/>
        <w:t>庞老师/020-28203109</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梁小姐、魏先生</w:t>
      </w:r>
    </w:p>
    <w:p>
      <w:pPr>
        <w:ind w:firstLine="480"/>
      </w:pPr>
      <w:r>
        <w:rPr/>
        <w:t>电话：</w:t>
      </w:r>
      <w:r>
        <w:rPr/>
        <w:t>020-87554238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t>1.投标人须对本项目为单位（有划分包组的，则以包组为单位）的所有标的物进行整体投标，任何只对其中一部分内容进行的投标都被视为无效投标。</w:t>
      </w:r>
    </w:p>
    <w:p>
      <w:r>
        <w:rPr/>
        <w:t>2.本招标文件中，凡标有“★”的地方，投标人要特别加以注意，必须对此作出一一响应。若有一项带“★”的指标未响应或不满足，将导致其废标或投标无效。</w:t>
      </w:r>
    </w:p>
    <w:p>
      <w:r>
        <w:rPr/>
        <w:t>3.本项目核心产品为：</w:t>
      </w:r>
      <w:r>
        <w:rPr>
          <w:b/>
        </w:rPr>
        <w:t>网联汽车智能化控制技术综合实训系统（自动驾驶开发者套件）；</w:t>
      </w:r>
      <w:r>
        <w:rPr/>
        <w:t>注：若存在多项核心产品，当不同供应商提供的任意一项核心产品的品牌相同，则视同其是所响应核心产品品牌相同供应商。</w:t>
      </w:r>
    </w:p>
    <w:p>
      <w:r>
        <w:rPr/>
        <w:t>4.落实政府采购政策需满足的资格要求：</w:t>
      </w:r>
      <w:r>
        <w:rPr>
          <w:b/>
          <w:u w:val="single"/>
        </w:rPr>
        <w:t>本项目属于专门面向中小企业采购的项目，投标人应为中小微企业。投标人应按要求出具《中小企业声明函》</w:t>
      </w:r>
      <w:r>
        <w:rPr/>
        <w:t>；属于监狱企业的，提供由省级以上监狱管理局、戒毒管理局(含新疆生产建设兵团)出具的属于监狱企业的证明文件；属于残疾人福利性单位的，提供《残疾人福利性单位声明函》。</w:t>
      </w:r>
    </w:p>
    <w:p>
      <w:r>
        <w:rPr/>
        <w:t>5.中小企业声明函中，本项目所属行业划分属于</w:t>
      </w:r>
      <w:r>
        <w:rPr>
          <w:b/>
          <w:u w:val="single"/>
        </w:rPr>
        <w:t xml:space="preserve">  工业  </w:t>
      </w:r>
      <w:r>
        <w:rPr/>
        <w:t>行业；</w:t>
      </w:r>
    </w:p>
    <w:p>
      <w:r>
        <w:rPr/>
        <w:t>6.采购清单</w:t>
      </w:r>
    </w:p>
    <w:tbl>
      <w:tblPr>
        <w:tblW w:w="0" w:type="auto"/>
        <w:tblBorders>
          <w:top w:val="single"/>
          <w:left w:val="single"/>
          <w:bottom w:val="single"/>
          <w:right w:val="single"/>
          <w:insideH w:val="single"/>
          <w:insideV w:val="single"/>
        </w:tblBorders>
      </w:tblPr>
      <w:tblGrid>
        <w:gridCol w:w="1425"/>
        <w:gridCol w:w="3120"/>
        <w:gridCol w:w="1980"/>
        <w:gridCol w:w="1695"/>
      </w:tblGrid>
      <w:tr>
        <w:tc>
          <w:tcPr>
            <w:tcW w:type="dxa" w:w="1425"/>
            <w:tcBorders>
              <w:top w:val="single" w:color="000000" w:sz="4"/>
              <w:left w:val="single" w:color="000000" w:sz="4"/>
              <w:bottom w:val="single" w:color="000000" w:sz="4"/>
              <w:right w:val="single" w:color="000000" w:sz="4"/>
            </w:tcBorders>
          </w:tcPr>
          <w:p>
            <w:pPr>
              <w:jc w:val="center"/>
            </w:pPr>
            <w:r>
              <w:rPr>
                <w:b/>
                <w:sz w:val="21"/>
              </w:rPr>
              <w:t>序号</w:t>
            </w:r>
          </w:p>
        </w:tc>
        <w:tc>
          <w:tcPr>
            <w:tcW w:type="dxa" w:w="3120"/>
            <w:tcBorders>
              <w:top w:val="single" w:color="000000" w:sz="4"/>
              <w:left w:val="none" w:color="000000" w:sz="4"/>
              <w:bottom w:val="single" w:color="000000" w:sz="4"/>
              <w:right w:val="single" w:color="000000" w:sz="4"/>
            </w:tcBorders>
          </w:tcPr>
          <w:p>
            <w:pPr>
              <w:jc w:val="center"/>
            </w:pPr>
            <w:r>
              <w:rPr>
                <w:b/>
                <w:sz w:val="21"/>
              </w:rPr>
              <w:t>设备名称</w:t>
            </w:r>
          </w:p>
        </w:tc>
        <w:tc>
          <w:tcPr>
            <w:tcW w:type="dxa" w:w="1980"/>
            <w:tcBorders>
              <w:top w:val="single" w:color="000000" w:sz="4"/>
              <w:left w:val="none" w:color="000000" w:sz="4"/>
              <w:bottom w:val="single" w:color="000000" w:sz="4"/>
              <w:right w:val="single" w:color="000000" w:sz="4"/>
            </w:tcBorders>
          </w:tcPr>
          <w:p>
            <w:pPr>
              <w:jc w:val="center"/>
            </w:pPr>
            <w:r>
              <w:rPr>
                <w:b/>
                <w:sz w:val="21"/>
              </w:rPr>
              <w:t>单位</w:t>
            </w:r>
          </w:p>
        </w:tc>
        <w:tc>
          <w:tcPr>
            <w:tcW w:type="dxa" w:w="1695"/>
            <w:tcBorders>
              <w:top w:val="single" w:color="000000" w:sz="4"/>
              <w:left w:val="none" w:color="000000" w:sz="4"/>
              <w:bottom w:val="single" w:color="000000" w:sz="4"/>
              <w:right w:val="single" w:color="000000" w:sz="4"/>
            </w:tcBorders>
          </w:tcPr>
          <w:p>
            <w:pPr>
              <w:jc w:val="center"/>
            </w:pPr>
            <w:r>
              <w:rPr>
                <w:b/>
                <w:sz w:val="21"/>
              </w:rPr>
              <w:t>数量</w:t>
            </w:r>
          </w:p>
        </w:tc>
      </w:tr>
      <w:tr>
        <w:tc>
          <w:tcPr>
            <w:tcW w:type="dxa" w:w="1425"/>
            <w:tcBorders>
              <w:top w:val="none" w:color="000000" w:sz="4"/>
              <w:left w:val="single" w:color="000000" w:sz="4"/>
              <w:bottom w:val="single" w:color="000000" w:sz="4"/>
              <w:right w:val="single" w:color="000000" w:sz="4"/>
            </w:tcBorders>
          </w:tcPr>
          <w:p>
            <w:pPr>
              <w:jc w:val="center"/>
            </w:pPr>
            <w:r>
              <w:rPr>
                <w:sz w:val="21"/>
              </w:rPr>
              <w:t>1</w:t>
            </w:r>
          </w:p>
        </w:tc>
        <w:tc>
          <w:tcPr>
            <w:tcW w:type="dxa" w:w="3120"/>
            <w:tcBorders>
              <w:top w:val="none" w:color="000000" w:sz="4"/>
              <w:left w:val="none" w:color="000000" w:sz="4"/>
              <w:bottom w:val="single" w:color="000000" w:sz="4"/>
              <w:right w:val="single" w:color="000000" w:sz="4"/>
            </w:tcBorders>
          </w:tcPr>
          <w:p>
            <w:pPr>
              <w:jc w:val="center"/>
            </w:pPr>
            <w:r>
              <w:rPr>
                <w:sz w:val="21"/>
              </w:rPr>
              <w:t>网联汽车智能化控制技术综合实训系统（自动驾驶开发者套件）</w:t>
            </w:r>
          </w:p>
        </w:tc>
        <w:tc>
          <w:tcPr>
            <w:tcW w:type="dxa" w:w="1980"/>
            <w:tcBorders>
              <w:top w:val="none" w:color="000000" w:sz="4"/>
              <w:left w:val="none" w:color="000000" w:sz="4"/>
              <w:bottom w:val="single" w:color="000000" w:sz="4"/>
              <w:right w:val="single" w:color="000000" w:sz="4"/>
            </w:tcBorders>
          </w:tcPr>
          <w:p>
            <w:pPr>
              <w:jc w:val="center"/>
            </w:pPr>
            <w:r>
              <w:rPr>
                <w:sz w:val="21"/>
              </w:rPr>
              <w:t>套</w:t>
            </w:r>
          </w:p>
        </w:tc>
        <w:tc>
          <w:tcPr>
            <w:tcW w:type="dxa" w:w="1695"/>
            <w:tcBorders>
              <w:top w:val="none" w:color="000000" w:sz="4"/>
              <w:left w:val="none" w:color="000000" w:sz="4"/>
              <w:bottom w:val="single" w:color="000000" w:sz="4"/>
              <w:right w:val="single" w:color="000000" w:sz="4"/>
            </w:tcBorders>
          </w:tcPr>
          <w:p>
            <w:pPr>
              <w:jc w:val="center"/>
            </w:pPr>
            <w:r>
              <w:rPr>
                <w:sz w:val="21"/>
              </w:rPr>
              <w:t>1</w:t>
            </w:r>
          </w:p>
        </w:tc>
      </w:tr>
      <w:tr>
        <w:tc>
          <w:tcPr>
            <w:tcW w:type="dxa" w:w="1425"/>
            <w:tcBorders>
              <w:top w:val="none" w:color="000000" w:sz="4"/>
              <w:left w:val="single" w:color="000000" w:sz="4"/>
              <w:bottom w:val="single" w:color="000000" w:sz="4"/>
              <w:right w:val="single" w:color="000000" w:sz="4"/>
            </w:tcBorders>
          </w:tcPr>
          <w:p>
            <w:pPr>
              <w:jc w:val="center"/>
            </w:pPr>
            <w:r>
              <w:rPr>
                <w:sz w:val="21"/>
              </w:rPr>
              <w:t>2</w:t>
            </w:r>
          </w:p>
        </w:tc>
        <w:tc>
          <w:tcPr>
            <w:tcW w:type="dxa" w:w="3120"/>
            <w:tcBorders>
              <w:top w:val="none" w:color="000000" w:sz="4"/>
              <w:left w:val="none" w:color="000000" w:sz="4"/>
              <w:bottom w:val="single" w:color="000000" w:sz="4"/>
              <w:right w:val="single" w:color="000000" w:sz="4"/>
            </w:tcBorders>
          </w:tcPr>
          <w:p>
            <w:pPr>
              <w:jc w:val="center"/>
            </w:pPr>
            <w:r>
              <w:rPr>
                <w:sz w:val="21"/>
              </w:rPr>
              <w:t>CAN</w:t>
            </w:r>
            <w:r>
              <w:rPr>
                <w:sz w:val="21"/>
              </w:rPr>
              <w:t>分析仪</w:t>
            </w:r>
          </w:p>
        </w:tc>
        <w:tc>
          <w:tcPr>
            <w:tcW w:type="dxa" w:w="1980"/>
            <w:tcBorders>
              <w:top w:val="none" w:color="000000" w:sz="4"/>
              <w:left w:val="none" w:color="000000" w:sz="4"/>
              <w:bottom w:val="single" w:color="000000" w:sz="4"/>
              <w:right w:val="single" w:color="000000" w:sz="4"/>
            </w:tcBorders>
          </w:tcPr>
          <w:p>
            <w:pPr>
              <w:jc w:val="center"/>
            </w:pPr>
            <w:r>
              <w:rPr>
                <w:sz w:val="21"/>
              </w:rPr>
              <w:t>个</w:t>
            </w:r>
          </w:p>
        </w:tc>
        <w:tc>
          <w:tcPr>
            <w:tcW w:type="dxa" w:w="1695"/>
            <w:tcBorders>
              <w:top w:val="none" w:color="000000" w:sz="4"/>
              <w:left w:val="none" w:color="000000" w:sz="4"/>
              <w:bottom w:val="single" w:color="000000" w:sz="4"/>
              <w:right w:val="single" w:color="000000" w:sz="4"/>
            </w:tcBorders>
          </w:tcPr>
          <w:p>
            <w:pPr>
              <w:jc w:val="center"/>
            </w:pPr>
            <w:r>
              <w:rPr>
                <w:sz w:val="21"/>
              </w:rPr>
              <w:t>2</w:t>
            </w:r>
          </w:p>
        </w:tc>
      </w:tr>
      <w:tr>
        <w:tc>
          <w:tcPr>
            <w:tcW w:type="dxa" w:w="1425"/>
            <w:tcBorders>
              <w:top w:val="none" w:color="000000" w:sz="4"/>
              <w:left w:val="single" w:color="000000" w:sz="4"/>
              <w:bottom w:val="single" w:color="000000" w:sz="4"/>
              <w:right w:val="single" w:color="000000" w:sz="4"/>
            </w:tcBorders>
          </w:tcPr>
          <w:p>
            <w:pPr>
              <w:jc w:val="center"/>
            </w:pPr>
            <w:r>
              <w:rPr>
                <w:sz w:val="21"/>
              </w:rPr>
              <w:t>3</w:t>
            </w:r>
          </w:p>
        </w:tc>
        <w:tc>
          <w:tcPr>
            <w:tcW w:type="dxa" w:w="3120"/>
            <w:tcBorders>
              <w:top w:val="none" w:color="000000" w:sz="4"/>
              <w:left w:val="none" w:color="000000" w:sz="4"/>
              <w:bottom w:val="single" w:color="000000" w:sz="4"/>
              <w:right w:val="single" w:color="000000" w:sz="4"/>
            </w:tcBorders>
          </w:tcPr>
          <w:p>
            <w:pPr>
              <w:jc w:val="center"/>
            </w:pPr>
            <w:r>
              <w:rPr>
                <w:sz w:val="21"/>
              </w:rPr>
              <w:t>标定板</w:t>
            </w:r>
          </w:p>
        </w:tc>
        <w:tc>
          <w:tcPr>
            <w:tcW w:type="dxa" w:w="1980"/>
            <w:tcBorders>
              <w:top w:val="none" w:color="000000" w:sz="4"/>
              <w:left w:val="none" w:color="000000" w:sz="4"/>
              <w:bottom w:val="single" w:color="000000" w:sz="4"/>
              <w:right w:val="single" w:color="000000" w:sz="4"/>
            </w:tcBorders>
          </w:tcPr>
          <w:p>
            <w:pPr>
              <w:jc w:val="center"/>
            </w:pPr>
            <w:r>
              <w:rPr>
                <w:sz w:val="21"/>
              </w:rPr>
              <w:t>个</w:t>
            </w:r>
          </w:p>
        </w:tc>
        <w:tc>
          <w:tcPr>
            <w:tcW w:type="dxa" w:w="1695"/>
            <w:tcBorders>
              <w:top w:val="none" w:color="000000" w:sz="4"/>
              <w:left w:val="none" w:color="000000" w:sz="4"/>
              <w:bottom w:val="single" w:color="000000" w:sz="4"/>
              <w:right w:val="single" w:color="000000" w:sz="4"/>
            </w:tcBorders>
          </w:tcPr>
          <w:p>
            <w:pPr>
              <w:jc w:val="center"/>
            </w:pPr>
            <w:r>
              <w:rPr>
                <w:sz w:val="21"/>
              </w:rPr>
              <w:t>1</w:t>
            </w:r>
          </w:p>
        </w:tc>
      </w:tr>
    </w:tbl>
    <w:p/>
    <w:p>
      <w:pPr>
        <w:ind w:firstLine="480"/>
      </w:pPr>
    </w:p>
    <w:p/>
    <w:p>
      <w:r>
        <w:rPr/>
        <w:t>合同包1（智能网联汽车技术应用技能竞赛专用仪器及设备采购）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合同签订后7天内完成供货、安装和调试并交付用户使用。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1期：支付比例100%,验收合格且双方签字盖章后5个工作日内一次性付清，中标人凭以下有效文件与采购人结算： （1）合同 （2）中标人开具的正式发票 （3）中标通知书</w:t>
            </w:r>
          </w:p>
        </w:tc>
      </w:tr>
      <w:tr>
        <w:tc>
          <w:tcPr>
            <w:tcW w:type="dxa" w:w="4153"/>
          </w:tcPr>
          <w:p>
            <w:r>
              <w:rPr/>
              <w:t>验收要求</w:t>
            </w:r>
          </w:p>
        </w:tc>
        <w:tc>
          <w:tcPr>
            <w:tcW w:type="dxa" w:w="4153"/>
          </w:tcPr>
          <w:p/>
          <w:p/>
          <w:p/>
          <w:p>
            <w:r>
              <w:rPr/>
              <w:t>1期：1.1 中标人必须依照招标文件的要求和投标文件的承诺，将设备、系统安装并调试至正常运行的最佳状态。 1.2货物若有国家标准按照国家标准验收，若无国家标准按行业标准验收，须为原制造商制造的全新产品，整机无污染，无侵权行为、表面无划损、无任何缺陷隐患，在中国境内可依常规安全合法使用。1.3 货物为原厂商未启封全新包装，具出厂合格证，序列号、包装箱号与出厂批号一致，并可追索查阅。所有随设备的附件必须齐全。1.4 中标人应将关键主机设备的用户手册、保修手册、有关单证资料及配备件、随机工具等交付给采购人，使用操作及安全须知等重要资料应附有中文说明。 1.5中标人负责安装调试，一切费用由中标人负责。1.6 中标人安装时须对各安装场地内的其它设备、设施有良好保护措施。1.7验收工作由采购人组织。中标人负责安装、调试货物并使之达到合同要求。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1.交货地点及交货期，合同签订后7天内完成供货、安装和调试并交付用户使用，交货地点为采购人指定地点。</w:t>
            </w:r>
          </w:p>
          <w:p/>
          <w:p>
            <w:r>
              <w:rPr/>
              <w:t>2.供货要求， 2.1中标人应提供原装、全新的、符合国家质量标准及产品出厂标准的设备，且所有用料不带有害气体，符合国家环保标准。2.2所有货物在开箱时必须完好，无破损，配置与装箱单相符；数量、质量及性能要求与合同和投标响应详细参数一致；拆箱后，中标人应对其全部产品、零件、配件、用户许可证书、资料，登记册作为验收文档之一。</w:t>
            </w:r>
          </w:p>
          <w:p/>
          <w:p>
            <w:r>
              <w:rPr/>
              <w:t>3.发运货物时随机技术资料要求， 3.1中标人同时提供有关货物的使用说明书、关键配套件清单、安装、调试、使用、维修和保养所需的足够的中文技术文件（图纸、手册和技术资料）。3.2中标人应货物验收时将全部有关产品的说明书、原厂家安装手册、技术文件、资料、及安装、验收报告等文档汇集成册交付使用单位。</w:t>
            </w:r>
          </w:p>
          <w:p/>
          <w:p>
            <w:r>
              <w:rPr/>
              <w:t>4.技术培训，中标人向使用单位的操作、维修人员提供全套设备的技术培训，并按使用单位的工作周期规律提供持续性的分期、分批技术培训支持，并提供详细的培训手册和教材，包括产品使用、功能应用、教学应用管理、日常维护、安装调试、运维监控等在内的技术培训工作。培训形式应采用理论培训和上机实践操作相结合的方式。</w:t>
            </w:r>
          </w:p>
          <w:p/>
          <w:p>
            <w:r>
              <w:rPr/>
              <w:t>5.安装调试，5.1中标人负责设备的安装、调试、检验。 5.2设备到达采购人实验室后，中标人应在72小时内派技术人员到达现场，在双方人员在场的情况下，开箱清点货物，组织安装、调试并对安装调试错误所导致的设备损坏承担全部赔偿责任，并承担因此发生的一切费用。 5.3安装调试期间遵守采购人管理。</w:t>
            </w:r>
          </w:p>
          <w:p/>
          <w:p>
            <w:r>
              <w:rPr/>
              <w:t>6.售后维护，6.1中标人保证合同设备是全新、未曾使用过的，其质量、规格及技术特征符合招标文件的要求。中标人必须对交付的货物在质量保修期内及保修期外承担质量保修责任。6.2免费保修期不得少于3年（采购人验收合格之日起计算，如保修期在技术参数中已有要求的从其要求），并提供免费上门服务，同时每年一次上门免费检修一次，确保所有设备能够正常使用。6.3中标人须提供常设7天×24小时热线服务和长期的免费技术支持，在货物安装地所在地级市内设有长期稳定或合作代理售后服务机构。设备维修响应时间：①工作时间（节假日除外）内为1小时内故障响应，4小时内到达现场提供服务，12小时内处理完毕；②非工作时间（工作时间以外的时间）内为4小时内故障响应，8小时内到达现场提供服务，24小时内处理完毕。若主要设备的故障在36小时内仍未处理完毕，中标人必须免费提供相同档次的货物予采购人临时使用或采取应急措施解决，不得影响采购人的正常工作业务。中标人应定期派员对采购人的货物进行必要的保养维护。6.4中标人要求提供相应的免费技术培训，为采购人培训相关技术人员，保证操作者完全熟悉仪器的全部功能，并提供设备原版的维修手册、使用手册。操作及维护培训的主要内容为设备的基本结构、性能、主要部件的构造及原理，日常使用操作、保养与管理，常见故障的排除，紧急情况的处理等。培训地点应在设备安装现场或协商安排。6.5中标人提供终身免费维修服务，如需要更换零配件只收成本费，不收维修费。应提供3年不变的常用零配件价格表。6.6投标人（或中标人）必须保证该批设备型号在五年内厂家不停产，并保证售后服务所需零件的供应。</w:t>
            </w:r>
          </w:p>
          <w:p/>
          <w:p>
            <w:r>
              <w:rPr/>
              <w:t>7.质保要求，由货物制造厂商提供3年或以上免费上门保修服务。</w:t>
            </w:r>
          </w:p>
          <w:p/>
          <w:p>
            <w:r>
              <w:rPr/>
              <w:t>8.其他补充，成交公告发出之日起7天内签订合同。</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教学专用仪器</w:t>
            </w:r>
          </w:p>
        </w:tc>
        <w:tc>
          <w:tcPr>
            <w:tcW w:type="dxa" w:w="831"/>
          </w:tcPr>
          <w:p>
            <w:pPr>
              <w:jc w:val="left"/>
            </w:pPr>
            <w:r>
              <w:rPr/>
              <w:t>网联汽车智能化控制技术综合实训系统（自动驾驶开发者套件）</w:t>
            </w:r>
          </w:p>
        </w:tc>
        <w:tc>
          <w:tcPr>
            <w:tcW w:type="dxa" w:w="831"/>
          </w:tcPr>
          <w:p>
            <w:pPr>
              <w:jc w:val="left"/>
            </w:pPr>
            <w:r>
              <w:rPr/>
              <w:t>套</w:t>
            </w:r>
          </w:p>
        </w:tc>
        <w:tc>
          <w:tcPr>
            <w:tcW w:type="dxa" w:w="831"/>
          </w:tcPr>
          <w:p>
            <w:pPr>
              <w:jc w:val="right"/>
            </w:pPr>
            <w:r>
              <w:rPr/>
              <w:t>1.00</w:t>
            </w:r>
          </w:p>
        </w:tc>
        <w:tc>
          <w:tcPr>
            <w:tcW w:type="dxa" w:w="831"/>
          </w:tcPr>
          <w:p>
            <w:pPr>
              <w:jc w:val="right"/>
            </w:pPr>
            <w:r>
              <w:rPr/>
              <w:t>680,000.00</w:t>
            </w:r>
          </w:p>
        </w:tc>
        <w:tc>
          <w:tcPr>
            <w:tcW w:type="dxa" w:w="831"/>
          </w:tcPr>
          <w:p>
            <w:pPr>
              <w:jc w:val="right"/>
            </w:pPr>
            <w:r>
              <w:rPr/>
              <w:t>680,000.00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教学专用仪器</w:t>
            </w:r>
          </w:p>
        </w:tc>
        <w:tc>
          <w:tcPr>
            <w:tcW w:type="dxa" w:w="831"/>
          </w:tcPr>
          <w:p>
            <w:pPr>
              <w:jc w:val="left"/>
            </w:pPr>
            <w:r>
              <w:rPr/>
              <w:t>其他设备</w:t>
            </w:r>
          </w:p>
        </w:tc>
        <w:tc>
          <w:tcPr>
            <w:tcW w:type="dxa" w:w="831"/>
          </w:tcPr>
          <w:p>
            <w:pPr>
              <w:jc w:val="left"/>
            </w:pPr>
            <w:r>
              <w:rPr/>
              <w:t>批</w:t>
            </w:r>
          </w:p>
        </w:tc>
        <w:tc>
          <w:tcPr>
            <w:tcW w:type="dxa" w:w="831"/>
          </w:tcPr>
          <w:p>
            <w:pPr>
              <w:jc w:val="right"/>
            </w:pPr>
            <w:r>
              <w:rPr/>
              <w:t>1.00</w:t>
            </w:r>
          </w:p>
        </w:tc>
        <w:tc>
          <w:tcPr>
            <w:tcW w:type="dxa" w:w="831"/>
          </w:tcPr>
          <w:p>
            <w:pPr>
              <w:jc w:val="right"/>
            </w:pPr>
            <w:r>
              <w:rPr/>
              <w:t>1,800.00</w:t>
            </w:r>
          </w:p>
        </w:tc>
        <w:tc>
          <w:tcPr>
            <w:tcW w:type="dxa" w:w="831"/>
          </w:tcPr>
          <w:p>
            <w:pPr>
              <w:jc w:val="right"/>
            </w:pPr>
            <w:r>
              <w:rPr/>
              <w:t>1,800.00</w:t>
            </w:r>
          </w:p>
        </w:tc>
        <w:tc>
          <w:tcPr>
            <w:tcW w:type="dxa" w:w="831"/>
          </w:tcPr>
          <w:p>
            <w:r>
              <w:rPr/>
              <w:t>工业</w:t>
            </w:r>
          </w:p>
        </w:tc>
        <w:tc>
          <w:tcPr>
            <w:tcW w:type="dxa" w:w="831"/>
          </w:tcPr>
          <w:p>
            <w:r>
              <w:rPr/>
              <w:t>详见附表二</w:t>
            </w:r>
          </w:p>
        </w:tc>
      </w:tr>
    </w:tbl>
    <w:p/>
    <w:p>
      <w:r>
        <w:rPr>
          <w:b/>
        </w:rPr>
        <w:t>附表</w:t>
      </w:r>
      <w:r>
        <w:rPr>
          <w:b/>
        </w:rPr>
        <w:t>一</w:t>
      </w:r>
      <w:r>
        <w:rPr>
          <w:b/>
        </w:rPr>
        <w:t>：</w:t>
      </w:r>
      <w:r>
        <w:rPr>
          <w:b/>
        </w:rPr>
        <w:t>网联汽车智能化控制技术综合实训系统（自动驾驶开发者套件）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一、技术描述：</w:t>
            </w:r>
          </w:p>
          <w:p>
            <w:pPr>
              <w:jc w:val="both"/>
            </w:pPr>
            <w:r>
              <w:rPr>
                <w:sz w:val="21"/>
              </w:rPr>
              <w:t>自动驾驶开发者套件由线控底盘车辆和上装自动驾驶系统组成。线控底盘包括线控驱动系统、动力电池包及管理系统、车架车身系统、线控转向系统、线控制动系统、线控照明系统等。自动驾驶系统包括激光雷达、摄像头、超声波雷达、毫米波雷达、组合导航、自动驾驶主机、显示屏、故障设置与诊断系统等。</w:t>
            </w:r>
          </w:p>
          <w:p>
            <w:pPr>
              <w:jc w:val="both"/>
            </w:pPr>
            <w:r>
              <w:rPr>
                <w:sz w:val="21"/>
              </w:rPr>
              <w:t>自动驾驶开发者套件功能要求：</w:t>
            </w:r>
          </w:p>
          <w:p>
            <w:pPr>
              <w:jc w:val="both"/>
            </w:pPr>
            <w:r>
              <w:rPr>
                <w:sz w:val="21"/>
              </w:rPr>
              <w:t xml:space="preserve">1) </w:t>
            </w:r>
            <w:r>
              <w:rPr>
                <w:sz w:val="21"/>
              </w:rPr>
              <w:t>可发送 CAN信息进行底盘调测</w:t>
            </w:r>
          </w:p>
          <w:p>
            <w:pPr>
              <w:jc w:val="both"/>
            </w:pPr>
            <w:r>
              <w:rPr>
                <w:sz w:val="21"/>
              </w:rPr>
              <w:t>2)  GPS</w:t>
            </w:r>
            <w:r>
              <w:rPr>
                <w:sz w:val="21"/>
              </w:rPr>
              <w:t>循迹</w:t>
            </w:r>
          </w:p>
          <w:p>
            <w:pPr>
              <w:jc w:val="both"/>
            </w:pPr>
            <w:r>
              <w:rPr>
                <w:sz w:val="21"/>
              </w:rPr>
              <w:t xml:space="preserve">3) </w:t>
            </w:r>
            <w:r>
              <w:rPr>
                <w:sz w:val="21"/>
              </w:rPr>
              <w:t>云服务地图录制</w:t>
            </w:r>
          </w:p>
          <w:p>
            <w:pPr>
              <w:jc w:val="both"/>
            </w:pPr>
            <w:r>
              <w:rPr>
                <w:sz w:val="21"/>
              </w:rPr>
              <w:t xml:space="preserve">4) </w:t>
            </w:r>
            <w:r>
              <w:rPr>
                <w:sz w:val="21"/>
              </w:rPr>
              <w:t>使用激光雷达实现环境感知</w:t>
            </w:r>
          </w:p>
          <w:p>
            <w:pPr>
              <w:jc w:val="both"/>
            </w:pPr>
            <w:r>
              <w:rPr>
                <w:sz w:val="21"/>
              </w:rPr>
              <w:t xml:space="preserve">5) </w:t>
            </w:r>
            <w:r>
              <w:rPr>
                <w:sz w:val="21"/>
              </w:rPr>
              <w:t>使用摄像头实现环境感知</w:t>
            </w:r>
          </w:p>
          <w:p>
            <w:pPr>
              <w:jc w:val="both"/>
            </w:pPr>
            <w:r>
              <w:rPr>
                <w:sz w:val="21"/>
              </w:rPr>
              <w:t xml:space="preserve">6) </w:t>
            </w:r>
            <w:r>
              <w:rPr>
                <w:sz w:val="21"/>
              </w:rPr>
              <w:t>自动驾驶避障与绕障</w:t>
            </w:r>
          </w:p>
          <w:p>
            <w:pPr>
              <w:jc w:val="both"/>
            </w:pPr>
            <w:r>
              <w:rPr>
                <w:sz w:val="21"/>
              </w:rPr>
              <w:t xml:space="preserve">7) </w:t>
            </w:r>
            <w:r>
              <w:rPr>
                <w:sz w:val="21"/>
              </w:rPr>
              <w:t>▲自动泊车</w:t>
            </w:r>
          </w:p>
          <w:p>
            <w:pPr>
              <w:jc w:val="both"/>
            </w:pPr>
            <w:r>
              <w:rPr>
                <w:sz w:val="21"/>
              </w:rPr>
              <w:t>需派遣同时具备维修电工二级或以上、汽车维修工二级或相应以上等级证书、新能源汽车相关省级大赛优秀裁判员、区级及以上职业技能大赛优秀辅导教师证书的技术人员到场进行指导培训。</w:t>
            </w:r>
          </w:p>
        </w:tc>
      </w:tr>
      <w:tr>
        <w:tc>
          <w:tcPr>
            <w:tcW w:type="dxa" w:w="2076"/>
          </w:tcPr>
          <w:p/>
        </w:tc>
        <w:tc>
          <w:tcPr>
            <w:tcW w:type="dxa" w:w="415"/>
          </w:tcPr>
          <w:p>
            <w:r>
              <w:rPr/>
              <w:t>2</w:t>
            </w:r>
          </w:p>
        </w:tc>
        <w:tc>
          <w:tcPr>
            <w:tcW w:type="dxa" w:w="5814"/>
          </w:tcPr>
          <w:p>
            <w:pPr>
              <w:jc w:val="both"/>
            </w:pPr>
            <w:r>
              <w:rPr>
                <w:b/>
                <w:sz w:val="21"/>
              </w:rPr>
              <w:t>二、技术参数要求：</w:t>
            </w:r>
          </w:p>
          <w:p>
            <w:pPr>
              <w:jc w:val="both"/>
            </w:pPr>
            <w:r>
              <w:rPr>
                <w:b/>
                <w:sz w:val="21"/>
              </w:rPr>
              <w:t>（一）整车及底盘参数</w:t>
            </w:r>
          </w:p>
          <w:p>
            <w:pPr>
              <w:jc w:val="both"/>
            </w:pPr>
            <w:r>
              <w:rPr>
                <w:b/>
                <w:sz w:val="21"/>
              </w:rPr>
              <w:t>1.</w:t>
            </w:r>
            <w:r>
              <w:rPr>
                <w:b/>
                <w:sz w:val="21"/>
              </w:rPr>
              <w:t>底车参数</w:t>
            </w:r>
          </w:p>
          <w:p>
            <w:pPr>
              <w:jc w:val="both"/>
            </w:pPr>
            <w:r>
              <w:rPr>
                <w:sz w:val="21"/>
              </w:rPr>
              <w:t xml:space="preserve">1) </w:t>
            </w:r>
            <w:r>
              <w:rPr>
                <w:sz w:val="21"/>
              </w:rPr>
              <w:t>尺寸:小于1300mm(L)x830mm(W)x483mm(H)</w:t>
            </w:r>
          </w:p>
          <w:p>
            <w:pPr>
              <w:jc w:val="both"/>
            </w:pPr>
            <w:r>
              <w:rPr>
                <w:sz w:val="21"/>
              </w:rPr>
              <w:t xml:space="preserve">2) </w:t>
            </w:r>
            <w:r>
              <w:rPr>
                <w:sz w:val="21"/>
              </w:rPr>
              <w:t>轴距：≥1015mm</w:t>
            </w:r>
          </w:p>
          <w:p>
            <w:pPr>
              <w:jc w:val="both"/>
            </w:pPr>
            <w:r>
              <w:rPr>
                <w:sz w:val="21"/>
              </w:rPr>
              <w:t xml:space="preserve">3) </w:t>
            </w:r>
            <w:r>
              <w:rPr>
                <w:sz w:val="21"/>
              </w:rPr>
              <w:t>轮距：≥710mm</w:t>
            </w:r>
          </w:p>
          <w:p>
            <w:pPr>
              <w:jc w:val="both"/>
            </w:pPr>
            <w:r>
              <w:rPr>
                <w:sz w:val="21"/>
              </w:rPr>
              <w:t xml:space="preserve">4) </w:t>
            </w:r>
            <w:r>
              <w:rPr>
                <w:sz w:val="21"/>
              </w:rPr>
              <w:t>支架：桁架式高刚度车架</w:t>
            </w:r>
          </w:p>
          <w:p>
            <w:pPr>
              <w:jc w:val="both"/>
            </w:pPr>
            <w:r>
              <w:rPr>
                <w:sz w:val="21"/>
              </w:rPr>
              <w:t xml:space="preserve">5) </w:t>
            </w:r>
            <w:r>
              <w:rPr>
                <w:sz w:val="21"/>
              </w:rPr>
              <w:t>质量：最大承重≥100kg</w:t>
            </w:r>
          </w:p>
          <w:p>
            <w:pPr>
              <w:jc w:val="both"/>
            </w:pPr>
            <w:r>
              <w:rPr>
                <w:sz w:val="21"/>
              </w:rPr>
              <w:t xml:space="preserve">6) </w:t>
            </w:r>
            <w:r>
              <w:rPr>
                <w:sz w:val="21"/>
              </w:rPr>
              <w:t>悬挂系统：双叉臂独立悬架系统</w:t>
            </w:r>
          </w:p>
          <w:p>
            <w:pPr>
              <w:jc w:val="both"/>
            </w:pPr>
            <w:r>
              <w:rPr>
                <w:sz w:val="21"/>
              </w:rPr>
              <w:t xml:space="preserve">7) </w:t>
            </w:r>
            <w:r>
              <w:rPr>
                <w:sz w:val="21"/>
              </w:rPr>
              <w:t>车速:巡航≥10km/h、最高≥20km/h</w:t>
            </w:r>
          </w:p>
          <w:p>
            <w:pPr>
              <w:jc w:val="both"/>
            </w:pPr>
            <w:r>
              <w:rPr>
                <w:sz w:val="21"/>
              </w:rPr>
              <w:t xml:space="preserve">8) </w:t>
            </w:r>
            <w:r>
              <w:rPr>
                <w:sz w:val="21"/>
              </w:rPr>
              <w:t>最大爬坡能力：30%</w:t>
            </w:r>
          </w:p>
          <w:p>
            <w:pPr>
              <w:jc w:val="both"/>
            </w:pPr>
            <w:r>
              <w:rPr>
                <w:sz w:val="21"/>
              </w:rPr>
              <w:t xml:space="preserve">9) </w:t>
            </w:r>
            <w:r>
              <w:rPr>
                <w:sz w:val="21"/>
              </w:rPr>
              <w:t>续航里程：≥20km（综合工况）</w:t>
            </w:r>
          </w:p>
          <w:p>
            <w:pPr>
              <w:jc w:val="both"/>
            </w:pPr>
            <w:r>
              <w:rPr>
                <w:sz w:val="21"/>
              </w:rPr>
              <w:t>10)</w:t>
            </w:r>
            <w:r>
              <w:rPr>
                <w:sz w:val="21"/>
              </w:rPr>
              <w:t>续航时间：&gt;6h</w:t>
            </w:r>
          </w:p>
          <w:p>
            <w:pPr>
              <w:jc w:val="both"/>
            </w:pPr>
            <w:r>
              <w:rPr>
                <w:b/>
                <w:sz w:val="21"/>
              </w:rPr>
              <w:t>2.</w:t>
            </w:r>
            <w:r>
              <w:rPr>
                <w:b/>
                <w:sz w:val="21"/>
              </w:rPr>
              <w:t>车架及车身系统线控动/制动系统</w:t>
            </w:r>
          </w:p>
          <w:p>
            <w:pPr>
              <w:jc w:val="both"/>
            </w:pPr>
            <w:r>
              <w:rPr>
                <w:sz w:val="21"/>
              </w:rPr>
              <w:t xml:space="preserve">1) </w:t>
            </w:r>
            <w:r>
              <w:rPr>
                <w:sz w:val="21"/>
              </w:rPr>
              <w:t>控制方式：纯电动线控底盘</w:t>
            </w:r>
          </w:p>
          <w:p>
            <w:pPr>
              <w:jc w:val="both"/>
            </w:pPr>
            <w:r>
              <w:rPr>
                <w:sz w:val="21"/>
              </w:rPr>
              <w:t xml:space="preserve">2) </w:t>
            </w:r>
            <w:r>
              <w:rPr>
                <w:sz w:val="21"/>
              </w:rPr>
              <w:t>底盘结构：一体式设备舱+整体桥+拖拽臂</w:t>
            </w:r>
          </w:p>
          <w:p>
            <w:pPr>
              <w:jc w:val="both"/>
            </w:pPr>
            <w:r>
              <w:rPr>
                <w:sz w:val="21"/>
              </w:rPr>
              <w:t xml:space="preserve">3) </w:t>
            </w:r>
            <w:r>
              <w:rPr>
                <w:sz w:val="21"/>
              </w:rPr>
              <w:t>驱动方式： 电力驱动</w:t>
            </w:r>
          </w:p>
          <w:p>
            <w:pPr>
              <w:jc w:val="both"/>
            </w:pPr>
            <w:r>
              <w:rPr>
                <w:sz w:val="21"/>
              </w:rPr>
              <w:t xml:space="preserve">4) </w:t>
            </w:r>
            <w:r>
              <w:rPr>
                <w:sz w:val="21"/>
              </w:rPr>
              <w:t>▲驱动电机类型：轮毂电机</w:t>
            </w:r>
          </w:p>
          <w:p>
            <w:pPr>
              <w:jc w:val="both"/>
            </w:pPr>
            <w:r>
              <w:rPr>
                <w:sz w:val="21"/>
              </w:rPr>
              <w:t xml:space="preserve">5) </w:t>
            </w:r>
            <w:r>
              <w:rPr>
                <w:sz w:val="21"/>
              </w:rPr>
              <w:t>电机功率：≥400W * 4</w:t>
            </w:r>
          </w:p>
          <w:p>
            <w:pPr>
              <w:jc w:val="both"/>
            </w:pPr>
            <w:r>
              <w:rPr>
                <w:sz w:val="21"/>
              </w:rPr>
              <w:t xml:space="preserve">6) </w:t>
            </w:r>
            <w:r>
              <w:rPr>
                <w:sz w:val="21"/>
              </w:rPr>
              <w:t>▲控制方式：2种控制模式可调，包括：速度闭环模式和油门踏板模式</w:t>
            </w:r>
          </w:p>
          <w:p>
            <w:pPr>
              <w:jc w:val="both"/>
            </w:pPr>
            <w:r>
              <w:rPr>
                <w:sz w:val="21"/>
              </w:rPr>
              <w:t xml:space="preserve">7) </w:t>
            </w:r>
            <w:r>
              <w:rPr>
                <w:sz w:val="21"/>
              </w:rPr>
              <w:t>制动形式：液压卡钳制动</w:t>
            </w:r>
          </w:p>
          <w:p>
            <w:pPr>
              <w:jc w:val="both"/>
            </w:pPr>
            <w:r>
              <w:rPr>
                <w:b/>
                <w:sz w:val="21"/>
              </w:rPr>
              <w:t>3.</w:t>
            </w:r>
            <w:r>
              <w:rPr>
                <w:b/>
                <w:sz w:val="21"/>
              </w:rPr>
              <w:t>线控转向系统</w:t>
            </w:r>
          </w:p>
          <w:p>
            <w:pPr>
              <w:jc w:val="both"/>
            </w:pPr>
            <w:r>
              <w:rPr>
                <w:sz w:val="21"/>
              </w:rPr>
              <w:t xml:space="preserve">1) </w:t>
            </w:r>
            <w:r>
              <w:rPr>
                <w:sz w:val="21"/>
              </w:rPr>
              <w:t>▲转向形式：3种转向模式，包括：前桥阿克曼转向，同向四轮转向，逆向四轮转向</w:t>
            </w:r>
          </w:p>
          <w:p>
            <w:pPr>
              <w:jc w:val="both"/>
            </w:pPr>
            <w:r>
              <w:rPr>
                <w:sz w:val="21"/>
              </w:rPr>
              <w:t xml:space="preserve">2) </w:t>
            </w:r>
            <w:r>
              <w:rPr>
                <w:sz w:val="21"/>
              </w:rPr>
              <w:t>控制方式：转速/转矩/位置</w:t>
            </w:r>
          </w:p>
          <w:p>
            <w:pPr>
              <w:jc w:val="both"/>
            </w:pPr>
            <w:r>
              <w:rPr>
                <w:sz w:val="21"/>
              </w:rPr>
              <w:t xml:space="preserve">3) </w:t>
            </w:r>
            <w:r>
              <w:rPr>
                <w:sz w:val="21"/>
              </w:rPr>
              <w:t>最大内轮转角：24°</w:t>
            </w:r>
          </w:p>
          <w:p>
            <w:pPr>
              <w:jc w:val="both"/>
            </w:pPr>
            <w:r>
              <w:rPr>
                <w:sz w:val="21"/>
              </w:rPr>
              <w:t xml:space="preserve">4) </w:t>
            </w:r>
            <w:r>
              <w:rPr>
                <w:sz w:val="21"/>
              </w:rPr>
              <w:t>转向精度：0.08°</w:t>
            </w:r>
          </w:p>
          <w:p>
            <w:pPr>
              <w:jc w:val="both"/>
            </w:pPr>
            <w:r>
              <w:rPr>
                <w:sz w:val="21"/>
              </w:rPr>
              <w:t xml:space="preserve">5) </w:t>
            </w:r>
            <w:r>
              <w:rPr>
                <w:sz w:val="21"/>
              </w:rPr>
              <w:t>最小转弯半径：2.5m（前轮阿克曼转向）</w:t>
            </w:r>
          </w:p>
          <w:p>
            <w:pPr>
              <w:jc w:val="both"/>
            </w:pPr>
            <w:r>
              <w:rPr>
                <w:sz w:val="21"/>
              </w:rPr>
              <w:t xml:space="preserve">6) </w:t>
            </w:r>
            <w:r>
              <w:rPr>
                <w:sz w:val="21"/>
              </w:rPr>
              <w:t>额定电压：12V</w:t>
            </w:r>
          </w:p>
          <w:p>
            <w:pPr>
              <w:jc w:val="both"/>
            </w:pPr>
            <w:r>
              <w:rPr>
                <w:b/>
                <w:sz w:val="21"/>
              </w:rPr>
              <w:t>4.</w:t>
            </w:r>
            <w:r>
              <w:rPr>
                <w:b/>
                <w:sz w:val="21"/>
              </w:rPr>
              <w:t>底盘控制系统</w:t>
            </w:r>
          </w:p>
          <w:p>
            <w:pPr>
              <w:jc w:val="both"/>
            </w:pPr>
            <w:r>
              <w:rPr>
                <w:sz w:val="21"/>
              </w:rPr>
              <w:t xml:space="preserve">1) </w:t>
            </w:r>
            <w:r>
              <w:rPr>
                <w:sz w:val="21"/>
              </w:rPr>
              <w:t>底盘ECU：车规级VCU</w:t>
            </w:r>
          </w:p>
          <w:p>
            <w:pPr>
              <w:jc w:val="both"/>
            </w:pPr>
            <w:r>
              <w:rPr>
                <w:sz w:val="21"/>
              </w:rPr>
              <w:t xml:space="preserve">2) </w:t>
            </w:r>
            <w:r>
              <w:rPr>
                <w:sz w:val="21"/>
              </w:rPr>
              <w:t>通讯方式：CAN通讯</w:t>
            </w:r>
          </w:p>
          <w:p>
            <w:pPr>
              <w:jc w:val="both"/>
            </w:pPr>
            <w:r>
              <w:rPr>
                <w:b/>
                <w:sz w:val="21"/>
              </w:rPr>
              <w:t>5.</w:t>
            </w:r>
            <w:r>
              <w:rPr>
                <w:b/>
                <w:sz w:val="21"/>
              </w:rPr>
              <w:t>动力电池系统</w:t>
            </w:r>
          </w:p>
          <w:p>
            <w:pPr>
              <w:jc w:val="both"/>
            </w:pPr>
            <w:r>
              <w:rPr>
                <w:sz w:val="21"/>
              </w:rPr>
              <w:t xml:space="preserve">1) </w:t>
            </w:r>
            <w:r>
              <w:rPr>
                <w:sz w:val="21"/>
              </w:rPr>
              <w:t>形式：车规级锂电池</w:t>
            </w:r>
          </w:p>
          <w:p>
            <w:pPr>
              <w:jc w:val="both"/>
            </w:pPr>
            <w:r>
              <w:rPr>
                <w:sz w:val="21"/>
              </w:rPr>
              <w:t xml:space="preserve">2) </w:t>
            </w:r>
            <w:r>
              <w:rPr>
                <w:sz w:val="21"/>
              </w:rPr>
              <w:t>电池电量：≥2.4Kwh</w:t>
            </w:r>
          </w:p>
          <w:p>
            <w:pPr>
              <w:jc w:val="both"/>
            </w:pPr>
            <w:r>
              <w:rPr>
                <w:sz w:val="21"/>
              </w:rPr>
              <w:t xml:space="preserve">3) </w:t>
            </w:r>
            <w:r>
              <w:rPr>
                <w:sz w:val="21"/>
              </w:rPr>
              <w:t>充电时间：≤3h(0-100%)</w:t>
            </w:r>
          </w:p>
          <w:p>
            <w:pPr>
              <w:jc w:val="both"/>
            </w:pPr>
            <w:r>
              <w:rPr>
                <w:sz w:val="21"/>
              </w:rPr>
              <w:t xml:space="preserve">4) </w:t>
            </w:r>
            <w:r>
              <w:rPr>
                <w:sz w:val="21"/>
              </w:rPr>
              <w:t>电池电压：48V</w:t>
            </w:r>
          </w:p>
          <w:p>
            <w:pPr>
              <w:jc w:val="both"/>
            </w:pPr>
            <w:r>
              <w:rPr>
                <w:sz w:val="21"/>
              </w:rPr>
              <w:t xml:space="preserve">5) </w:t>
            </w:r>
            <w:r>
              <w:rPr>
                <w:sz w:val="21"/>
              </w:rPr>
              <w:t>换电支持：支持</w:t>
            </w:r>
          </w:p>
          <w:p>
            <w:pPr>
              <w:jc w:val="both"/>
            </w:pPr>
            <w:r>
              <w:rPr>
                <w:sz w:val="21"/>
              </w:rPr>
              <w:t>▲BMS系统:具备过充、过放、短接、高温等保护通讯接口:支持CAN总线方式可读取电池主要参数: 包含且不少于剩余电量、电压、电流、单体电压、温度等</w:t>
            </w:r>
          </w:p>
          <w:p>
            <w:pPr>
              <w:jc w:val="both"/>
            </w:pPr>
            <w:r>
              <w:rPr>
                <w:b/>
                <w:sz w:val="21"/>
              </w:rPr>
              <w:t>6.</w:t>
            </w:r>
            <w:r>
              <w:rPr>
                <w:b/>
                <w:sz w:val="21"/>
              </w:rPr>
              <w:t>其他</w:t>
            </w:r>
          </w:p>
          <w:p>
            <w:pPr>
              <w:jc w:val="both"/>
            </w:pPr>
            <w:r>
              <w:rPr>
                <w:b/>
                <w:sz w:val="21"/>
              </w:rPr>
              <w:t>安全性：</w:t>
            </w:r>
          </w:p>
          <w:p>
            <w:pPr>
              <w:jc w:val="both"/>
            </w:pPr>
            <w:r>
              <w:rPr>
                <w:sz w:val="21"/>
              </w:rPr>
              <w:t>1</w:t>
            </w:r>
            <w:r>
              <w:rPr>
                <w:sz w:val="21"/>
              </w:rPr>
              <w:t>、 具备车身急停</w:t>
            </w:r>
          </w:p>
          <w:p>
            <w:pPr>
              <w:jc w:val="both"/>
            </w:pPr>
            <w:r>
              <w:rPr>
                <w:sz w:val="21"/>
              </w:rPr>
              <w:t>2</w:t>
            </w:r>
            <w:r>
              <w:rPr>
                <w:sz w:val="21"/>
              </w:rPr>
              <w:t>、 遥控器远程急停开关</w:t>
            </w:r>
          </w:p>
          <w:p>
            <w:pPr>
              <w:jc w:val="both"/>
            </w:pPr>
            <w:r>
              <w:rPr>
                <w:sz w:val="21"/>
              </w:rPr>
              <w:t>3</w:t>
            </w:r>
            <w:r>
              <w:rPr>
                <w:sz w:val="21"/>
              </w:rPr>
              <w:t>、 碰撞检测传感器能够紧急制动</w:t>
            </w:r>
          </w:p>
          <w:p>
            <w:pPr>
              <w:jc w:val="both"/>
            </w:pPr>
            <w:r>
              <w:rPr>
                <w:sz w:val="21"/>
              </w:rPr>
              <w:t>4</w:t>
            </w:r>
            <w:r>
              <w:rPr>
                <w:sz w:val="21"/>
              </w:rPr>
              <w:t>、 手动驻车系统</w:t>
            </w:r>
          </w:p>
          <w:p>
            <w:pPr>
              <w:jc w:val="both"/>
            </w:pPr>
            <w:r>
              <w:rPr>
                <w:sz w:val="21"/>
              </w:rPr>
              <w:t>5</w:t>
            </w:r>
            <w:r>
              <w:rPr>
                <w:sz w:val="21"/>
              </w:rPr>
              <w:t>、 ▲当车辆在斜坡上停止时自动启动防溜车功能</w:t>
            </w:r>
          </w:p>
          <w:p>
            <w:pPr>
              <w:jc w:val="both"/>
            </w:pPr>
            <w:r>
              <w:rPr>
                <w:sz w:val="21"/>
              </w:rPr>
              <w:t>6</w:t>
            </w:r>
            <w:r>
              <w:rPr>
                <w:sz w:val="21"/>
              </w:rPr>
              <w:t>、 自动驾驶与手动接管模式可以相互切换</w:t>
            </w:r>
          </w:p>
          <w:p>
            <w:pPr>
              <w:jc w:val="both"/>
            </w:pPr>
            <w:r>
              <w:rPr>
                <w:sz w:val="21"/>
              </w:rPr>
              <w:t>7</w:t>
            </w:r>
            <w:r>
              <w:rPr>
                <w:sz w:val="21"/>
              </w:rPr>
              <w:t>、 键盘鼠标固定在设备上</w:t>
            </w:r>
          </w:p>
          <w:p>
            <w:pPr>
              <w:jc w:val="both"/>
            </w:pPr>
            <w:r>
              <w:rPr>
                <w:b/>
                <w:sz w:val="21"/>
              </w:rPr>
              <w:t>供电接口：</w:t>
            </w:r>
          </w:p>
          <w:p>
            <w:pPr>
              <w:jc w:val="both"/>
            </w:pPr>
            <w:r>
              <w:rPr>
                <w:sz w:val="21"/>
              </w:rPr>
              <w:t>1</w:t>
            </w:r>
            <w:r>
              <w:rPr>
                <w:sz w:val="21"/>
              </w:rPr>
              <w:t>、12V供电接口提供200W功率支持</w:t>
            </w:r>
          </w:p>
          <w:p>
            <w:pPr>
              <w:jc w:val="both"/>
            </w:pPr>
            <w:r>
              <w:rPr>
                <w:sz w:val="21"/>
              </w:rPr>
              <w:t>2</w:t>
            </w:r>
            <w:r>
              <w:rPr>
                <w:sz w:val="21"/>
              </w:rPr>
              <w:t>、24V供电接口提供500W功率支持</w:t>
            </w:r>
          </w:p>
          <w:p>
            <w:pPr>
              <w:jc w:val="both"/>
            </w:pPr>
            <w:r>
              <w:rPr>
                <w:b/>
                <w:sz w:val="21"/>
              </w:rPr>
              <w:t>（二）自动驾驶系统</w:t>
            </w:r>
          </w:p>
          <w:p>
            <w:pPr>
              <w:jc w:val="both"/>
            </w:pPr>
            <w:r>
              <w:rPr>
                <w:sz w:val="21"/>
              </w:rPr>
              <w:t>自动驾驶系统由感知系统、决策系统、执行系统和操作平台构成，感知系统包括：摄像头、组合导航；决策系统包括：自动驾驶主机、CAN卡、路由器等；执行系统包括线控转向、驱动、制动等功能。</w:t>
            </w:r>
          </w:p>
          <w:p>
            <w:pPr>
              <w:jc w:val="both"/>
            </w:pPr>
            <w:r>
              <w:rPr>
                <w:b/>
                <w:sz w:val="21"/>
              </w:rPr>
              <w:t>1.</w:t>
            </w:r>
            <w:r>
              <w:rPr>
                <w:b/>
                <w:sz w:val="21"/>
              </w:rPr>
              <w:t>自动驾驶毫米波雷达感知模块</w:t>
            </w:r>
          </w:p>
          <w:p>
            <w:pPr>
              <w:jc w:val="both"/>
            </w:pPr>
            <w:r>
              <w:rPr>
                <w:sz w:val="21"/>
              </w:rPr>
              <w:t>1</w:t>
            </w:r>
            <w:r>
              <w:rPr>
                <w:sz w:val="21"/>
              </w:rPr>
              <w:t>）测距范围：0.20‐250m (长距模式)，0.20‐100m (短距模式) 2） 距离测量分辨率：≥1.5m(长距模式)，≤0.4m(短距模式)</w:t>
            </w:r>
          </w:p>
          <w:p>
            <w:pPr>
              <w:jc w:val="both"/>
            </w:pPr>
            <w:r>
              <w:rPr>
                <w:sz w:val="21"/>
              </w:rPr>
              <w:t>3</w:t>
            </w:r>
            <w:r>
              <w:rPr>
                <w:sz w:val="21"/>
              </w:rPr>
              <w:t>） 距离测量精度：±0.40 m(长距模式)，±0.10m(短距模式)</w:t>
            </w:r>
          </w:p>
          <w:p>
            <w:pPr>
              <w:jc w:val="both"/>
            </w:pPr>
            <w:r>
              <w:rPr>
                <w:sz w:val="21"/>
              </w:rPr>
              <w:t>4</w:t>
            </w:r>
            <w:r>
              <w:rPr>
                <w:sz w:val="21"/>
              </w:rPr>
              <w:t>） 速度范围：‐400 km/h...+200 km/h</w:t>
            </w:r>
          </w:p>
          <w:p>
            <w:pPr>
              <w:jc w:val="both"/>
            </w:pPr>
            <w:r>
              <w:rPr>
                <w:sz w:val="21"/>
              </w:rPr>
              <w:t>5</w:t>
            </w:r>
            <w:r>
              <w:rPr>
                <w:sz w:val="21"/>
              </w:rPr>
              <w:t>） 速度精度：±0.1km/h</w:t>
            </w:r>
          </w:p>
          <w:p>
            <w:pPr>
              <w:jc w:val="both"/>
            </w:pPr>
            <w:r>
              <w:rPr>
                <w:sz w:val="21"/>
              </w:rPr>
              <w:t>6</w:t>
            </w:r>
            <w:r>
              <w:rPr>
                <w:sz w:val="21"/>
              </w:rPr>
              <w:t>） 操作温度：‐40℃到+85℃</w:t>
            </w:r>
          </w:p>
          <w:p>
            <w:pPr>
              <w:jc w:val="both"/>
            </w:pPr>
            <w:r>
              <w:rPr>
                <w:b/>
                <w:sz w:val="21"/>
              </w:rPr>
              <w:t>2.</w:t>
            </w:r>
            <w:r>
              <w:rPr>
                <w:b/>
                <w:sz w:val="21"/>
              </w:rPr>
              <w:t>自动驾驶视觉感知模块</w:t>
            </w:r>
          </w:p>
          <w:p>
            <w:pPr>
              <w:jc w:val="both"/>
            </w:pPr>
            <w:r>
              <w:rPr>
                <w:sz w:val="21"/>
              </w:rPr>
              <w:t>摄像头采用工业级及以上等级，安装于上装台架上。</w:t>
            </w:r>
          </w:p>
          <w:p>
            <w:pPr>
              <w:jc w:val="both"/>
            </w:pPr>
            <w:r>
              <w:rPr>
                <w:sz w:val="21"/>
              </w:rPr>
              <w:t>具体参数如下：</w:t>
            </w:r>
          </w:p>
          <w:p>
            <w:pPr>
              <w:jc w:val="both"/>
            </w:pPr>
            <w:r>
              <w:rPr>
                <w:sz w:val="21"/>
              </w:rPr>
              <w:t>1</w:t>
            </w:r>
            <w:r>
              <w:rPr>
                <w:sz w:val="21"/>
              </w:rPr>
              <w:t>）最高有效像素不低于1920(H)*1080(V)</w:t>
            </w:r>
          </w:p>
          <w:p>
            <w:pPr>
              <w:jc w:val="both"/>
            </w:pPr>
            <w:r>
              <w:rPr>
                <w:sz w:val="21"/>
              </w:rPr>
              <w:t>2</w:t>
            </w:r>
            <w:r>
              <w:rPr>
                <w:sz w:val="21"/>
              </w:rPr>
              <w:t>）信噪比：≤45dB</w:t>
            </w:r>
          </w:p>
          <w:p>
            <w:pPr>
              <w:jc w:val="both"/>
            </w:pPr>
            <w:r>
              <w:rPr>
                <w:sz w:val="21"/>
              </w:rPr>
              <w:t>3</w:t>
            </w:r>
            <w:r>
              <w:rPr>
                <w:sz w:val="21"/>
              </w:rPr>
              <w:t>）动态范围：≤72dB</w:t>
            </w:r>
          </w:p>
          <w:p>
            <w:pPr>
              <w:jc w:val="both"/>
            </w:pPr>
            <w:r>
              <w:rPr>
                <w:sz w:val="21"/>
              </w:rPr>
              <w:t>4</w:t>
            </w:r>
            <w:r>
              <w:rPr>
                <w:sz w:val="21"/>
              </w:rPr>
              <w:t>）灵敏度：1.8V/lux-sec@550nm</w:t>
            </w:r>
          </w:p>
          <w:p>
            <w:pPr>
              <w:jc w:val="both"/>
            </w:pPr>
            <w:r>
              <w:rPr>
                <w:sz w:val="21"/>
              </w:rPr>
              <w:t>5</w:t>
            </w:r>
            <w:r>
              <w:rPr>
                <w:sz w:val="21"/>
              </w:rPr>
              <w:t>）最低照度：≥0.2ux</w:t>
            </w:r>
          </w:p>
          <w:p>
            <w:pPr>
              <w:jc w:val="both"/>
            </w:pPr>
            <w:r>
              <w:rPr>
                <w:sz w:val="21"/>
              </w:rPr>
              <w:t>6</w:t>
            </w:r>
            <w:r>
              <w:rPr>
                <w:sz w:val="21"/>
              </w:rPr>
              <w:t>）可调节参数：亮度，对比度，色饱和度，色调，清晰度，伽玛，白平衡，逆光对比，曝光度</w:t>
            </w:r>
          </w:p>
          <w:p>
            <w:pPr>
              <w:jc w:val="both"/>
            </w:pPr>
            <w:r>
              <w:rPr>
                <w:sz w:val="21"/>
              </w:rPr>
              <w:t>7</w:t>
            </w:r>
            <w:r>
              <w:rPr>
                <w:sz w:val="21"/>
              </w:rPr>
              <w:t>）电压：DC12V</w:t>
            </w:r>
          </w:p>
          <w:p>
            <w:pPr>
              <w:jc w:val="both"/>
            </w:pPr>
            <w:r>
              <w:rPr>
                <w:sz w:val="21"/>
              </w:rPr>
              <w:t>8</w:t>
            </w:r>
            <w:r>
              <w:rPr>
                <w:sz w:val="21"/>
              </w:rPr>
              <w:t>）电流：150mA-200mA</w:t>
            </w:r>
          </w:p>
          <w:p>
            <w:pPr>
              <w:jc w:val="both"/>
            </w:pPr>
            <w:r>
              <w:rPr>
                <w:b/>
                <w:sz w:val="21"/>
              </w:rPr>
              <w:t>3.</w:t>
            </w:r>
            <w:r>
              <w:rPr>
                <w:b/>
                <w:sz w:val="21"/>
              </w:rPr>
              <w:t>自动驾驶组合导航模块</w:t>
            </w:r>
          </w:p>
          <w:p>
            <w:pPr>
              <w:jc w:val="both"/>
            </w:pPr>
            <w:r>
              <w:rPr>
                <w:sz w:val="21"/>
              </w:rPr>
              <w:t>双天线GPS+IMU组合导航</w:t>
            </w:r>
          </w:p>
          <w:p>
            <w:pPr>
              <w:jc w:val="both"/>
            </w:pPr>
            <w:r>
              <w:rPr>
                <w:sz w:val="21"/>
              </w:rPr>
              <w:t>1</w:t>
            </w:r>
            <w:r>
              <w:rPr>
                <w:sz w:val="21"/>
              </w:rPr>
              <w:t>） ▲RTK精度：1cm±1ppm</w:t>
            </w:r>
          </w:p>
          <w:p>
            <w:pPr>
              <w:jc w:val="both"/>
            </w:pPr>
            <w:r>
              <w:rPr>
                <w:sz w:val="21"/>
              </w:rPr>
              <w:t>2</w:t>
            </w:r>
            <w:r>
              <w:rPr>
                <w:sz w:val="21"/>
              </w:rPr>
              <w:t>） 数据输出:定位数据(20Hz)、INS位置/姿态数据(200Hz)、IMU原始数据(125Hz)</w:t>
            </w:r>
          </w:p>
          <w:p>
            <w:pPr>
              <w:jc w:val="both"/>
            </w:pPr>
            <w:r>
              <w:rPr>
                <w:sz w:val="21"/>
              </w:rPr>
              <w:t>3</w:t>
            </w:r>
            <w:r>
              <w:rPr>
                <w:sz w:val="21"/>
              </w:rPr>
              <w:t>） 通信接口:RS232/RS485、USB2.0、网口</w:t>
            </w:r>
          </w:p>
          <w:p>
            <w:pPr>
              <w:jc w:val="both"/>
            </w:pPr>
            <w:r>
              <w:rPr>
                <w:sz w:val="21"/>
              </w:rPr>
              <w:t>4</w:t>
            </w:r>
            <w:r>
              <w:rPr>
                <w:sz w:val="21"/>
              </w:rPr>
              <w:t>） 传输速率：115200bps</w:t>
            </w:r>
          </w:p>
          <w:p>
            <w:pPr>
              <w:jc w:val="both"/>
            </w:pPr>
            <w:r>
              <w:rPr>
                <w:sz w:val="21"/>
              </w:rPr>
              <w:t>5</w:t>
            </w:r>
            <w:r>
              <w:rPr>
                <w:sz w:val="21"/>
              </w:rPr>
              <w:t>） 输入电压:直流9~36V</w:t>
            </w:r>
          </w:p>
          <w:p>
            <w:pPr>
              <w:jc w:val="both"/>
            </w:pPr>
            <w:r>
              <w:rPr>
                <w:sz w:val="21"/>
              </w:rPr>
              <w:t>6</w:t>
            </w:r>
            <w:r>
              <w:rPr>
                <w:sz w:val="21"/>
              </w:rPr>
              <w:t>） 额定功率：6±0.5W</w:t>
            </w:r>
          </w:p>
          <w:p>
            <w:pPr>
              <w:jc w:val="both"/>
            </w:pPr>
            <w:r>
              <w:rPr>
                <w:sz w:val="21"/>
              </w:rPr>
              <w:t>7</w:t>
            </w:r>
            <w:r>
              <w:rPr>
                <w:sz w:val="21"/>
              </w:rPr>
              <w:t>） 工作温度：-30℃-+70℃</w:t>
            </w:r>
          </w:p>
          <w:p>
            <w:pPr>
              <w:jc w:val="both"/>
            </w:pPr>
            <w:r>
              <w:rPr>
                <w:sz w:val="21"/>
              </w:rPr>
              <w:t>8</w:t>
            </w:r>
            <w:r>
              <w:rPr>
                <w:sz w:val="21"/>
              </w:rPr>
              <w:t>） 物理尺寸：130mm*86mm*44mm</w:t>
            </w:r>
          </w:p>
          <w:p>
            <w:pPr>
              <w:jc w:val="both"/>
            </w:pPr>
            <w:r>
              <w:rPr>
                <w:sz w:val="21"/>
              </w:rPr>
              <w:t>9</w:t>
            </w:r>
            <w:r>
              <w:rPr>
                <w:sz w:val="21"/>
              </w:rPr>
              <w:t>） 重量：&lt;=0.75KG（不包含天线和线缆）</w:t>
            </w:r>
          </w:p>
          <w:p>
            <w:pPr>
              <w:jc w:val="both"/>
            </w:pPr>
            <w:r>
              <w:rPr>
                <w:sz w:val="21"/>
              </w:rPr>
              <w:t>10</w:t>
            </w:r>
            <w:r>
              <w:rPr>
                <w:sz w:val="21"/>
              </w:rPr>
              <w:t>）防护等级：IP65防水防尘</w:t>
            </w:r>
          </w:p>
          <w:p>
            <w:pPr>
              <w:jc w:val="both"/>
            </w:pPr>
            <w:r>
              <w:rPr>
                <w:b/>
                <w:sz w:val="21"/>
              </w:rPr>
              <w:t>4.</w:t>
            </w:r>
            <w:r>
              <w:rPr>
                <w:b/>
                <w:sz w:val="21"/>
              </w:rPr>
              <w:t>工业显示屏</w:t>
            </w:r>
          </w:p>
          <w:p>
            <w:pPr>
              <w:jc w:val="both"/>
            </w:pPr>
            <w:r>
              <w:rPr>
                <w:sz w:val="21"/>
              </w:rPr>
              <w:t xml:space="preserve">1) </w:t>
            </w:r>
            <w:r>
              <w:rPr>
                <w:sz w:val="21"/>
              </w:rPr>
              <w:t>显示器接口：具备不少于DVI、HDMI和USB等的多种类型接口。</w:t>
            </w:r>
          </w:p>
          <w:p>
            <w:pPr>
              <w:jc w:val="both"/>
            </w:pPr>
            <w:r>
              <w:rPr>
                <w:sz w:val="21"/>
              </w:rPr>
              <w:t xml:space="preserve">2) </w:t>
            </w:r>
            <w:r>
              <w:rPr>
                <w:sz w:val="21"/>
              </w:rPr>
              <w:t>黑白响应时间：≤5ms</w:t>
            </w:r>
          </w:p>
          <w:p>
            <w:pPr>
              <w:jc w:val="both"/>
            </w:pPr>
            <w:r>
              <w:rPr>
                <w:sz w:val="21"/>
              </w:rPr>
              <w:t xml:space="preserve">3) </w:t>
            </w:r>
            <w:r>
              <w:rPr>
                <w:sz w:val="21"/>
              </w:rPr>
              <w:t>灰阶相应时间：≤3ms</w:t>
            </w:r>
          </w:p>
          <w:p>
            <w:pPr>
              <w:jc w:val="both"/>
            </w:pPr>
            <w:r>
              <w:rPr>
                <w:sz w:val="21"/>
              </w:rPr>
              <w:t xml:space="preserve">4) </w:t>
            </w:r>
            <w:r>
              <w:rPr>
                <w:sz w:val="21"/>
              </w:rPr>
              <w:t>是否支持触屏：支持</w:t>
            </w:r>
          </w:p>
          <w:p>
            <w:pPr>
              <w:jc w:val="both"/>
            </w:pPr>
            <w:r>
              <w:rPr>
                <w:sz w:val="21"/>
              </w:rPr>
              <w:t xml:space="preserve">5) </w:t>
            </w:r>
            <w:r>
              <w:rPr>
                <w:sz w:val="21"/>
              </w:rPr>
              <w:t>大小:不小于19英寸</w:t>
            </w:r>
          </w:p>
          <w:p>
            <w:pPr>
              <w:jc w:val="both"/>
            </w:pPr>
            <w:r>
              <w:rPr>
                <w:sz w:val="21"/>
              </w:rPr>
              <w:t xml:space="preserve">6) </w:t>
            </w:r>
            <w:r>
              <w:rPr>
                <w:sz w:val="21"/>
              </w:rPr>
              <w:t>支持电压12V</w:t>
            </w:r>
          </w:p>
          <w:p>
            <w:pPr>
              <w:jc w:val="both"/>
            </w:pPr>
            <w:r>
              <w:rPr>
                <w:sz w:val="21"/>
              </w:rPr>
              <w:t xml:space="preserve">7) </w:t>
            </w:r>
            <w:r>
              <w:rPr>
                <w:sz w:val="21"/>
              </w:rPr>
              <w:t>最大功率：&lt;=48W</w:t>
            </w:r>
          </w:p>
          <w:p>
            <w:pPr>
              <w:jc w:val="both"/>
            </w:pPr>
            <w:r>
              <w:rPr>
                <w:sz w:val="21"/>
              </w:rPr>
              <w:t xml:space="preserve">8) </w:t>
            </w:r>
            <w:r>
              <w:rPr>
                <w:sz w:val="21"/>
              </w:rPr>
              <w:t>使用环境：工作温度：-10℃~80℃</w:t>
            </w:r>
          </w:p>
          <w:p>
            <w:pPr>
              <w:jc w:val="both"/>
            </w:pPr>
            <w:r>
              <w:rPr>
                <w:sz w:val="21"/>
              </w:rPr>
              <w:t xml:space="preserve">         </w:t>
            </w:r>
            <w:r>
              <w:rPr>
                <w:sz w:val="21"/>
              </w:rPr>
              <w:t>储存湿度：-20℃~60℃</w:t>
            </w:r>
          </w:p>
          <w:p>
            <w:pPr>
              <w:jc w:val="both"/>
            </w:pPr>
            <w:r>
              <w:rPr>
                <w:sz w:val="21"/>
              </w:rPr>
              <w:t xml:space="preserve">         </w:t>
            </w:r>
            <w:r>
              <w:rPr>
                <w:sz w:val="21"/>
              </w:rPr>
              <w:t>储存湿度：35%~80%</w:t>
            </w:r>
          </w:p>
          <w:p>
            <w:pPr>
              <w:jc w:val="both"/>
            </w:pPr>
            <w:r>
              <w:rPr>
                <w:sz w:val="21"/>
              </w:rPr>
              <w:t xml:space="preserve">9) </w:t>
            </w:r>
            <w:r>
              <w:rPr>
                <w:sz w:val="21"/>
              </w:rPr>
              <w:t>对比度：1000：1</w:t>
            </w:r>
          </w:p>
          <w:p>
            <w:pPr>
              <w:jc w:val="both"/>
            </w:pPr>
            <w:r>
              <w:rPr>
                <w:b/>
                <w:sz w:val="21"/>
              </w:rPr>
              <w:t>5.</w:t>
            </w:r>
            <w:r>
              <w:rPr>
                <w:b/>
                <w:sz w:val="21"/>
              </w:rPr>
              <w:t>自动驾驶主控模块</w:t>
            </w:r>
          </w:p>
          <w:p>
            <w:pPr>
              <w:jc w:val="both"/>
            </w:pPr>
            <w:r>
              <w:rPr>
                <w:sz w:val="21"/>
              </w:rPr>
              <w:t xml:space="preserve">1) </w:t>
            </w:r>
            <w:r>
              <w:rPr>
                <w:sz w:val="21"/>
              </w:rPr>
              <w:t>▲显卡：显存容量≥12G；显存类型：GDDR6；显存带宽：≥400GB/s；显存频率14000Mhz,支持DirectX12，最大分辨率7680×4320</w:t>
            </w:r>
          </w:p>
          <w:p>
            <w:pPr>
              <w:jc w:val="both"/>
            </w:pPr>
            <w:r>
              <w:rPr>
                <w:sz w:val="21"/>
              </w:rPr>
              <w:t xml:space="preserve">2) </w:t>
            </w:r>
            <w:r>
              <w:rPr>
                <w:sz w:val="21"/>
              </w:rPr>
              <w:t>▲CPU: Intel i9处理器</w:t>
            </w:r>
          </w:p>
          <w:p>
            <w:pPr>
              <w:jc w:val="both"/>
            </w:pPr>
            <w:r>
              <w:rPr>
                <w:sz w:val="21"/>
              </w:rPr>
              <w:t xml:space="preserve">3) </w:t>
            </w:r>
            <w:r>
              <w:rPr>
                <w:sz w:val="21"/>
              </w:rPr>
              <w:t>内存：不少于32G</w:t>
            </w:r>
          </w:p>
          <w:p>
            <w:pPr>
              <w:jc w:val="both"/>
            </w:pPr>
            <w:r>
              <w:rPr>
                <w:sz w:val="21"/>
              </w:rPr>
              <w:t xml:space="preserve">4) </w:t>
            </w:r>
            <w:r>
              <w:rPr>
                <w:sz w:val="21"/>
              </w:rPr>
              <w:t>硬盘：不少于512G NVMe固态硬盘</w:t>
            </w:r>
          </w:p>
          <w:p>
            <w:pPr>
              <w:jc w:val="both"/>
            </w:pPr>
            <w:r>
              <w:rPr>
                <w:sz w:val="21"/>
              </w:rPr>
              <w:t xml:space="preserve">5) </w:t>
            </w:r>
            <w:r>
              <w:rPr>
                <w:sz w:val="21"/>
              </w:rPr>
              <w:t>▲网络：具有2个千兆以太网网口</w:t>
            </w:r>
          </w:p>
          <w:p>
            <w:pPr>
              <w:jc w:val="both"/>
            </w:pPr>
            <w:r>
              <w:rPr>
                <w:sz w:val="21"/>
              </w:rPr>
              <w:t>6)  CAN</w:t>
            </w:r>
            <w:r>
              <w:rPr>
                <w:sz w:val="21"/>
              </w:rPr>
              <w:t>接口：双 CAN 总线控制器</w:t>
            </w:r>
          </w:p>
          <w:p>
            <w:pPr>
              <w:jc w:val="both"/>
            </w:pPr>
            <w:r>
              <w:rPr>
                <w:sz w:val="21"/>
              </w:rPr>
              <w:t xml:space="preserve">7) </w:t>
            </w:r>
            <w:r>
              <w:rPr>
                <w:sz w:val="21"/>
              </w:rPr>
              <w:t>▲其他接口：至少包括USB3.0接口*8，串口*2，HDMI接口*1，VGA接口*1，DP接口*1</w:t>
            </w:r>
          </w:p>
          <w:p>
            <w:pPr>
              <w:jc w:val="both"/>
            </w:pPr>
            <w:r>
              <w:rPr>
                <w:sz w:val="21"/>
              </w:rPr>
              <w:t xml:space="preserve">8) </w:t>
            </w:r>
            <w:r>
              <w:rPr>
                <w:sz w:val="21"/>
              </w:rPr>
              <w:t>电源：8-48V直流输入</w:t>
            </w:r>
          </w:p>
          <w:p>
            <w:pPr>
              <w:jc w:val="both"/>
            </w:pPr>
            <w:r>
              <w:rPr>
                <w:sz w:val="21"/>
              </w:rPr>
              <w:t xml:space="preserve">9) </w:t>
            </w:r>
            <w:r>
              <w:rPr>
                <w:sz w:val="21"/>
              </w:rPr>
              <w:t>尺寸：&lt;=170mm*360mm*198mm</w:t>
            </w:r>
          </w:p>
          <w:p>
            <w:pPr>
              <w:jc w:val="both"/>
            </w:pPr>
            <w:r>
              <w:rPr>
                <w:sz w:val="21"/>
              </w:rPr>
              <w:t>10)</w:t>
            </w:r>
            <w:r>
              <w:rPr>
                <w:sz w:val="21"/>
              </w:rPr>
              <w:t>工作温度：-25℃~60℃</w:t>
            </w:r>
          </w:p>
          <w:p>
            <w:pPr>
              <w:jc w:val="both"/>
            </w:pPr>
            <w:r>
              <w:rPr>
                <w:sz w:val="21"/>
              </w:rPr>
              <w:t>11)</w:t>
            </w:r>
            <w:r>
              <w:rPr>
                <w:sz w:val="21"/>
              </w:rPr>
              <w:t>储存温度：-40℃-85℃</w:t>
            </w:r>
          </w:p>
          <w:p>
            <w:pPr>
              <w:jc w:val="both"/>
            </w:pPr>
            <w:r>
              <w:rPr>
                <w:sz w:val="21"/>
              </w:rPr>
              <w:t>12)</w:t>
            </w:r>
            <w:r>
              <w:rPr>
                <w:sz w:val="21"/>
              </w:rPr>
              <w:t>湿度：10%-90%，无凝露</w:t>
            </w:r>
          </w:p>
          <w:p>
            <w:pPr>
              <w:jc w:val="both"/>
            </w:pPr>
            <w:r>
              <w:rPr>
                <w:b/>
                <w:sz w:val="21"/>
              </w:rPr>
              <w:t>6.</w:t>
            </w:r>
            <w:r>
              <w:rPr>
                <w:b/>
                <w:sz w:val="21"/>
              </w:rPr>
              <w:t>自动驾驶激光雷达感知模块</w:t>
            </w:r>
          </w:p>
          <w:p>
            <w:pPr>
              <w:jc w:val="both"/>
            </w:pPr>
            <w:r>
              <w:rPr>
                <w:sz w:val="21"/>
              </w:rPr>
              <w:t xml:space="preserve">1) </w:t>
            </w:r>
            <w:r>
              <w:rPr>
                <w:sz w:val="21"/>
              </w:rPr>
              <w:t>▲激光雷达按照这个：线数：16线</w:t>
            </w:r>
          </w:p>
          <w:p>
            <w:pPr>
              <w:jc w:val="both"/>
            </w:pPr>
            <w:r>
              <w:rPr>
                <w:sz w:val="21"/>
              </w:rPr>
              <w:t xml:space="preserve">2) </w:t>
            </w:r>
            <w:r>
              <w:rPr>
                <w:sz w:val="21"/>
              </w:rPr>
              <w:t>激光波长：900nm</w:t>
            </w:r>
          </w:p>
          <w:p>
            <w:pPr>
              <w:jc w:val="both"/>
            </w:pPr>
            <w:r>
              <w:rPr>
                <w:sz w:val="21"/>
              </w:rPr>
              <w:t xml:space="preserve">3) </w:t>
            </w:r>
            <w:r>
              <w:rPr>
                <w:sz w:val="21"/>
              </w:rPr>
              <w:t>▲激光安全等级：class1人眼安全</w:t>
            </w:r>
          </w:p>
          <w:p>
            <w:pPr>
              <w:jc w:val="both"/>
            </w:pPr>
            <w:r>
              <w:rPr>
                <w:sz w:val="21"/>
              </w:rPr>
              <w:t xml:space="preserve">4) </w:t>
            </w:r>
            <w:r>
              <w:rPr>
                <w:sz w:val="21"/>
              </w:rPr>
              <w:t>测距能力：150m(80m@10% NIST)</w:t>
            </w:r>
          </w:p>
          <w:p>
            <w:pPr>
              <w:jc w:val="both"/>
            </w:pPr>
            <w:r>
              <w:rPr>
                <w:sz w:val="21"/>
              </w:rPr>
              <w:t xml:space="preserve">5) </w:t>
            </w:r>
            <w:r>
              <w:rPr>
                <w:sz w:val="21"/>
              </w:rPr>
              <w:t>盲区：≤0.4m</w:t>
            </w:r>
          </w:p>
          <w:p>
            <w:pPr>
              <w:jc w:val="both"/>
            </w:pPr>
            <w:r>
              <w:rPr>
                <w:sz w:val="21"/>
              </w:rPr>
              <w:t xml:space="preserve">6) </w:t>
            </w:r>
            <w:r>
              <w:rPr>
                <w:sz w:val="21"/>
              </w:rPr>
              <w:t>▲精度（典型值）： Up to±2cm</w:t>
            </w:r>
          </w:p>
          <w:p>
            <w:pPr>
              <w:jc w:val="both"/>
            </w:pPr>
            <w:r>
              <w:rPr>
                <w:sz w:val="21"/>
              </w:rPr>
              <w:t xml:space="preserve">7) </w:t>
            </w:r>
            <w:r>
              <w:rPr>
                <w:sz w:val="21"/>
              </w:rPr>
              <w:t>水平视场角：360º</w:t>
            </w:r>
          </w:p>
          <w:p>
            <w:pPr>
              <w:jc w:val="both"/>
            </w:pPr>
            <w:r>
              <w:rPr>
                <w:sz w:val="21"/>
              </w:rPr>
              <w:t xml:space="preserve">8) </w:t>
            </w:r>
            <w:r>
              <w:rPr>
                <w:sz w:val="21"/>
              </w:rPr>
              <w:t>垂直视场角：≥30°</w:t>
            </w:r>
          </w:p>
          <w:p>
            <w:pPr>
              <w:jc w:val="both"/>
            </w:pPr>
            <w:r>
              <w:rPr>
                <w:sz w:val="21"/>
              </w:rPr>
              <w:t xml:space="preserve">9) </w:t>
            </w:r>
            <w:r>
              <w:rPr>
                <w:sz w:val="21"/>
              </w:rPr>
              <w:t>水平角分辨率：0.1°/0.2°/0.4°</w:t>
            </w:r>
          </w:p>
          <w:p>
            <w:pPr>
              <w:jc w:val="both"/>
            </w:pPr>
            <w:r>
              <w:rPr>
                <w:sz w:val="21"/>
              </w:rPr>
              <w:t>10)</w:t>
            </w:r>
            <w:r>
              <w:rPr>
                <w:sz w:val="21"/>
              </w:rPr>
              <w:t>垂直角分辨率：2.0º</w:t>
            </w:r>
          </w:p>
          <w:p>
            <w:pPr>
              <w:jc w:val="both"/>
            </w:pPr>
            <w:r>
              <w:rPr>
                <w:sz w:val="21"/>
              </w:rPr>
              <w:t>11)</w:t>
            </w:r>
            <w:r>
              <w:rPr>
                <w:sz w:val="21"/>
              </w:rPr>
              <w:t>帧率：5Hz/10Hz/20 Hz</w:t>
            </w:r>
          </w:p>
          <w:p>
            <w:pPr>
              <w:jc w:val="both"/>
            </w:pPr>
            <w:r>
              <w:rPr>
                <w:sz w:val="21"/>
              </w:rPr>
              <w:t>12)</w:t>
            </w:r>
            <w:r>
              <w:rPr>
                <w:sz w:val="21"/>
              </w:rPr>
              <w:t>转速：300/600/1200rpm (5/10/20Hz)</w:t>
            </w:r>
          </w:p>
          <w:p>
            <w:pPr>
              <w:jc w:val="both"/>
            </w:pPr>
            <w:r>
              <w:rPr>
                <w:sz w:val="21"/>
              </w:rPr>
              <w:t>13)</w:t>
            </w:r>
            <w:r>
              <w:rPr>
                <w:sz w:val="21"/>
              </w:rPr>
              <w:t>出点数：~300,000pts/s（单回波），~600,000pts/s（双回波）</w:t>
            </w:r>
          </w:p>
          <w:p>
            <w:pPr>
              <w:jc w:val="both"/>
            </w:pPr>
            <w:r>
              <w:rPr>
                <w:sz w:val="21"/>
              </w:rPr>
              <w:t>14)</w:t>
            </w:r>
            <w:r>
              <w:rPr>
                <w:sz w:val="21"/>
              </w:rPr>
              <w:t>以太网输出：100 Mbps</w:t>
            </w:r>
          </w:p>
          <w:p>
            <w:pPr>
              <w:jc w:val="both"/>
            </w:pPr>
            <w:r>
              <w:rPr>
                <w:sz w:val="21"/>
              </w:rPr>
              <w:t>15)</w:t>
            </w:r>
            <w:r>
              <w:rPr>
                <w:sz w:val="21"/>
              </w:rPr>
              <w:t>输出数据协议：UDP packets over Ethernet</w:t>
            </w:r>
          </w:p>
          <w:p>
            <w:pPr>
              <w:jc w:val="both"/>
            </w:pPr>
            <w:r>
              <w:rPr>
                <w:sz w:val="21"/>
              </w:rPr>
              <w:t>16)</w:t>
            </w:r>
            <w:r>
              <w:rPr>
                <w:sz w:val="21"/>
              </w:rPr>
              <w:t>工作电压：9V - 32V</w:t>
            </w:r>
          </w:p>
          <w:p>
            <w:pPr>
              <w:jc w:val="both"/>
            </w:pPr>
            <w:r>
              <w:rPr>
                <w:sz w:val="21"/>
              </w:rPr>
              <w:t>17)</w:t>
            </w:r>
            <w:r>
              <w:rPr>
                <w:sz w:val="21"/>
              </w:rPr>
              <w:t>产品功率：12W</w:t>
            </w:r>
          </w:p>
          <w:p>
            <w:pPr>
              <w:jc w:val="both"/>
            </w:pPr>
            <w:r>
              <w:rPr>
                <w:sz w:val="21"/>
              </w:rPr>
              <w:t>18)</w:t>
            </w:r>
            <w:r>
              <w:rPr>
                <w:sz w:val="21"/>
              </w:rPr>
              <w:t>尺寸：φ109mm * H80.7 mm</w:t>
            </w:r>
          </w:p>
          <w:p>
            <w:pPr>
              <w:jc w:val="both"/>
            </w:pPr>
            <w:r>
              <w:rPr>
                <w:sz w:val="21"/>
              </w:rPr>
              <w:t>19)</w:t>
            </w:r>
            <w:r>
              <w:rPr>
                <w:sz w:val="21"/>
              </w:rPr>
              <w:t>工作温度：-30°C~ +60°C</w:t>
            </w:r>
          </w:p>
          <w:p>
            <w:pPr>
              <w:jc w:val="both"/>
            </w:pPr>
            <w:r>
              <w:rPr>
                <w:sz w:val="21"/>
              </w:rPr>
              <w:t>20)</w:t>
            </w:r>
            <w:r>
              <w:rPr>
                <w:sz w:val="21"/>
              </w:rPr>
              <w:t>存储温度：-40°C~ +85°C</w:t>
            </w:r>
          </w:p>
          <w:p>
            <w:pPr>
              <w:jc w:val="both"/>
            </w:pPr>
            <w:r>
              <w:rPr>
                <w:sz w:val="21"/>
              </w:rPr>
              <w:t>21)</w:t>
            </w:r>
            <w:r>
              <w:rPr>
                <w:sz w:val="21"/>
              </w:rPr>
              <w:t>防护等级：IP67</w:t>
            </w:r>
          </w:p>
          <w:p>
            <w:pPr>
              <w:jc w:val="both"/>
            </w:pPr>
            <w:r>
              <w:rPr>
                <w:b/>
                <w:sz w:val="21"/>
              </w:rPr>
              <w:t>▲7. 超声波雷达模块</w:t>
            </w:r>
          </w:p>
          <w:p>
            <w:pPr>
              <w:jc w:val="both"/>
            </w:pPr>
            <w:r>
              <w:rPr>
                <w:sz w:val="21"/>
              </w:rPr>
              <w:t>1</w:t>
            </w:r>
            <w:r>
              <w:rPr>
                <w:sz w:val="21"/>
              </w:rPr>
              <w:t>） 通道数：8通道超声波</w:t>
            </w:r>
          </w:p>
          <w:p>
            <w:pPr>
              <w:jc w:val="both"/>
            </w:pPr>
            <w:r>
              <w:rPr>
                <w:sz w:val="21"/>
              </w:rPr>
              <w:t>2</w:t>
            </w:r>
            <w:r>
              <w:rPr>
                <w:sz w:val="21"/>
              </w:rPr>
              <w:t>） 电压：12V~24V</w:t>
            </w:r>
          </w:p>
          <w:p>
            <w:pPr>
              <w:jc w:val="both"/>
            </w:pPr>
            <w:r>
              <w:rPr>
                <w:sz w:val="21"/>
              </w:rPr>
              <w:t>3</w:t>
            </w:r>
            <w:r>
              <w:rPr>
                <w:sz w:val="21"/>
              </w:rPr>
              <w:t>） 工作电流：&lt;250mA(+12V供电)</w:t>
            </w:r>
          </w:p>
          <w:p>
            <w:pPr>
              <w:jc w:val="both"/>
            </w:pPr>
            <w:r>
              <w:rPr>
                <w:sz w:val="21"/>
              </w:rPr>
              <w:t>4</w:t>
            </w:r>
            <w:r>
              <w:rPr>
                <w:sz w:val="21"/>
              </w:rPr>
              <w:t>） 工作温度范围：-40℃~+80℃</w:t>
            </w:r>
          </w:p>
          <w:p>
            <w:pPr>
              <w:jc w:val="both"/>
            </w:pPr>
            <w:r>
              <w:rPr>
                <w:sz w:val="21"/>
              </w:rPr>
              <w:t>5</w:t>
            </w:r>
            <w:r>
              <w:rPr>
                <w:sz w:val="21"/>
              </w:rPr>
              <w:t>） 超声波测距范围：200mm-3500mm（反射面为墙面）</w:t>
            </w:r>
          </w:p>
          <w:p>
            <w:pPr>
              <w:jc w:val="both"/>
            </w:pPr>
            <w:r>
              <w:rPr>
                <w:sz w:val="21"/>
              </w:rPr>
              <w:t>6</w:t>
            </w:r>
            <w:r>
              <w:rPr>
                <w:sz w:val="21"/>
              </w:rPr>
              <w:t>） 精度：探测距离的0.5%</w:t>
            </w:r>
          </w:p>
          <w:p>
            <w:pPr>
              <w:jc w:val="both"/>
            </w:pPr>
            <w:r>
              <w:rPr>
                <w:sz w:val="21"/>
              </w:rPr>
              <w:t>7</w:t>
            </w:r>
            <w:r>
              <w:rPr>
                <w:sz w:val="21"/>
              </w:rPr>
              <w:t>） 分辨率：5mm</w:t>
            </w:r>
          </w:p>
          <w:p>
            <w:pPr>
              <w:jc w:val="both"/>
            </w:pPr>
            <w:r>
              <w:rPr>
                <w:sz w:val="21"/>
              </w:rPr>
              <w:t>8</w:t>
            </w:r>
            <w:r>
              <w:rPr>
                <w:sz w:val="21"/>
              </w:rPr>
              <w:t>） 通讯接口：支持CAN2.0A和CAN2.0B</w:t>
            </w:r>
          </w:p>
          <w:p>
            <w:pPr>
              <w:jc w:val="both"/>
            </w:pPr>
            <w:r>
              <w:rPr>
                <w:sz w:val="21"/>
              </w:rPr>
              <w:t>9</w:t>
            </w:r>
            <w:r>
              <w:rPr>
                <w:sz w:val="21"/>
              </w:rPr>
              <w:t>） 探头防护等级：IP67</w:t>
            </w:r>
          </w:p>
          <w:p>
            <w:pPr>
              <w:jc w:val="both"/>
            </w:pPr>
            <w:r>
              <w:rPr>
                <w:sz w:val="21"/>
              </w:rPr>
              <w:t>10</w:t>
            </w:r>
            <w:r>
              <w:rPr>
                <w:sz w:val="21"/>
              </w:rPr>
              <w:t>）处理盒外形尺寸：150*85*35mm</w:t>
            </w:r>
          </w:p>
          <w:p>
            <w:pPr>
              <w:jc w:val="both"/>
            </w:pPr>
            <w:r>
              <w:rPr>
                <w:b/>
                <w:sz w:val="21"/>
              </w:rPr>
              <w:t>8.</w:t>
            </w:r>
            <w:r>
              <w:rPr>
                <w:b/>
                <w:sz w:val="21"/>
              </w:rPr>
              <w:t>传感器支架（车辆外壳）</w:t>
            </w:r>
          </w:p>
          <w:p>
            <w:pPr>
              <w:jc w:val="both"/>
            </w:pPr>
            <w:r>
              <w:rPr>
                <w:sz w:val="21"/>
              </w:rPr>
              <w:t xml:space="preserve">1) </w:t>
            </w:r>
            <w:r>
              <w:rPr>
                <w:sz w:val="21"/>
              </w:rPr>
              <w:t>支架上有前后两条GPS滑轨，GPS接收器安装在滑轨上，可以通过滑轨设置GPS接收器的位置</w:t>
            </w:r>
          </w:p>
          <w:p>
            <w:pPr>
              <w:jc w:val="both"/>
            </w:pPr>
            <w:r>
              <w:rPr>
                <w:sz w:val="21"/>
              </w:rPr>
              <w:t xml:space="preserve">2) </w:t>
            </w:r>
            <w:r>
              <w:rPr>
                <w:sz w:val="21"/>
              </w:rPr>
              <w:t>支架上安装有激光雷达滑轨，可以调整激光雷达的XYZ位置。</w:t>
            </w:r>
          </w:p>
          <w:p>
            <w:pPr>
              <w:jc w:val="both"/>
            </w:pPr>
            <w:r>
              <w:rPr>
                <w:sz w:val="21"/>
              </w:rPr>
              <w:t xml:space="preserve">3) </w:t>
            </w:r>
            <w:r>
              <w:rPr>
                <w:sz w:val="21"/>
              </w:rPr>
              <w:t>支架上安装有万向节，可以调整激光雷达安装的角度。</w:t>
            </w:r>
          </w:p>
          <w:p>
            <w:pPr>
              <w:jc w:val="both"/>
            </w:pPr>
            <w:r>
              <w:rPr>
                <w:sz w:val="21"/>
              </w:rPr>
              <w:t xml:space="preserve">4) </w:t>
            </w:r>
            <w:r>
              <w:rPr>
                <w:sz w:val="21"/>
              </w:rPr>
              <w:t>支架上安装有摄像头滑轨，可以调整摄像头的位置。</w:t>
            </w:r>
          </w:p>
          <w:p>
            <w:pPr>
              <w:jc w:val="both"/>
            </w:pPr>
            <w:r>
              <w:rPr>
                <w:sz w:val="21"/>
              </w:rPr>
              <w:t xml:space="preserve">5) </w:t>
            </w:r>
            <w:r>
              <w:rPr>
                <w:sz w:val="21"/>
              </w:rPr>
              <w:t>支架上安装有线槽，用于车辆内线束整理</w:t>
            </w:r>
          </w:p>
          <w:p>
            <w:pPr>
              <w:jc w:val="both"/>
            </w:pPr>
            <w:r>
              <w:rPr>
                <w:b/>
                <w:sz w:val="21"/>
              </w:rPr>
              <w:t>（三）故障设置及诊断系统</w:t>
            </w:r>
          </w:p>
          <w:p>
            <w:pPr>
              <w:jc w:val="both"/>
            </w:pPr>
            <w:r>
              <w:rPr>
                <w:sz w:val="21"/>
              </w:rPr>
              <w:t>故障诊断系统可以通过继电器自动设置线控底盘故障题目。</w:t>
            </w:r>
          </w:p>
          <w:p>
            <w:pPr>
              <w:jc w:val="both"/>
            </w:pPr>
            <w:r>
              <w:rPr>
                <w:b/>
                <w:sz w:val="21"/>
              </w:rPr>
              <w:t>1.</w:t>
            </w:r>
            <w:r>
              <w:rPr>
                <w:b/>
                <w:sz w:val="21"/>
              </w:rPr>
              <w:t>故障诊断系统控制器</w:t>
            </w:r>
          </w:p>
          <w:p>
            <w:pPr>
              <w:jc w:val="both"/>
            </w:pPr>
            <w:r>
              <w:rPr>
                <w:sz w:val="21"/>
              </w:rPr>
              <w:t>1</w:t>
            </w:r>
            <w:r>
              <w:rPr>
                <w:sz w:val="21"/>
              </w:rPr>
              <w:t>） 处理器：ARM Cortex-A17架构</w:t>
            </w:r>
          </w:p>
          <w:p>
            <w:pPr>
              <w:jc w:val="both"/>
            </w:pPr>
            <w:r>
              <w:rPr>
                <w:sz w:val="21"/>
              </w:rPr>
              <w:t>2</w:t>
            </w:r>
            <w:r>
              <w:rPr>
                <w:sz w:val="21"/>
              </w:rPr>
              <w:t>） 显示器：大于10寸、分辨率800*1280</w:t>
            </w:r>
          </w:p>
          <w:p>
            <w:pPr>
              <w:jc w:val="both"/>
            </w:pPr>
            <w:r>
              <w:rPr>
                <w:sz w:val="21"/>
              </w:rPr>
              <w:t>3</w:t>
            </w:r>
            <w:r>
              <w:rPr>
                <w:sz w:val="21"/>
              </w:rPr>
              <w:t>） 接口：4*RS232、1*RS485、1*CAN、1*MIC、1*网口、4*GPIO、1*WIFI天线接口</w:t>
            </w:r>
          </w:p>
          <w:p>
            <w:pPr>
              <w:jc w:val="both"/>
            </w:pPr>
            <w:r>
              <w:rPr>
                <w:sz w:val="21"/>
              </w:rPr>
              <w:t>4</w:t>
            </w:r>
            <w:r>
              <w:rPr>
                <w:sz w:val="21"/>
              </w:rPr>
              <w:t>） ▲电源：具有UPS电源模块、支持12V锂电池或12-24V直流电源供电</w:t>
            </w:r>
          </w:p>
          <w:p>
            <w:pPr>
              <w:jc w:val="both"/>
            </w:pPr>
            <w:r>
              <w:rPr>
                <w:sz w:val="21"/>
              </w:rPr>
              <w:t>5</w:t>
            </w:r>
            <w:r>
              <w:rPr>
                <w:sz w:val="21"/>
              </w:rPr>
              <w:t>） 其他：配备摄像头、麦克风、双通道扬声器</w:t>
            </w:r>
          </w:p>
          <w:p>
            <w:pPr>
              <w:jc w:val="both"/>
            </w:pPr>
            <w:r>
              <w:rPr>
                <w:b/>
                <w:sz w:val="21"/>
              </w:rPr>
              <w:t>2.</w:t>
            </w:r>
            <w:r>
              <w:rPr>
                <w:b/>
                <w:sz w:val="21"/>
              </w:rPr>
              <w:t>故障诊断软件应用</w:t>
            </w:r>
          </w:p>
          <w:p>
            <w:pPr>
              <w:jc w:val="both"/>
            </w:pPr>
            <w:r>
              <w:rPr>
                <w:b/>
                <w:sz w:val="21"/>
              </w:rPr>
              <w:t>软件功能要求：</w:t>
            </w:r>
          </w:p>
          <w:p>
            <w:pPr>
              <w:jc w:val="both"/>
            </w:pPr>
            <w:r>
              <w:rPr>
                <w:sz w:val="21"/>
              </w:rPr>
              <w:t>1</w:t>
            </w:r>
            <w:r>
              <w:rPr>
                <w:sz w:val="21"/>
              </w:rPr>
              <w:t>） 设置线控底盘故障，包括但不限于：驱动电机故障、转向电机故障、制动电机故障、照明系统故障等；</w:t>
            </w:r>
          </w:p>
          <w:p>
            <w:pPr>
              <w:jc w:val="both"/>
            </w:pPr>
            <w:r>
              <w:rPr>
                <w:sz w:val="21"/>
              </w:rPr>
              <w:t>2</w:t>
            </w:r>
            <w:r>
              <w:rPr>
                <w:sz w:val="21"/>
              </w:rPr>
              <w:t>） 可以恢复指定故障</w:t>
            </w:r>
          </w:p>
          <w:p>
            <w:pPr>
              <w:jc w:val="both"/>
            </w:pPr>
            <w:r>
              <w:rPr>
                <w:sz w:val="21"/>
              </w:rPr>
              <w:t>3</w:t>
            </w:r>
            <w:r>
              <w:rPr>
                <w:sz w:val="21"/>
              </w:rPr>
              <w:t>） ▲可以随机生成指定数量的题目</w:t>
            </w:r>
            <w:r>
              <w:rPr>
                <w:b/>
                <w:sz w:val="21"/>
              </w:rPr>
              <w:t>（需提供故障诊断软件应用软件底盘通信故障界面截图作为佐证材料）</w:t>
            </w:r>
          </w:p>
          <w:p>
            <w:pPr>
              <w:jc w:val="both"/>
            </w:pPr>
            <w:r>
              <w:rPr>
                <w:sz w:val="21"/>
              </w:rPr>
              <w:t>4</w:t>
            </w:r>
            <w:r>
              <w:rPr>
                <w:sz w:val="21"/>
              </w:rPr>
              <w:t>） ▲可以设置底盘电源故障</w:t>
            </w:r>
            <w:r>
              <w:rPr>
                <w:b/>
                <w:sz w:val="21"/>
              </w:rPr>
              <w:t>（需提供故障诊断软件应用软件底盘通信故障界面截图作为佐证材料）</w:t>
            </w:r>
          </w:p>
          <w:p>
            <w:pPr>
              <w:jc w:val="both"/>
            </w:pPr>
            <w:r>
              <w:rPr>
                <w:sz w:val="21"/>
              </w:rPr>
              <w:t>5</w:t>
            </w:r>
            <w:r>
              <w:rPr>
                <w:sz w:val="21"/>
              </w:rPr>
              <w:t>） ▲可以设置底盘通信故障</w:t>
            </w:r>
            <w:r>
              <w:rPr>
                <w:b/>
                <w:sz w:val="21"/>
              </w:rPr>
              <w:t>（需提供故障诊断软件应用软件底盘通信故障界面截图作为佐证材料）</w:t>
            </w:r>
          </w:p>
          <w:p>
            <w:pPr>
              <w:jc w:val="both"/>
            </w:pPr>
            <w:r>
              <w:rPr>
                <w:sz w:val="21"/>
              </w:rPr>
              <w:t>6</w:t>
            </w:r>
            <w:r>
              <w:rPr>
                <w:sz w:val="21"/>
              </w:rPr>
              <w:t>） 可以单独控制物流箱开关</w:t>
            </w:r>
          </w:p>
          <w:p>
            <w:pPr>
              <w:jc w:val="both"/>
            </w:pPr>
            <w:r>
              <w:rPr>
                <w:b/>
                <w:sz w:val="21"/>
              </w:rPr>
              <w:t>（四）物流系统</w:t>
            </w:r>
          </w:p>
          <w:p>
            <w:pPr>
              <w:jc w:val="both"/>
            </w:pPr>
            <w:r>
              <w:rPr>
                <w:b/>
                <w:sz w:val="21"/>
              </w:rPr>
              <w:t>1.</w:t>
            </w:r>
            <w:r>
              <w:rPr>
                <w:b/>
                <w:sz w:val="21"/>
              </w:rPr>
              <w:t>物流箱</w:t>
            </w:r>
          </w:p>
          <w:p>
            <w:pPr>
              <w:jc w:val="both"/>
            </w:pPr>
            <w:r>
              <w:rPr>
                <w:sz w:val="21"/>
              </w:rPr>
              <w:t>1</w:t>
            </w:r>
            <w:r>
              <w:rPr>
                <w:sz w:val="21"/>
              </w:rPr>
              <w:t>） 物流箱数量：大于等于4</w:t>
            </w:r>
          </w:p>
          <w:p>
            <w:pPr>
              <w:jc w:val="both"/>
            </w:pPr>
            <w:r>
              <w:rPr>
                <w:sz w:val="21"/>
              </w:rPr>
              <w:t>2</w:t>
            </w:r>
            <w:r>
              <w:rPr>
                <w:sz w:val="21"/>
              </w:rPr>
              <w:t>） 控制方式：电磁式</w:t>
            </w:r>
          </w:p>
          <w:p>
            <w:pPr>
              <w:jc w:val="both"/>
            </w:pPr>
            <w:r>
              <w:rPr>
                <w:sz w:val="21"/>
              </w:rPr>
              <w:t>3</w:t>
            </w:r>
            <w:r>
              <w:rPr>
                <w:sz w:val="21"/>
              </w:rPr>
              <w:t>） 接口：RS232</w:t>
            </w:r>
          </w:p>
          <w:p>
            <w:pPr>
              <w:jc w:val="both"/>
            </w:pPr>
            <w:r>
              <w:rPr>
                <w:sz w:val="21"/>
              </w:rPr>
              <w:t>4</w:t>
            </w:r>
            <w:r>
              <w:rPr>
                <w:sz w:val="21"/>
              </w:rPr>
              <w:t>） 货舱尺寸：大于200mm*250mm*150mm</w:t>
            </w:r>
          </w:p>
          <w:p>
            <w:pPr>
              <w:jc w:val="both"/>
            </w:pPr>
            <w:r>
              <w:rPr>
                <w:sz w:val="21"/>
              </w:rPr>
              <w:t>▲</w:t>
            </w:r>
            <w:r>
              <w:rPr>
                <w:b/>
                <w:sz w:val="21"/>
              </w:rPr>
              <w:t>2. 自动物流软件应用（需进行视频演示，演示视频应插入PPT 中，并附有文字说明演示内容）</w:t>
            </w:r>
          </w:p>
          <w:p>
            <w:pPr>
              <w:jc w:val="both"/>
            </w:pPr>
            <w:r>
              <w:rPr>
                <w:sz w:val="21"/>
              </w:rPr>
              <w:t>软件功能要求：</w:t>
            </w:r>
          </w:p>
          <w:p>
            <w:pPr>
              <w:jc w:val="both"/>
            </w:pPr>
            <w:r>
              <w:rPr>
                <w:sz w:val="21"/>
              </w:rPr>
              <w:t>1</w:t>
            </w:r>
            <w:r>
              <w:rPr>
                <w:sz w:val="21"/>
              </w:rPr>
              <w:t>） 可以设置打开指定货仓。</w:t>
            </w:r>
          </w:p>
          <w:p>
            <w:pPr>
              <w:jc w:val="both"/>
            </w:pPr>
            <w:r>
              <w:rPr>
                <w:sz w:val="21"/>
              </w:rPr>
              <w:t>2</w:t>
            </w:r>
            <w:r>
              <w:rPr>
                <w:sz w:val="21"/>
              </w:rPr>
              <w:t>） 可以设置指定货舱的取件码。</w:t>
            </w:r>
          </w:p>
          <w:p>
            <w:pPr>
              <w:jc w:val="both"/>
            </w:pPr>
            <w:r>
              <w:rPr>
                <w:sz w:val="21"/>
              </w:rPr>
              <w:t>3</w:t>
            </w:r>
            <w:r>
              <w:rPr>
                <w:sz w:val="21"/>
              </w:rPr>
              <w:t>） 可以设置目标点位置。</w:t>
            </w:r>
          </w:p>
          <w:p>
            <w:pPr>
              <w:jc w:val="both"/>
            </w:pPr>
            <w:r>
              <w:rPr>
                <w:sz w:val="21"/>
              </w:rPr>
              <w:t>4</w:t>
            </w:r>
            <w:r>
              <w:rPr>
                <w:sz w:val="21"/>
              </w:rPr>
              <w:t>） 检测目标点位置是否在地图车道线内</w:t>
            </w:r>
          </w:p>
          <w:p>
            <w:pPr>
              <w:jc w:val="both"/>
            </w:pPr>
            <w:r>
              <w:rPr>
                <w:sz w:val="21"/>
              </w:rPr>
              <w:t>5</w:t>
            </w:r>
            <w:r>
              <w:rPr>
                <w:sz w:val="21"/>
              </w:rPr>
              <w:t>） ▲可以与apollo自动驾驶联动，设置货物配送目标点以，并将货物送到指定目标点</w:t>
            </w:r>
            <w:r>
              <w:rPr>
                <w:b/>
                <w:sz w:val="21"/>
              </w:rPr>
              <w:t>（需提供自动物流软件界面截图作为佐证材料）</w:t>
            </w:r>
          </w:p>
        </w:tc>
      </w:tr>
      <w:tr>
        <w:tc>
          <w:tcPr>
            <w:tcW w:type="dxa" w:w="2076"/>
          </w:tcPr>
          <w:p/>
        </w:tc>
        <w:tc>
          <w:tcPr>
            <w:tcW w:type="dxa" w:w="415"/>
          </w:tcPr>
          <w:p>
            <w:r>
              <w:rPr/>
              <w:t>3</w:t>
            </w:r>
          </w:p>
        </w:tc>
        <w:tc>
          <w:tcPr>
            <w:tcW w:type="dxa" w:w="5814"/>
          </w:tcPr>
          <w:p>
            <w:pPr>
              <w:jc w:val="both"/>
            </w:pPr>
            <w:r>
              <w:rPr>
                <w:sz w:val="21"/>
              </w:rPr>
              <w:t>▲</w:t>
            </w:r>
            <w:r>
              <w:rPr>
                <w:b/>
                <w:sz w:val="21"/>
              </w:rPr>
              <w:t>三、培训内容要求</w:t>
            </w:r>
            <w:r>
              <w:rPr>
                <w:sz w:val="21"/>
              </w:rPr>
              <w:t>：</w:t>
            </w:r>
            <w:r>
              <w:rPr>
                <w:b/>
                <w:sz w:val="21"/>
              </w:rPr>
              <w:t>（任选培训内容中的1项进行视频演示，演示视频应插入PPT 中，并附有文字说明演示内容）</w:t>
            </w:r>
          </w:p>
          <w:p>
            <w:pPr>
              <w:jc w:val="both"/>
            </w:pPr>
            <w:r>
              <w:rPr>
                <w:sz w:val="21"/>
              </w:rPr>
              <w:t xml:space="preserve">1) </w:t>
            </w:r>
            <w:r>
              <w:rPr>
                <w:sz w:val="21"/>
              </w:rPr>
              <w:t>线控底盘故障检测与排故实操演练。</w:t>
            </w:r>
          </w:p>
          <w:p>
            <w:pPr>
              <w:jc w:val="both"/>
            </w:pPr>
            <w:r>
              <w:rPr>
                <w:sz w:val="21"/>
              </w:rPr>
              <w:t xml:space="preserve">2) </w:t>
            </w:r>
            <w:r>
              <w:rPr>
                <w:sz w:val="21"/>
              </w:rPr>
              <w:t>线控底盘CAN总线控制实操演练。</w:t>
            </w:r>
          </w:p>
          <w:p>
            <w:pPr>
              <w:jc w:val="both"/>
            </w:pPr>
            <w:r>
              <w:rPr>
                <w:sz w:val="21"/>
              </w:rPr>
              <w:t xml:space="preserve">3) </w:t>
            </w:r>
            <w:r>
              <w:rPr>
                <w:sz w:val="21"/>
              </w:rPr>
              <w:t>基于GPS的循迹驾驶实操演练。</w:t>
            </w:r>
          </w:p>
          <w:p>
            <w:pPr>
              <w:jc w:val="both"/>
            </w:pPr>
            <w:r>
              <w:rPr>
                <w:sz w:val="21"/>
              </w:rPr>
              <w:t xml:space="preserve">4) </w:t>
            </w:r>
            <w:r>
              <w:rPr>
                <w:sz w:val="21"/>
              </w:rPr>
              <w:t>激光雷达-摄像头联合标定。</w:t>
            </w:r>
          </w:p>
          <w:p>
            <w:pPr>
              <w:jc w:val="both"/>
            </w:pPr>
            <w:r>
              <w:rPr>
                <w:sz w:val="21"/>
              </w:rPr>
              <w:t xml:space="preserve">5) </w:t>
            </w:r>
            <w:r>
              <w:rPr>
                <w:sz w:val="21"/>
              </w:rPr>
              <w:t>摄像头内参标定实操演练。</w:t>
            </w:r>
          </w:p>
          <w:p>
            <w:pPr>
              <w:jc w:val="both"/>
            </w:pPr>
            <w:r>
              <w:rPr>
                <w:sz w:val="21"/>
              </w:rPr>
              <w:t xml:space="preserve">6) </w:t>
            </w:r>
            <w:r>
              <w:rPr>
                <w:sz w:val="21"/>
              </w:rPr>
              <w:t>高精度地图数据采集、上传与生产实操演练。</w:t>
            </w:r>
          </w:p>
          <w:p>
            <w:pPr>
              <w:jc w:val="both"/>
            </w:pPr>
            <w:r>
              <w:rPr>
                <w:sz w:val="21"/>
              </w:rPr>
              <w:t xml:space="preserve">7) </w:t>
            </w:r>
            <w:r>
              <w:rPr>
                <w:sz w:val="21"/>
              </w:rPr>
              <w:t>基于单线激光雷达的室内自动驾驶。</w:t>
            </w:r>
          </w:p>
          <w:p>
            <w:pPr>
              <w:jc w:val="both"/>
            </w:pPr>
            <w:r>
              <w:rPr>
                <w:sz w:val="21"/>
              </w:rPr>
              <w:t xml:space="preserve">8) </w:t>
            </w:r>
            <w:r>
              <w:rPr>
                <w:sz w:val="21"/>
              </w:rPr>
              <w:t>基于apollo自动驾驶系统的定位模块工作原理与实操演练。</w:t>
            </w:r>
          </w:p>
          <w:p>
            <w:pPr>
              <w:jc w:val="both"/>
            </w:pPr>
            <w:r>
              <w:rPr>
                <w:sz w:val="21"/>
              </w:rPr>
              <w:t xml:space="preserve">9) </w:t>
            </w:r>
            <w:r>
              <w:rPr>
                <w:sz w:val="21"/>
              </w:rPr>
              <w:t>基于apollo自动驾驶系统的感知模块实操演练。</w:t>
            </w:r>
          </w:p>
          <w:p>
            <w:pPr>
              <w:jc w:val="both"/>
            </w:pPr>
            <w:r>
              <w:rPr>
                <w:sz w:val="21"/>
              </w:rPr>
              <w:t>10)</w:t>
            </w:r>
            <w:r>
              <w:rPr>
                <w:sz w:val="21"/>
              </w:rPr>
              <w:t>车辆底盘线性控制技术讲解与实操演练。</w:t>
            </w:r>
          </w:p>
          <w:p>
            <w:pPr>
              <w:jc w:val="both"/>
            </w:pPr>
            <w:r>
              <w:rPr>
                <w:sz w:val="21"/>
              </w:rPr>
              <w:t>11)</w:t>
            </w:r>
            <w:r>
              <w:rPr>
                <w:sz w:val="21"/>
              </w:rPr>
              <w:t>自动驾驶教学平台的实操演练。</w:t>
            </w:r>
          </w:p>
          <w:p>
            <w:pPr>
              <w:jc w:val="both"/>
            </w:pPr>
            <w:r>
              <w:rPr>
                <w:sz w:val="21"/>
              </w:rPr>
              <w:t>12)</w:t>
            </w:r>
            <w:r>
              <w:rPr>
                <w:sz w:val="21"/>
              </w:rPr>
              <w:t>智能网联汽车网联综合道路测试。</w:t>
            </w:r>
          </w:p>
          <w:p>
            <w:pPr>
              <w:jc w:val="both"/>
            </w:pPr>
            <w:r>
              <w:rPr>
                <w:sz w:val="21"/>
              </w:rPr>
              <w:t>13)</w:t>
            </w:r>
            <w:r>
              <w:rPr>
                <w:sz w:val="21"/>
              </w:rPr>
              <w:t>自动驾驶智能物流场景实操演练。</w:t>
            </w:r>
          </w:p>
          <w:p>
            <w:pPr>
              <w:jc w:val="both"/>
            </w:pPr>
            <w:r>
              <w:rPr>
                <w:sz w:val="21"/>
              </w:rPr>
              <w:t>14)</w:t>
            </w:r>
            <w:r>
              <w:rPr>
                <w:sz w:val="21"/>
              </w:rPr>
              <w:t>自动泊车场景功能实操演练。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其他设备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（1）CAN分析仪</w:t>
            </w:r>
          </w:p>
          <w:p>
            <w:pPr>
              <w:jc w:val="both"/>
            </w:pPr>
            <w:r>
              <w:rPr>
                <w:sz w:val="21"/>
              </w:rPr>
              <w:t>双通道</w:t>
            </w:r>
          </w:p>
          <w:p>
            <w:pPr>
              <w:jc w:val="both"/>
            </w:pPr>
            <w:r>
              <w:rPr>
                <w:sz w:val="21"/>
              </w:rPr>
              <w:t>可以配合OBD接口</w:t>
            </w:r>
          </w:p>
          <w:p>
            <w:pPr>
              <w:jc w:val="both"/>
            </w:pPr>
            <w:r>
              <w:rPr>
                <w:sz w:val="21"/>
              </w:rPr>
              <w:t>USB</w:t>
            </w:r>
            <w:r>
              <w:rPr>
                <w:sz w:val="21"/>
              </w:rPr>
              <w:t>总线直接供电，无需外部电源</w:t>
            </w:r>
          </w:p>
          <w:p>
            <w:pPr>
              <w:jc w:val="both"/>
            </w:pPr>
            <w:r>
              <w:rPr>
                <w:sz w:val="21"/>
              </w:rPr>
              <w:t>USB</w:t>
            </w:r>
            <w:r>
              <w:rPr>
                <w:sz w:val="21"/>
              </w:rPr>
              <w:t>与CAN总线的协议转换</w:t>
            </w:r>
          </w:p>
          <w:p>
            <w:pPr>
              <w:jc w:val="both"/>
            </w:pPr>
            <w:r>
              <w:rPr>
                <w:sz w:val="21"/>
              </w:rPr>
              <w:t>具备2个CAN接口oremIpsum USB接口支持USB2.0，兼容USB1.1</w:t>
            </w:r>
          </w:p>
          <w:p>
            <w:pPr>
              <w:jc w:val="both"/>
            </w:pPr>
            <w:r>
              <w:rPr>
                <w:sz w:val="21"/>
              </w:rPr>
              <w:t>支持CAN2.0A和CAN2.0B协议，支持标准帧和扩展帧</w:t>
            </w:r>
          </w:p>
          <w:p>
            <w:pPr>
              <w:jc w:val="both"/>
            </w:pPr>
            <w:r>
              <w:rPr>
                <w:sz w:val="21"/>
              </w:rPr>
              <w:t>支持双向传输，CAN发送、接收;支持数据帧，远程帧格式</w:t>
            </w:r>
          </w:p>
        </w:tc>
      </w:tr>
      <w:tr>
        <w:tc>
          <w:tcPr>
            <w:tcW w:type="dxa" w:w="2076"/>
          </w:tcPr>
          <w:p/>
        </w:tc>
        <w:tc>
          <w:tcPr>
            <w:tcW w:type="dxa" w:w="415"/>
          </w:tcPr>
          <w:p>
            <w:r>
              <w:rPr/>
              <w:t>2</w:t>
            </w:r>
          </w:p>
        </w:tc>
        <w:tc>
          <w:tcPr>
            <w:tcW w:type="dxa" w:w="5814"/>
          </w:tcPr>
          <w:p>
            <w:pPr>
              <w:jc w:val="both"/>
            </w:pPr>
            <w:r>
              <w:rPr>
                <w:b/>
                <w:sz w:val="21"/>
              </w:rPr>
              <w:t>（2）标定板</w:t>
            </w:r>
          </w:p>
          <w:p>
            <w:pPr>
              <w:jc w:val="both"/>
            </w:pPr>
            <w:r>
              <w:rPr>
                <w:sz w:val="21"/>
              </w:rPr>
              <w:t>方格数量:12*9</w:t>
            </w:r>
          </w:p>
          <w:p>
            <w:pPr>
              <w:jc w:val="both"/>
            </w:pPr>
            <w:r>
              <w:rPr>
                <w:sz w:val="21"/>
              </w:rPr>
              <w:t>材质:氧化铝</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广东省城市建设技师学院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人须向采购代理机构按如下标准和规定下浮20%分别缴纳招标代理服务费：（1）以项目的中标金额作为招标代理服务费的计算基数；（2）招标代理服务费采用差额定率累进法进行计算，按照以下标准计取： 100万元以下的部分，按照1.5%计取； 100-500万元的部分，按照1.1%计取； 500-1000万元的部分，按照0.8%计取。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演示与述标，通过资格、符合性审查的投标人派代表就所投项目进行演示和述标。陈述演示的先后顺序将按各投标人提交投标文件的先后顺序排序，投标人逐一演示及答辩。每个述标单位只有一次演示及答辩机会，演示时间（不含答辩时间）不超过15分钟，参与演示及答辩人员不多于3人。采购代理机构提供投影仪，其他相关机器或专业播放设备请各投标单位自带。</w:t>
            </w:r>
          </w:p>
          <w:p>
            <w:pPr>
              <w:jc w:val="left"/>
            </w:pPr>
            <w:r>
              <w:rPr/>
              <w:t>2、新型冠状病毒感染肺炎疫情防控期间的便利化措施，（本招标文件其他条款与本条不一致的，以本条为准），投标文件的递交与开标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罗小姐 3）注明采购项目编号</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智能网联汽车技术应用技能竞赛专用仪器及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采购包1（智能网联汽车技术应用技能竞赛专用仪器及设备采购）：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采购包1（智能网联汽车技术应用技能竞赛专用仪器及设备采购）：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pPr>
        <w:ind w:firstLine="480"/>
      </w:pPr>
      <w:r>
        <w:rPr/>
        <w:t>表二符合性审查表：</w:t>
      </w:r>
    </w:p>
    <w:p>
      <w:pPr>
        <w:ind w:firstLine="480"/>
      </w:pPr>
    </w:p>
    <w:p/>
    <w:p>
      <w:r>
        <w:rPr/>
        <w:t>采购包1（智能网联汽车技术应用技能竞赛专用仪器及设备采购）：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采购包1智能网联汽车技术应用技能竞赛专用仪器及设备采购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所投产品对采购需求中加注 “▲”的一般参数完全满足采购需求得20分；有负偏离情况按以下要求得分： 有1-3项（含本数）条款为负偏离的得15分； 有4-6项（含本数）条款为负偏离的得10分； 有7-9项（含本数）条款为负偏离的得5分； 有10-12项（含本数）条款为负偏离的得1分； 有13项（含本数）以上条款为负偏离的得0分。 注：采购需求中要求提供证明材料的必须按要求提供，无或未按要求提供证明材料的不得分；采购需求未要求提供证明资料的，以《技术和服务要求响应表》的响应为准，未填写或未响应的视为负偏离。其中技术参数中表明需演示内容，需要提供PPT演示，按照需求进行且演示时长在15分钟内，否则按照上述要求进行扣分。</w:t>
            </w:r>
          </w:p>
        </w:tc>
      </w:tr>
      <w:tr>
        <w:tc>
          <w:tcPr>
            <w:tcW w:type="dxa" w:w="922"/>
            <w:gridSpan w:val="2"/>
            <w:vMerge/>
          </w:tcPr>
          <w:p/>
        </w:tc>
        <w:tc>
          <w:tcPr>
            <w:tcW w:type="dxa" w:w="2307"/>
          </w:tcPr>
          <w:p>
            <w:pPr>
              <w:jc w:val="left"/>
            </w:pPr>
            <w:r>
              <w:rPr/>
              <w:t>技术参数响应情况 (10.0分)</w:t>
            </w:r>
          </w:p>
        </w:tc>
        <w:tc>
          <w:tcPr>
            <w:tcW w:type="dxa" w:w="5076"/>
          </w:tcPr>
          <w:p>
            <w:pPr>
              <w:jc w:val="left"/>
            </w:pPr>
            <w:r>
              <w:rPr/>
              <w:t>所投产品对采购需求中未加注“★”和“▲”的一般参数完全满足采购需求得10分；有负偏离情况按以下要求得分： 有1-3项（含本数）条款为负偏离的得8分； 有4-6项（含本数）条款为负偏离的得6分； 有7-9项（含本数）条款为负偏离的得4分； 有10-12项（含本数）条款为负偏离的得2分； 有13项（含本数）以上条款为负偏离的得0分。 注：采购需求中要求提供证明材料的必须按要求提供，无或未按要求提供证明材料的不得分；采购需求未要求提供证明资料的，以《技术和服务要求响应表》的响应为准，未填写或未响应的视为负偏离。</w:t>
            </w:r>
          </w:p>
        </w:tc>
      </w:tr>
      <w:tr>
        <w:tc>
          <w:tcPr>
            <w:tcW w:type="dxa" w:w="922"/>
            <w:gridSpan w:val="2"/>
            <w:vMerge/>
          </w:tcPr>
          <w:p/>
        </w:tc>
        <w:tc>
          <w:tcPr>
            <w:tcW w:type="dxa" w:w="2307"/>
          </w:tcPr>
          <w:p>
            <w:pPr>
              <w:jc w:val="left"/>
            </w:pPr>
            <w:r>
              <w:rPr/>
              <w:t>供货、安装调试、验收方案 (10.0分)</w:t>
            </w:r>
            <w:r>
              <w:rPr/>
              <w:t>，（等次分值选择：</w:t>
            </w:r>
            <w:r>
              <w:rPr/>
              <w:t>0.0;</w:t>
            </w:r>
            <w:r>
              <w:rPr/>
              <w:t>3.0;</w:t>
            </w:r>
            <w:r>
              <w:rPr/>
              <w:t>7.0;</w:t>
            </w:r>
            <w:r>
              <w:rPr/>
              <w:t>10.0;</w:t>
            </w:r>
            <w:r>
              <w:rPr/>
              <w:t>）</w:t>
            </w:r>
          </w:p>
        </w:tc>
        <w:tc>
          <w:tcPr>
            <w:tcW w:type="dxa" w:w="5076"/>
          </w:tcPr>
          <w:p>
            <w:pPr>
              <w:jc w:val="left"/>
            </w:pPr>
            <w:r>
              <w:rPr/>
              <w:t>根据投标人提供的供货、安装调试、验收方案（包括但不限于：供货安装人员的配备、安装进度、调试、验收规定及安排等）进行评审： 供货、安装、调试方案具体科学、验收计划全面、实施方案可行，得10分； 供货、安装、调试方案较具体合理、验收计划较全面、实施方案基本可行，得7分； 供货、安装、调试方案不够具体合理、验收计划不够全面、实施方案基本可行，得3分。 不提供上述内容或其他情形，得0分。</w:t>
            </w:r>
          </w:p>
        </w:tc>
      </w:tr>
      <w:tr>
        <w:tc>
          <w:tcPr>
            <w:tcW w:type="dxa" w:w="922"/>
            <w:gridSpan w:val="2"/>
            <w:vMerge/>
          </w:tcPr>
          <w:p/>
        </w:tc>
        <w:tc>
          <w:tcPr>
            <w:tcW w:type="dxa" w:w="2307"/>
          </w:tcPr>
          <w:p>
            <w:pPr>
              <w:jc w:val="left"/>
            </w:pPr>
            <w:r>
              <w:rPr/>
              <w:t>质量保证措施 (10.0分)</w:t>
            </w:r>
            <w:r>
              <w:rPr/>
              <w:t>，（等次分值选择：</w:t>
            </w:r>
            <w:r>
              <w:rPr/>
              <w:t>0.0;</w:t>
            </w:r>
            <w:r>
              <w:rPr/>
              <w:t>3.0;</w:t>
            </w:r>
            <w:r>
              <w:rPr/>
              <w:t>7.0;</w:t>
            </w:r>
            <w:r>
              <w:rPr/>
              <w:t>10.0;</w:t>
            </w:r>
            <w:r>
              <w:rPr/>
              <w:t>）</w:t>
            </w:r>
          </w:p>
        </w:tc>
        <w:tc>
          <w:tcPr>
            <w:tcW w:type="dxa" w:w="5076"/>
          </w:tcPr>
          <w:p>
            <w:pPr>
              <w:jc w:val="left"/>
            </w:pPr>
            <w:r>
              <w:rPr/>
              <w:t>根据投标人提供的质量保证措施（包括但不限于：设备运输方案、质量保证体系、设备维护措施等）进行评审： 内容完善，措施合理可行，可操作性强，得10分； 内容较完善，措施较合理可行，可操作性较强，得7分； 内容不够完善，措施不够合理，可操作性欠缺，得3分；  不提供上述内容或其他情形，得0分。</w:t>
            </w:r>
          </w:p>
        </w:tc>
      </w:tr>
      <w:tr>
        <w:tc>
          <w:tcPr>
            <w:tcW w:type="dxa" w:w="922"/>
            <w:gridSpan w:val="2"/>
            <w:vMerge/>
          </w:tcPr>
          <w:p/>
        </w:tc>
        <w:tc>
          <w:tcPr>
            <w:tcW w:type="dxa" w:w="2307"/>
          </w:tcPr>
          <w:p>
            <w:pPr>
              <w:jc w:val="left"/>
            </w:pPr>
            <w:r>
              <w:rPr/>
              <w:t>教学资源等配套服务 (5.0分)</w:t>
            </w:r>
          </w:p>
        </w:tc>
        <w:tc>
          <w:tcPr>
            <w:tcW w:type="dxa" w:w="5076"/>
          </w:tcPr>
          <w:p>
            <w:pPr>
              <w:jc w:val="left"/>
            </w:pPr>
            <w:r>
              <w:rPr/>
              <w:t>根据投标人提供的教学平台上线的教学课程进行评分： ①提供国家级教学平台上线的教学课程的得5分； ②提供省级教学平台上线的教学课程的得3分； ③提供市级教学平台上线的教学课程的得1分； ④无线上教学资源的得0分。 （须提供线上教学资源的网址、网页截图，以投标人提供的最高得分为准）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根据投标人提供的售后服务方案（包括但不限于：服务实施计划、服务能力、服务质量保证、人员安排等）进行评审： 售后服务方案详细、完善，合理、可行，得5分； 售后服务方案较详细，较合理，但可行性不强，得3分； 售后服务方案不够详细、合理，得1分； 不提供上述内容或其他情形，得0分。</w:t>
            </w:r>
          </w:p>
        </w:tc>
      </w:tr>
      <w:tr>
        <w:tc>
          <w:tcPr>
            <w:tcW w:type="dxa" w:w="922"/>
            <w:gridSpan w:val="2"/>
            <w:vMerge w:val="restart"/>
          </w:tcPr>
          <w:p>
            <w:pPr>
              <w:jc w:val="center"/>
            </w:pPr>
            <w:r>
              <w:rPr/>
              <w:t>商务部分</w:t>
            </w:r>
          </w:p>
        </w:tc>
        <w:tc>
          <w:tcPr>
            <w:tcW w:type="dxa" w:w="2307"/>
          </w:tcPr>
          <w:p>
            <w:pPr>
              <w:jc w:val="left"/>
            </w:pPr>
            <w:r>
              <w:rPr/>
              <w:t>同类项目经验 (2.0分)</w:t>
            </w:r>
          </w:p>
        </w:tc>
        <w:tc>
          <w:tcPr>
            <w:tcW w:type="dxa" w:w="5076"/>
          </w:tcPr>
          <w:p>
            <w:pPr>
              <w:jc w:val="left"/>
            </w:pPr>
            <w:r>
              <w:rPr/>
              <w:t>2019年（以合同签订日期为准）至今投标人完成的同类项目合同或验收报告情况进行评审【分支机构投标的，总公司（总所）业绩可纳入评审】 ，每提供一个同类项目经验得1分，最高得2分。</w:t>
            </w:r>
          </w:p>
        </w:tc>
      </w:tr>
      <w:tr>
        <w:tc>
          <w:tcPr>
            <w:tcW w:type="dxa" w:w="922"/>
            <w:gridSpan w:val="2"/>
            <w:vMerge/>
          </w:tcPr>
          <w:p/>
        </w:tc>
        <w:tc>
          <w:tcPr>
            <w:tcW w:type="dxa" w:w="2307"/>
          </w:tcPr>
          <w:p>
            <w:pPr>
              <w:jc w:val="left"/>
            </w:pPr>
            <w:r>
              <w:rPr/>
              <w:t>企业配套实力 (4.0分)</w:t>
            </w:r>
          </w:p>
        </w:tc>
        <w:tc>
          <w:tcPr>
            <w:tcW w:type="dxa" w:w="5076"/>
          </w:tcPr>
          <w:p>
            <w:pPr>
              <w:jc w:val="left"/>
            </w:pPr>
            <w:r>
              <w:rPr/>
              <w:t>①投标人在支持国家级竞赛或世界技能大赛有特殊贡献，受到省级及以上人民政府部门点名表扬的企业，得2分；受到市级人民政府部门点名表扬的企业，得1分，本项最高得2分（须提供相关证明材料复印件并加盖投标人公章）； ②投标人有参与汽车或智能制类国家级职业标准制定得2分（须提供相关证明材料复印件并加盖投标人公章）。</w:t>
            </w:r>
          </w:p>
        </w:tc>
      </w:tr>
      <w:tr>
        <w:tc>
          <w:tcPr>
            <w:tcW w:type="dxa" w:w="922"/>
            <w:gridSpan w:val="2"/>
            <w:vMerge/>
          </w:tcPr>
          <w:p/>
        </w:tc>
        <w:tc>
          <w:tcPr>
            <w:tcW w:type="dxa" w:w="2307"/>
          </w:tcPr>
          <w:p>
            <w:pPr>
              <w:jc w:val="left"/>
            </w:pPr>
            <w:r>
              <w:rPr/>
              <w:t>体系认证情况 (4.0分)</w:t>
            </w:r>
          </w:p>
        </w:tc>
        <w:tc>
          <w:tcPr>
            <w:tcW w:type="dxa" w:w="5076"/>
          </w:tcPr>
          <w:p>
            <w:pPr>
              <w:jc w:val="left"/>
            </w:pPr>
            <w:r>
              <w:rPr/>
              <w:t>投标人具有质量管理体系认证证书的得4分； 注：提供有效期内有效的认证证书复印件和打印网站公布的信息查询截图资料，网址以http://www.cnc a.gov.cn/网站公布为准,未提供证书复印件及网站查询截图不得分，已失效、暂停或撤销的不得分。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b/>
          <w:sz w:val="27"/>
        </w:rPr>
        <w:t>项目名称：</w:t>
      </w:r>
      <w:r>
        <w:rPr>
          <w:b/>
          <w:sz w:val="27"/>
          <w:u w:val="single"/>
        </w:rPr>
        <w:t xml:space="preserve">               </w:t>
      </w:r>
    </w:p>
    <w:p>
      <w:pPr>
        <w:jc w:val="center"/>
      </w:pPr>
      <w:r>
        <w:br/>
      </w:r>
      <w:r>
        <w:rPr>
          <w:b/>
          <w:sz w:val="27"/>
        </w:rPr>
        <w:t>合同编号：</w:t>
      </w:r>
      <w:r>
        <w:rPr>
          <w:b/>
          <w:sz w:val="27"/>
          <w:u w:val="single"/>
        </w:rPr>
        <w:t xml:space="preserve">               </w:t>
      </w:r>
    </w:p>
    <w:p>
      <w:pPr>
        <w:jc w:val="center"/>
      </w:pPr>
      <w:r>
        <w:br/>
      </w:r>
      <w:r>
        <w:rPr>
          <w:b/>
          <w:sz w:val="27"/>
        </w:rPr>
        <w:t>签约地点：</w:t>
      </w:r>
      <w:r>
        <w:rPr>
          <w:b/>
          <w:sz w:val="27"/>
          <w:u w:val="single"/>
        </w:rPr>
        <w:t xml:space="preserve">               </w:t>
      </w:r>
    </w:p>
    <w:p>
      <w:pPr>
        <w:jc w:val="center"/>
      </w:pPr>
      <w:r>
        <w:br/>
      </w:r>
      <w:r>
        <w:rPr>
          <w:b/>
          <w:sz w:val="27"/>
        </w:rPr>
        <w:t>签订日期：       年    月     日</w:t>
      </w:r>
    </w:p>
    <w:p>
      <w:pPr>
        <w:jc w:val="center"/>
      </w:pPr>
      <w:r>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p>
    <w:p>
      <w:pPr>
        <w:ind w:firstLine="420"/>
        <w:jc w:val="both"/>
      </w:pPr>
      <w:r>
        <w:rPr>
          <w:sz w:val="27"/>
        </w:rPr>
        <w:t xml:space="preserve">根据 </w:t>
      </w:r>
      <w:r>
        <w:rPr>
          <w:sz w:val="27"/>
          <w:u w:val="single"/>
        </w:rPr>
        <w:t xml:space="preserve">广东省城市技师学院智能网联汽车技术应用仪器设备及工具采购（二次） </w:t>
      </w:r>
      <w:r>
        <w:rPr>
          <w:sz w:val="27"/>
        </w:rPr>
        <w:t>的采购结果，按照《中华人民共和国政府采购法》、《中华人民共和国政府采购法实施条例》、《中华人民共和国民法典》第三编　合同的规定，经双方协商，本着平等互利和诚实信用的原则，一致同意签订本合同如下。</w:t>
      </w:r>
    </w:p>
    <w:p>
      <w:r>
        <w:rPr>
          <w:b/>
          <w:sz w:val="27"/>
        </w:rPr>
        <w:t>一、货物内容</w:t>
      </w:r>
    </w:p>
    <w:tbl>
      <w:tblPr>
        <w:tblW w:w="0" w:type="auto"/>
        <w:tblInd w:type="dxa" w:w="105"/>
        <w:tblBorders>
          <w:top w:val="single"/>
          <w:left w:val="single"/>
          <w:bottom w:val="single"/>
          <w:right w:val="single"/>
          <w:insideH w:val="single"/>
          <w:insideV w:val="single"/>
        </w:tblBorders>
      </w:tblPr>
      <w:tblGrid>
        <w:gridCol w:w="665"/>
        <w:gridCol w:w="1045"/>
        <w:gridCol w:w="3176"/>
        <w:gridCol w:w="814"/>
        <w:gridCol w:w="814"/>
        <w:gridCol w:w="977"/>
        <w:gridCol w:w="814"/>
      </w:tblGrid>
      <w:tr>
        <w:tc>
          <w:tcPr>
            <w:tcW w:type="dxa" w:w="665"/>
            <w:tcBorders>
              <w:top w:val="single" w:color="000000" w:sz="4"/>
              <w:left w:val="single" w:color="000000" w:sz="4"/>
              <w:bottom w:val="single" w:color="000000" w:sz="4"/>
              <w:right w:val="single" w:color="000000" w:sz="4"/>
            </w:tcBorders>
          </w:tcPr>
          <w:p>
            <w:r>
              <w:rPr>
                <w:sz w:val="27"/>
              </w:rPr>
              <w:t>序号</w:t>
            </w:r>
          </w:p>
        </w:tc>
        <w:tc>
          <w:tcPr>
            <w:tcW w:type="dxa" w:w="1045"/>
            <w:tcBorders>
              <w:top w:val="single" w:color="000000" w:sz="4"/>
              <w:left w:val="none" w:color="000000" w:sz="4"/>
              <w:bottom w:val="single" w:color="000000" w:sz="4"/>
              <w:right w:val="single" w:color="000000" w:sz="4"/>
            </w:tcBorders>
          </w:tcPr>
          <w:p>
            <w:r>
              <w:rPr>
                <w:sz w:val="27"/>
              </w:rPr>
              <w:t>商品名称</w:t>
            </w:r>
          </w:p>
        </w:tc>
        <w:tc>
          <w:tcPr>
            <w:tcW w:type="dxa" w:w="3176"/>
            <w:tcBorders>
              <w:top w:val="single" w:color="000000" w:sz="4"/>
              <w:left w:val="none" w:color="000000" w:sz="4"/>
              <w:bottom w:val="single" w:color="000000" w:sz="4"/>
              <w:right w:val="single" w:color="000000" w:sz="4"/>
            </w:tcBorders>
          </w:tcPr>
          <w:p>
            <w:r>
              <w:rPr>
                <w:sz w:val="27"/>
              </w:rPr>
              <w:t>品牌、规格型号、配置（性能参数）</w:t>
            </w:r>
          </w:p>
        </w:tc>
        <w:tc>
          <w:tcPr>
            <w:tcW w:type="dxa" w:w="814"/>
            <w:tcBorders>
              <w:top w:val="single" w:color="000000" w:sz="4"/>
              <w:left w:val="none" w:color="000000" w:sz="4"/>
              <w:bottom w:val="single" w:color="000000" w:sz="4"/>
              <w:right w:val="single" w:color="000000" w:sz="4"/>
            </w:tcBorders>
          </w:tcPr>
          <w:p>
            <w:r>
              <w:rPr>
                <w:sz w:val="27"/>
              </w:rPr>
              <w:t>厂家</w:t>
            </w:r>
          </w:p>
        </w:tc>
        <w:tc>
          <w:tcPr>
            <w:tcW w:type="dxa" w:w="814"/>
            <w:tcBorders>
              <w:top w:val="single" w:color="000000" w:sz="4"/>
              <w:left w:val="none" w:color="000000" w:sz="4"/>
              <w:bottom w:val="single" w:color="000000" w:sz="4"/>
              <w:right w:val="single" w:color="000000" w:sz="4"/>
            </w:tcBorders>
          </w:tcPr>
          <w:p>
            <w:r>
              <w:rPr>
                <w:sz w:val="27"/>
              </w:rPr>
              <w:t>数量</w:t>
            </w:r>
          </w:p>
        </w:tc>
        <w:tc>
          <w:tcPr>
            <w:tcW w:type="dxa" w:w="977"/>
            <w:tcBorders>
              <w:top w:val="single" w:color="000000" w:sz="4"/>
              <w:left w:val="none" w:color="000000" w:sz="4"/>
              <w:bottom w:val="none" w:color="000000" w:sz="4"/>
              <w:right w:val="single" w:color="000000" w:sz="4"/>
            </w:tcBorders>
          </w:tcPr>
          <w:p>
            <w:r>
              <w:rPr>
                <w:sz w:val="27"/>
              </w:rPr>
              <w:t>单价(元)</w:t>
            </w:r>
          </w:p>
        </w:tc>
        <w:tc>
          <w:tcPr>
            <w:tcW w:type="dxa" w:w="814"/>
            <w:tcBorders>
              <w:top w:val="single" w:color="000000" w:sz="4"/>
              <w:left w:val="none" w:color="000000" w:sz="4"/>
              <w:bottom w:val="none" w:color="000000" w:sz="4"/>
              <w:right w:val="single" w:color="000000" w:sz="4"/>
            </w:tcBorders>
          </w:tcPr>
          <w:p>
            <w:r>
              <w:rPr>
                <w:sz w:val="27"/>
              </w:rPr>
              <w:t>金额(元)</w:t>
            </w:r>
          </w:p>
        </w:tc>
      </w:tr>
      <w:tr>
        <w:tc>
          <w:tcPr>
            <w:tcW w:type="dxa" w:w="665"/>
            <w:tcBorders>
              <w:top w:val="none" w:color="000000" w:sz="4"/>
              <w:left w:val="single" w:color="000000" w:sz="4"/>
              <w:bottom w:val="single" w:color="000000" w:sz="4"/>
              <w:right w:val="single" w:color="000000" w:sz="4"/>
            </w:tcBorders>
          </w:tcPr>
          <w:p>
            <w:r>
              <w:rPr>
                <w:sz w:val="27"/>
              </w:rPr>
              <w:t>1</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single" w:color="000000" w:sz="4"/>
              <w:left w:val="none" w:color="000000" w:sz="4"/>
              <w:bottom w:val="none" w:color="000000" w:sz="4"/>
              <w:right w:val="single" w:color="000000" w:sz="4"/>
            </w:tcBorders>
          </w:tcPr>
          <w:p>
            <w:r>
              <w:rPr/>
              <w:t xml:space="preserve"> </w:t>
            </w:r>
          </w:p>
        </w:tc>
        <w:tc>
          <w:tcPr>
            <w:tcW w:type="dxa" w:w="814"/>
            <w:tcBorders>
              <w:top w:val="single" w:color="000000" w:sz="4"/>
              <w:left w:val="none" w:color="000000" w:sz="4"/>
              <w:bottom w:val="none" w:color="000000" w:sz="4"/>
              <w:right w:val="single" w:color="000000" w:sz="4"/>
            </w:tcBorders>
          </w:tcPr>
          <w:p>
            <w:r>
              <w:rPr/>
              <w:t xml:space="preserve"> </w:t>
            </w:r>
          </w:p>
        </w:tc>
      </w:tr>
      <w:tr>
        <w:tc>
          <w:tcPr>
            <w:tcW w:type="dxa" w:w="665"/>
            <w:tcBorders>
              <w:top w:val="none" w:color="000000" w:sz="4"/>
              <w:left w:val="single" w:color="000000" w:sz="4"/>
              <w:bottom w:val="single" w:color="000000" w:sz="4"/>
              <w:right w:val="single" w:color="000000" w:sz="4"/>
            </w:tcBorders>
          </w:tcPr>
          <w:p>
            <w:r>
              <w:rPr>
                <w:sz w:val="27"/>
              </w:rPr>
              <w:t>2</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single" w:color="000000" w:sz="4"/>
              <w:left w:val="none" w:color="000000" w:sz="4"/>
              <w:bottom w:val="single" w:color="000000" w:sz="4"/>
              <w:right w:val="single" w:color="000000" w:sz="4"/>
            </w:tcBorders>
          </w:tcPr>
          <w:p>
            <w:r>
              <w:rPr/>
              <w:t xml:space="preserve"> </w:t>
            </w:r>
          </w:p>
        </w:tc>
        <w:tc>
          <w:tcPr>
            <w:tcW w:type="dxa" w:w="814"/>
            <w:tcBorders>
              <w:top w:val="single" w:color="000000" w:sz="4"/>
              <w:left w:val="none" w:color="000000" w:sz="4"/>
              <w:bottom w:val="single" w:color="000000" w:sz="4"/>
              <w:right w:val="single" w:color="000000" w:sz="4"/>
            </w:tcBorders>
          </w:tcPr>
          <w:p>
            <w:r>
              <w:rPr/>
              <w:t xml:space="preserve"> </w:t>
            </w:r>
          </w:p>
        </w:tc>
      </w:tr>
      <w:tr>
        <w:tc>
          <w:tcPr>
            <w:tcW w:type="dxa" w:w="665"/>
            <w:tcBorders>
              <w:top w:val="none" w:color="000000" w:sz="4"/>
              <w:left w:val="single" w:color="000000" w:sz="4"/>
              <w:bottom w:val="single" w:color="000000" w:sz="4"/>
              <w:right w:val="single" w:color="000000" w:sz="4"/>
            </w:tcBorders>
          </w:tcPr>
          <w:p>
            <w:r>
              <w:rPr>
                <w:sz w:val="27"/>
              </w:rPr>
              <w:t>3</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r>
      <w:tr>
        <w:tc>
          <w:tcPr>
            <w:tcW w:type="dxa" w:w="665"/>
            <w:tcBorders>
              <w:top w:val="none" w:color="000000" w:sz="4"/>
              <w:left w:val="single" w:color="000000" w:sz="4"/>
              <w:bottom w:val="single" w:color="000000" w:sz="4"/>
              <w:right w:val="single" w:color="000000" w:sz="4"/>
            </w:tcBorders>
          </w:tcPr>
          <w:p>
            <w:r>
              <w:rPr>
                <w:sz w:val="27"/>
              </w:rPr>
              <w:t>4</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r>
      <w:tr>
        <w:tc>
          <w:tcPr>
            <w:tcW w:type="dxa" w:w="8305"/>
            <w:gridSpan w:val="7"/>
            <w:tcBorders>
              <w:top w:val="none" w:color="000000" w:sz="4"/>
              <w:left w:val="single" w:color="000000" w:sz="4"/>
              <w:bottom w:val="single" w:color="000000" w:sz="4"/>
              <w:right w:val="single" w:color="000000" w:sz="4"/>
            </w:tcBorders>
          </w:tcPr>
          <w:p>
            <w:r>
              <w:rPr>
                <w:sz w:val="27"/>
              </w:rPr>
              <w:t xml:space="preserve">合计总额：￥      ；   </w:t>
            </w:r>
          </w:p>
          <w:p>
            <w:r>
              <w:rPr>
                <w:sz w:val="27"/>
              </w:rPr>
              <w:t xml:space="preserve">大写：             </w:t>
            </w:r>
          </w:p>
        </w:tc>
      </w:tr>
    </w:tbl>
    <w:p>
      <w:pPr>
        <w:ind w:firstLine="420"/>
      </w:pPr>
      <w:r>
        <w:rPr>
          <w:sz w:val="27"/>
        </w:rPr>
        <w:t>合同总额包括乙方设计（如有）、购置、安装、随机零配件、标配工具、运输保险、装卸、调试、培训辅导、质保期售后服务、全额含税发票、雇员费用、合同实施过程中应预见和不可预见费用等。</w:t>
      </w:r>
    </w:p>
    <w:p>
      <w:pPr>
        <w:ind w:firstLine="420"/>
      </w:pPr>
      <w:r>
        <w:rPr>
          <w:sz w:val="27"/>
        </w:rPr>
        <w:t>注：货物名称内容必须与投标文件中货物名称内容一致。</w:t>
      </w:r>
    </w:p>
    <w:p>
      <w:r>
        <w:rPr>
          <w:b/>
          <w:sz w:val="27"/>
        </w:rPr>
        <w:t>二、合同金额</w:t>
      </w:r>
    </w:p>
    <w:p>
      <w:pPr>
        <w:ind w:firstLine="420"/>
      </w:pPr>
      <w:r>
        <w:rPr>
          <w:sz w:val="27"/>
        </w:rPr>
        <w:t>合同金额为（大写）：_________________元（￥_______________元）人民币。</w:t>
      </w:r>
    </w:p>
    <w:p>
      <w:r>
        <w:rPr>
          <w:b/>
          <w:sz w:val="27"/>
        </w:rPr>
        <w:t>三、设备要求</w:t>
      </w:r>
    </w:p>
    <w:p>
      <w:pPr>
        <w:ind w:firstLine="420"/>
      </w:pPr>
      <w:r>
        <w:rPr>
          <w:sz w:val="27"/>
        </w:rPr>
        <w:t>货物为原制造商制造的全新产品，整机无污染，无侵权行为、表面无划损、无任何缺陷隐患，在中国境内可依常规安全合法使用。</w:t>
      </w:r>
    </w:p>
    <w:p>
      <w:r>
        <w:rPr>
          <w:b/>
          <w:sz w:val="27"/>
        </w:rPr>
        <w:t>四、交货期、交货方式及交货地点</w:t>
      </w:r>
    </w:p>
    <w:p>
      <w:pPr>
        <w:ind w:firstLine="420"/>
      </w:pPr>
      <w:r>
        <w:rPr>
          <w:sz w:val="27"/>
        </w:rPr>
        <w:t>1.交货期： 合同签订后7天内完成供货、安装和调试并交付用户使用。</w:t>
      </w:r>
    </w:p>
    <w:p>
      <w:pPr>
        <w:ind w:firstLine="420"/>
      </w:pPr>
      <w:r>
        <w:rPr>
          <w:sz w:val="27"/>
        </w:rPr>
        <w:t>2.交货方式：甲方指定交货方式</w:t>
      </w:r>
    </w:p>
    <w:p>
      <w:pPr>
        <w:ind w:firstLine="420"/>
      </w:pPr>
      <w:r>
        <w:rPr>
          <w:sz w:val="27"/>
        </w:rPr>
        <w:t>3.交货地点：甲方指定交货地点</w:t>
      </w:r>
    </w:p>
    <w:p>
      <w:r>
        <w:rPr>
          <w:b/>
          <w:sz w:val="27"/>
        </w:rPr>
        <w:t>五、付款方式</w:t>
      </w:r>
    </w:p>
    <w:p>
      <w:pPr>
        <w:ind w:firstLine="420"/>
      </w:pPr>
      <w:r>
        <w:rPr>
          <w:sz w:val="27"/>
        </w:rPr>
        <w:t>验收合格且双方签字盖章后5个工作日内一次性付清，乙方凭以下有效文件与甲方结算：</w:t>
      </w:r>
    </w:p>
    <w:p>
      <w:pPr>
        <w:ind w:firstLine="420"/>
      </w:pPr>
      <w:r>
        <w:rPr>
          <w:sz w:val="27"/>
        </w:rPr>
        <w:t>（1）合同</w:t>
      </w:r>
    </w:p>
    <w:p>
      <w:pPr>
        <w:ind w:firstLine="420"/>
      </w:pPr>
      <w:r>
        <w:rPr>
          <w:sz w:val="27"/>
        </w:rPr>
        <w:t>（2）乙方开具的正式发票</w:t>
      </w:r>
    </w:p>
    <w:p>
      <w:pPr>
        <w:ind w:firstLine="420"/>
      </w:pPr>
      <w:r>
        <w:rPr>
          <w:sz w:val="27"/>
        </w:rPr>
        <w:t>（3）中标通知书</w:t>
      </w:r>
    </w:p>
    <w:p>
      <w:r>
        <w:rPr>
          <w:b/>
          <w:sz w:val="27"/>
        </w:rPr>
        <w:t>六、质保期及售后服务要求</w:t>
      </w:r>
    </w:p>
    <w:p>
      <w:pPr>
        <w:ind w:firstLine="420"/>
      </w:pPr>
      <w:r>
        <w:rPr>
          <w:sz w:val="27"/>
        </w:rPr>
        <w:t xml:space="preserve">1.质保期从货物经采购人验收合格之日起 </w:t>
      </w:r>
      <w:r>
        <w:rPr>
          <w:sz w:val="27"/>
          <w:u w:val="single"/>
        </w:rPr>
        <w:t xml:space="preserve">   </w:t>
      </w:r>
      <w:r>
        <w:rPr>
          <w:sz w:val="27"/>
        </w:rPr>
        <w:t xml:space="preserve"> 年（质保期在技术参数中已有要求的从其要求）。质保期内乙方对所供货物实行包修、包换、包退、包维护保养，期满后可同时提供终身维修保养服务。质保期内的维修成本，如主机维修、更换零配件以及人员差旅费等，由乙方承担。</w:t>
      </w:r>
    </w:p>
    <w:p>
      <w:pPr>
        <w:ind w:firstLine="420"/>
      </w:pPr>
      <w:r>
        <w:rPr>
          <w:sz w:val="27"/>
        </w:rPr>
        <w:t>2.质保期内，如设备或零部件因非人为因素出现故障而造成短期停用时，则质保期相应顺延。如停用时间累计超过60天则质保期重新计算。</w:t>
      </w:r>
    </w:p>
    <w:p>
      <w:pPr>
        <w:ind w:firstLine="420"/>
      </w:pPr>
      <w:r>
        <w:rPr>
          <w:sz w:val="27"/>
        </w:rPr>
        <w:t xml:space="preserve">3.对甲方的服务通知，乙方在接报后 </w:t>
      </w:r>
      <w:r>
        <w:rPr>
          <w:sz w:val="27"/>
          <w:u w:val="single"/>
        </w:rPr>
        <w:t xml:space="preserve">  </w:t>
      </w:r>
      <w:r>
        <w:rPr>
          <w:sz w:val="27"/>
        </w:rPr>
        <w:t>小时内响应，</w:t>
      </w:r>
      <w:r>
        <w:rPr>
          <w:sz w:val="27"/>
          <w:u w:val="single"/>
        </w:rPr>
        <w:t xml:space="preserve">   </w:t>
      </w:r>
      <w:r>
        <w:rPr>
          <w:sz w:val="27"/>
        </w:rPr>
        <w:t>小时内到达现场，</w:t>
      </w:r>
      <w:r>
        <w:rPr>
          <w:sz w:val="27"/>
          <w:u w:val="single"/>
        </w:rPr>
        <w:t xml:space="preserve">   </w:t>
      </w:r>
      <w:r>
        <w:rPr>
          <w:sz w:val="27"/>
        </w:rPr>
        <w:t>小时内处理完毕。若在     小时内仍未能有效解决，乙方须提供同档次的设备予甲方临时使用，此费用包含在投标报价中。</w:t>
      </w:r>
    </w:p>
    <w:p>
      <w:pPr>
        <w:ind w:firstLine="420"/>
      </w:pPr>
      <w:r>
        <w:rPr>
          <w:sz w:val="27"/>
        </w:rPr>
        <w:t>4.乙方保证合同项下提供的设备不侵犯任何第三方的专利、商标或版权。否则，乙方须承担对第三方的专利或版权的侵权责任并承担因此而发生的所有费用。</w:t>
      </w:r>
    </w:p>
    <w:p>
      <w:pPr>
        <w:jc w:val="both"/>
      </w:pPr>
      <w:r>
        <w:rPr>
          <w:b/>
          <w:sz w:val="27"/>
        </w:rPr>
        <w:t>七、安装与调试</w:t>
      </w:r>
    </w:p>
    <w:p>
      <w:pPr>
        <w:ind w:firstLine="420"/>
      </w:pPr>
      <w:r>
        <w:rPr>
          <w:sz w:val="27"/>
        </w:rPr>
        <w:t>乙方必须依照招标文件的要求和投标文件的承诺，将设备、系统安装并调试至正常运行的最佳状态。</w:t>
      </w:r>
    </w:p>
    <w:p>
      <w:pPr>
        <w:jc w:val="both"/>
      </w:pPr>
      <w:r>
        <w:rPr>
          <w:b/>
          <w:sz w:val="27"/>
        </w:rPr>
        <w:t>八、验收</w:t>
      </w:r>
    </w:p>
    <w:p>
      <w:pPr>
        <w:ind w:firstLine="420"/>
      </w:pPr>
      <w:r>
        <w:rPr>
          <w:sz w:val="27"/>
        </w:rPr>
        <w:t>1.交付验收标准依次序对照适用标准为：①符合中华人民共和国国家安全质量标准、环保标准或行业标准；②符合招标文件和响应承诺中甲方认可的合理最佳配置、参数及各项要求；③货物来源国官方标准。</w:t>
      </w:r>
    </w:p>
    <w:p>
      <w:pPr>
        <w:ind w:firstLine="420"/>
      </w:pPr>
      <w:r>
        <w:rPr>
          <w:sz w:val="27"/>
        </w:rPr>
        <w:t>2.进口产品必须具备原产地证明和商检局的检验证明及合法进货渠道证明。</w:t>
      </w:r>
    </w:p>
    <w:p>
      <w:pPr>
        <w:ind w:firstLine="420"/>
      </w:pPr>
      <w:r>
        <w:rPr>
          <w:sz w:val="27"/>
        </w:rPr>
        <w:t>3.货物为原厂商未启封全新包装，具出厂合格证，序列号、包装箱号与出厂批号一致，并可追索查阅。所有随设备的附件必须齐全。</w:t>
      </w:r>
    </w:p>
    <w:p>
      <w:pPr>
        <w:ind w:firstLine="420"/>
      </w:pPr>
      <w:r>
        <w:rPr>
          <w:sz w:val="27"/>
        </w:rPr>
        <w:t>4.乙方应将关键主机设备的用户手册、保修手册、有关单证资料及配备件、随机工具等交付给甲方，使用操作及安全须知等重要资料应附有中文说明。</w:t>
      </w:r>
    </w:p>
    <w:p>
      <w:pPr>
        <w:ind w:firstLine="420"/>
      </w:pPr>
      <w:r>
        <w:rPr>
          <w:sz w:val="27"/>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b/>
          <w:sz w:val="27"/>
        </w:rPr>
        <w:t>九、违约责任与赔偿损失</w:t>
      </w:r>
    </w:p>
    <w:p>
      <w:pPr>
        <w:ind w:firstLine="420"/>
      </w:pPr>
      <w:r>
        <w:rPr>
          <w:sz w:val="27"/>
        </w:rPr>
        <w:t>1.乙方交付的货物、工程/提供的服务不符合本合同规定的，甲方有权拒收，并且乙方须向甲方支付本合同总价5%的违约金。</w:t>
      </w:r>
    </w:p>
    <w:p>
      <w:pPr>
        <w:ind w:firstLine="420"/>
      </w:pPr>
      <w:r>
        <w:rPr>
          <w:sz w:val="27"/>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20"/>
      </w:pPr>
      <w:r>
        <w:rPr>
          <w:sz w:val="27"/>
        </w:rPr>
        <w:t>3.甲方无正当理由拒收货物/接受服务，到期拒付货物/服务款项的，甲方向乙方偿付本合同总的5%的违约金。甲方逾期付款，则每日按本合同总价的3‰向乙方偿付违约金。</w:t>
      </w:r>
    </w:p>
    <w:p>
      <w:pPr>
        <w:ind w:firstLine="420"/>
      </w:pPr>
      <w:r>
        <w:rPr>
          <w:sz w:val="27"/>
        </w:rPr>
        <w:t>4.其它违约责任按《中华人民共和国民法典》第三编　合同处理。</w:t>
      </w:r>
    </w:p>
    <w:p>
      <w:pPr>
        <w:jc w:val="both"/>
      </w:pPr>
      <w:r>
        <w:rPr>
          <w:b/>
          <w:sz w:val="27"/>
        </w:rPr>
        <w:t>十、争议的解决</w:t>
      </w:r>
    </w:p>
    <w:p>
      <w:pPr>
        <w:ind w:firstLine="420"/>
      </w:pPr>
      <w:r>
        <w:rPr>
          <w:sz w:val="27"/>
        </w:rPr>
        <w:t>合同执行过程中发生的任何争议，如双方不能通过友好协商解决，甲、乙双方一致同意向甲方所在地人民法院提起诉讼。</w:t>
      </w:r>
    </w:p>
    <w:p>
      <w:pPr>
        <w:jc w:val="both"/>
      </w:pPr>
      <w:r>
        <w:rPr>
          <w:b/>
          <w:sz w:val="27"/>
        </w:rPr>
        <w:t>十一、不可抗力</w:t>
      </w:r>
    </w:p>
    <w:p>
      <w:pPr>
        <w:ind w:firstLine="420"/>
      </w:pPr>
      <w:r>
        <w:rPr>
          <w:sz w:val="27"/>
        </w:rPr>
        <w:t>任何一方由于不可抗力原因不能履行合同时，应在不可抗力事件结束后1日内向对方通报，以减轻可能给对方造成的损失，在取得有关机构的不可抗力证明或双方谅解确认后，允许延期履行</w:t>
      </w:r>
      <w:r>
        <w:rPr>
          <w:sz w:val="27"/>
        </w:rPr>
        <w:t>或修订合同，并根据情况可部分或全部免于承担违约责任。</w:t>
      </w:r>
    </w:p>
    <w:p>
      <w:r>
        <w:rPr>
          <w:b/>
          <w:sz w:val="27"/>
        </w:rPr>
        <w:t>十二、税费</w:t>
      </w:r>
    </w:p>
    <w:p>
      <w:pPr>
        <w:ind w:firstLine="420"/>
      </w:pPr>
      <w:r>
        <w:rPr>
          <w:sz w:val="27"/>
        </w:rPr>
        <w:t>在中国境内、外发生的与本合同执行有关的一切税费均由乙方负担。</w:t>
      </w:r>
    </w:p>
    <w:p>
      <w:r>
        <w:rPr>
          <w:b/>
          <w:sz w:val="27"/>
        </w:rPr>
        <w:t>十三、其它</w:t>
      </w:r>
    </w:p>
    <w:p>
      <w:pPr>
        <w:ind w:firstLine="420"/>
      </w:pPr>
      <w:r>
        <w:rPr>
          <w:sz w:val="27"/>
        </w:rPr>
        <w:t>1.本合同所有附件、招标文件、投标文件、中标通知书均为合同的有效组成部分，与本合同具有同等法律效力。</w:t>
      </w:r>
    </w:p>
    <w:p>
      <w:pPr>
        <w:ind w:firstLine="420"/>
      </w:pPr>
      <w:r>
        <w:rPr>
          <w:sz w:val="27"/>
        </w:rPr>
        <w:t>2.在执行本合同的过程中，所有经双方签署确认的文件（包括会议纪要、补充协议、往来信函）即成为本合同的有效组成部分。</w:t>
      </w:r>
    </w:p>
    <w:p>
      <w:pPr>
        <w:ind w:firstLine="420"/>
      </w:pPr>
      <w:r>
        <w:rPr>
          <w:sz w:val="27"/>
        </w:rPr>
        <w:t>3.如一方地址、电话、传真号码有变更，应在变更当日内书面通知对方，否则，应承担相应责任。</w:t>
      </w:r>
    </w:p>
    <w:p>
      <w:pPr>
        <w:ind w:firstLine="420"/>
      </w:pPr>
      <w:r>
        <w:rPr>
          <w:sz w:val="27"/>
        </w:rPr>
        <w:t>4.除甲方事先书面同意外，乙方不得部分或全部转让其应履行的合同项下的义务。</w:t>
      </w:r>
    </w:p>
    <w:p>
      <w:r>
        <w:rPr>
          <w:b/>
          <w:sz w:val="27"/>
        </w:rPr>
        <w:t>十四、合同生效</w:t>
      </w:r>
      <w:r>
        <w:br/>
      </w:r>
      <w:r>
        <w:rPr>
          <w:sz w:val="27"/>
        </w:rPr>
        <w:t>1.本合同在甲乙双方法人代表或其授权代表签字盖章后生效。</w:t>
      </w:r>
    </w:p>
    <w:p>
      <w:r>
        <w:rPr>
          <w:sz w:val="27"/>
        </w:rPr>
        <w:t xml:space="preserve">2.合同一式 </w:t>
      </w:r>
      <w:r>
        <w:rPr>
          <w:sz w:val="27"/>
          <w:u w:val="single"/>
        </w:rPr>
        <w:t xml:space="preserve">  </w:t>
      </w:r>
      <w:r>
        <w:rPr>
          <w:sz w:val="27"/>
        </w:rPr>
        <w:t>份，其中甲方</w:t>
      </w:r>
      <w:r>
        <w:rPr>
          <w:sz w:val="27"/>
          <w:u w:val="single"/>
        </w:rPr>
        <w:t xml:space="preserve">   </w:t>
      </w:r>
      <w:r>
        <w:rPr>
          <w:sz w:val="27"/>
        </w:rPr>
        <w:t>份，乙方</w:t>
      </w:r>
      <w:r>
        <w:rPr>
          <w:sz w:val="27"/>
          <w:u w:val="single"/>
        </w:rPr>
        <w:t xml:space="preserve">   </w:t>
      </w:r>
      <w:r>
        <w:rPr>
          <w:sz w:val="27"/>
        </w:rPr>
        <w:t>份，监管部门壹份，采购代理机构壹份。</w:t>
      </w:r>
    </w:p>
    <w:p>
      <w:r>
        <w:rPr/>
        <w:t xml:space="preserve"> </w:t>
      </w:r>
    </w:p>
    <w:p>
      <w:r>
        <w:rPr/>
        <w:t xml:space="preserve"> </w:t>
      </w:r>
    </w:p>
    <w:p>
      <w:r>
        <w:rPr/>
        <w:t xml:space="preserve"> </w:t>
      </w:r>
    </w:p>
    <w:p>
      <w:r>
        <w:rPr>
          <w:sz w:val="27"/>
        </w:rPr>
        <w:t>甲方（盖章）：                     乙方（盖章）：</w:t>
      </w:r>
    </w:p>
    <w:p>
      <w:r>
        <w:rPr>
          <w:sz w:val="27"/>
        </w:rPr>
        <w:t>法定代表/授权代表（签字）：        法定代表/授权代表（签字）：</w:t>
      </w:r>
    </w:p>
    <w:p>
      <w:r>
        <w:rPr>
          <w:sz w:val="27"/>
        </w:rPr>
        <w:t>日期：                                日期：</w:t>
      </w:r>
    </w:p>
    <w:p>
      <w:r>
        <w:rPr>
          <w:sz w:val="27"/>
        </w:rPr>
        <w:t>邮政编码：                         邮政编码：</w:t>
      </w:r>
    </w:p>
    <w:p>
      <w:r>
        <w:rPr>
          <w:sz w:val="27"/>
        </w:rPr>
        <w:t>开户名称：                         开户名称：</w:t>
      </w:r>
    </w:p>
    <w:p>
      <w:r>
        <w:rPr>
          <w:sz w:val="27"/>
        </w:rPr>
        <w:t>开户银行：                         开户银行：</w:t>
      </w:r>
    </w:p>
    <w:p>
      <w:r>
        <w:rPr>
          <w:sz w:val="27"/>
        </w:rPr>
        <w:t>开户账号：                         开户账号: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440001-2022-40638</w:t>
      </w:r>
    </w:p>
    <w:p>
      <w:pPr>
        <w:jc w:val="center"/>
      </w:pPr>
      <w:r>
        <w:rPr>
          <w:b/>
          <w:sz w:val="24"/>
        </w:rPr>
        <w:t>采购项目编号：</w:t>
      </w:r>
      <w:r>
        <w:rPr>
          <w:b/>
          <w:sz w:val="24"/>
        </w:rPr>
        <w:t>440001-2022-40638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广东省城市技师学院智能网联汽车技术应用仪器设备及工具采购(二次)</w:t>
      </w:r>
      <w:r>
        <w:rPr/>
        <w:t>项目的招标[采购项目编号为：</w:t>
      </w:r>
      <w:r>
        <w:rPr>
          <w:u w:val="single"/>
        </w:rPr>
        <w:t>440001-2022-40638</w:t>
      </w:r>
      <w:r>
        <w:rPr/>
        <w:t>]，我方愿参与投标。</w:t>
      </w:r>
    </w:p>
    <w:p>
      <w:pPr>
        <w:ind w:firstLine="480"/>
      </w:pPr>
      <w:r>
        <w:rPr/>
        <w:t>我方确认收到贵方提供的</w:t>
      </w:r>
      <w:r>
        <w:rPr>
          <w:u w:val="single"/>
        </w:rPr>
        <w:t>广东省城市技师学院智能网联汽车技术应用仪器设备及工具采购(二次)</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广东省城市技师学院智能网联汽车技术应用仪器设备及工具采购(二次)</w:t>
      </w:r>
      <w:r>
        <w:rPr/>
        <w:t>项目采购[采购项目编号为</w:t>
      </w:r>
      <w:r>
        <w:rPr/>
        <w:t>440001-2022-40638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广东省城市建设技师学院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广东省城市技师学院智能网联汽车技术应用仪器设备及工具采购(二次)</w:t>
      </w:r>
      <w:r>
        <w:rPr/>
        <w:t>招标中获中标（采购项目编号：</w:t>
      </w:r>
      <w:r>
        <w:rPr/>
        <w:t>440001-2022-40638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广东省城市技师学院智能网联汽车技术应用仪器设备及工具采购(二次)</w:t>
      </w:r>
      <w:r>
        <w:rPr/>
        <w:t>项目（采购项目编号：</w:t>
      </w:r>
      <w:r>
        <w:rPr/>
        <w:t>440001-2022-40638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