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440112-2022-07513</w:t>
      </w:r>
    </w:p>
    <w:p>
      <w:pPr>
        <w:jc w:val="center"/>
      </w:pPr>
      <w:r>
        <w:rPr>
          <w:b/>
          <w:sz w:val="24"/>
        </w:rPr>
        <w:t>采购项目编号：</w:t>
      </w:r>
      <w:r>
        <w:rPr>
          <w:b/>
          <w:sz w:val="24"/>
        </w:rPr>
        <w:t>440112-2022-07513</w:t>
      </w:r>
    </w:p>
    <w:p>
      <w:pPr>
        <w:jc w:val="center"/>
      </w:pPr>
      <w:r>
        <w:rPr>
          <w:b/>
          <w:sz w:val="24"/>
        </w:rPr>
        <w:t>项目名称：</w:t>
      </w:r>
      <w:r>
        <w:rPr>
          <w:b/>
          <w:sz w:val="24"/>
        </w:rPr>
        <w:t>2022-2023年夏港街道饭堂肉菜配送服务</w:t>
      </w:r>
    </w:p>
    <w:p>
      <w:pPr>
        <w:jc w:val="center"/>
      </w:pPr>
      <w:r>
        <w:rPr>
          <w:b/>
          <w:sz w:val="24"/>
        </w:rPr>
        <w:t>采购人：</w:t>
      </w:r>
      <w:r>
        <w:rPr>
          <w:b/>
          <w:sz w:val="24"/>
        </w:rPr>
        <w:t>广州市黄埔区人民政府夏港街道办事处</w:t>
      </w:r>
    </w:p>
    <w:p>
      <w:pPr>
        <w:jc w:val="center"/>
      </w:pPr>
      <w:r>
        <w:rPr>
          <w:b/>
          <w:sz w:val="24"/>
        </w:rPr>
        <w:t>采购代理机构：</w:t>
      </w:r>
      <w:r>
        <w:rPr>
          <w:b/>
          <w:sz w:val="24"/>
        </w:rPr>
        <w:t>广东志正招标有限公司</w:t>
      </w:r>
    </w:p>
    <w:p>
      <w:pPr>
        <w:ind w:firstLine="480"/>
      </w:pPr>
    </w:p>
    <w:p>
      <w:r>
        <w:rPr/>
        <w:t xml:space="preserve"> </w:t>
      </w:r>
    </w:p>
    <w:p/>
    <w:p>
      <w:pPr>
        <w:jc w:val="center"/>
      </w:pPr>
      <w:r>
        <w:rPr>
          <w:b/>
          <w:sz w:val="36"/>
        </w:rPr>
        <w:t>第一章 磋商邀请</w:t>
      </w:r>
    </w:p>
    <w:p>
      <w:pPr>
        <w:ind w:firstLine="480"/>
      </w:pPr>
      <w:r>
        <w:rPr/>
        <w:t>广东志正招标有限公司</w:t>
      </w:r>
      <w:r>
        <w:rPr/>
        <w:t>受</w:t>
      </w:r>
      <w:r>
        <w:rPr/>
        <w:t>广州市黄埔区人民政府夏港街道办事处</w:t>
      </w:r>
      <w:r>
        <w:rPr/>
        <w:t>的委托，采用</w:t>
      </w:r>
      <w:r>
        <w:rPr/>
        <w:t>竞争性磋商</w:t>
      </w:r>
      <w:r>
        <w:rPr/>
        <w:t>方式组织采购</w:t>
      </w:r>
      <w:r>
        <w:rPr/>
        <w:t>2022-2023年夏港街道饭堂肉菜配送服务</w:t>
      </w:r>
      <w:r>
        <w:rPr/>
        <w:t>。欢迎符合资格条件的供应商参加。</w:t>
      </w:r>
    </w:p>
    <w:p>
      <w:r>
        <w:rPr>
          <w:b/>
          <w:sz w:val="28"/>
        </w:rPr>
        <w:t>一.项目概述</w:t>
      </w:r>
    </w:p>
    <w:p>
      <w:r>
        <w:rPr>
          <w:b/>
          <w:sz w:val="24"/>
        </w:rPr>
        <w:t>1.名称与编号</w:t>
      </w:r>
    </w:p>
    <w:p>
      <w:pPr>
        <w:ind w:firstLine="480"/>
      </w:pPr>
      <w:r>
        <w:rPr/>
        <w:t>采购项目名称：</w:t>
      </w:r>
      <w:r>
        <w:rPr/>
        <w:t>2022-2023年夏港街道饭堂肉菜配送服务</w:t>
      </w:r>
    </w:p>
    <w:p>
      <w:pPr>
        <w:ind w:firstLine="480"/>
      </w:pPr>
      <w:r>
        <w:rPr/>
        <w:t>采购计划编号：</w:t>
      </w:r>
      <w:r>
        <w:rPr/>
        <w:t>440112-2022-07513</w:t>
      </w:r>
    </w:p>
    <w:p>
      <w:pPr>
        <w:ind w:firstLine="480"/>
      </w:pPr>
      <w:r>
        <w:rPr/>
        <w:t>采购项目编号：</w:t>
      </w:r>
      <w:r>
        <w:rPr/>
        <w:t>440112-2022-07513</w:t>
      </w:r>
    </w:p>
    <w:p>
      <w:pPr>
        <w:ind w:firstLine="480"/>
      </w:pPr>
      <w:r>
        <w:rPr/>
        <w:t>采购方式：</w:t>
      </w:r>
      <w:r>
        <w:rPr/>
        <w:t>竞争性磋商</w:t>
      </w:r>
    </w:p>
    <w:p>
      <w:pPr>
        <w:ind w:firstLine="480"/>
      </w:pPr>
      <w:r>
        <w:rPr/>
        <w:t>预算金额：</w:t>
      </w:r>
      <w:r>
        <w:rPr/>
        <w:t>2,160,000.00</w:t>
      </w:r>
      <w:r>
        <w:rPr/>
        <w:t>元</w:t>
      </w:r>
    </w:p>
    <w:p>
      <w:r>
        <w:rPr>
          <w:b/>
          <w:sz w:val="24"/>
        </w:rPr>
        <w:t>2.项目内容及需求情况（采购项目技术规格、参数及要求）</w:t>
      </w:r>
    </w:p>
    <w:p>
      <w:pPr>
        <w:ind w:firstLine="480"/>
      </w:pPr>
    </w:p>
    <w:p/>
    <w:p>
      <w:r>
        <w:rPr/>
        <w:t>采购包1(2022-2023年夏港街道饭堂肉菜配送服务):</w:t>
      </w:r>
    </w:p>
    <w:p>
      <w:r>
        <w:rPr/>
        <w:t>采购包预算金额：2,160,000.00元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食品和饮料批发服务</w:t>
            </w:r>
          </w:p>
        </w:tc>
        <w:tc>
          <w:tcPr>
            <w:tcW w:type="dxa" w:w="2052"/>
          </w:tcPr>
          <w:p>
            <w:r>
              <w:rPr/>
              <w:t>2022-2023年夏港街道饭堂肉菜配送服务</w:t>
            </w:r>
          </w:p>
        </w:tc>
        <w:tc>
          <w:tcPr>
            <w:tcW w:type="dxa" w:w="977"/>
          </w:tcPr>
          <w:p>
            <w:r>
              <w:rPr/>
              <w:t>1.00(项)</w:t>
            </w:r>
          </w:p>
        </w:tc>
        <w:tc>
          <w:tcPr>
            <w:tcW w:type="dxa" w:w="977"/>
          </w:tcPr>
          <w:p>
            <w:r>
              <w:rPr/>
              <w:t>详见第二章</w:t>
            </w:r>
          </w:p>
        </w:tc>
        <w:tc>
          <w:tcPr>
            <w:tcW w:type="dxa" w:w="977"/>
          </w:tcPr>
          <w:p>
            <w:r>
              <w:rPr/>
              <w:t>2,160,000.00</w:t>
            </w:r>
          </w:p>
        </w:tc>
        <w:tc>
          <w:tcPr>
            <w:tcW w:type="dxa" w:w="977"/>
          </w:tcPr>
          <w:p>
            <w:r>
              <w:rPr/>
              <w:t>否</w:t>
            </w:r>
          </w:p>
        </w:tc>
      </w:tr>
    </w:tbl>
    <w:p/>
    <w:p>
      <w:r>
        <w:rPr/>
        <w:t>本采购包不接受联合体响应</w:t>
      </w:r>
    </w:p>
    <w:p/>
    <w:p>
      <w:r>
        <w:rPr/>
        <w:t>合同履行期限：自合同签订之日起1年或采购金额累计达到项目合同金额，视为合同自动终止。</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2）有依法缴纳税收和社会保障资金的良好记录：有依法缴纳税收和社会保障资金的良好记录，提供签署及盖章合格的响应承诺函。</w:t>
      </w:r>
    </w:p>
    <w:p/>
    <w:p>
      <w:r>
        <w:rPr/>
        <w:t>3）具有良好的商业信誉和健全的财务会计制度：具有良好的商业信誉和健全的财务会计制度，提供签署及盖章合格的响应承诺函。</w:t>
      </w:r>
    </w:p>
    <w:p/>
    <w:p>
      <w:r>
        <w:rPr/>
        <w:t>4）履行合同所必需的设备和专业技术能力：具有履行合同所必需的设备和专业技术能力，提供签署及盖章合格的响应承诺函。</w:t>
      </w:r>
    </w:p>
    <w:p/>
    <w:p>
      <w:r>
        <w:rPr/>
        <w:t>5）参加采购活动前3年内，在经营活动中没有重大违法记录：参加政府采购活动前三年内，在经营活动中没有重大违法记录，提供签署及盖章合格的响应承诺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采购包1（2022-2023年夏港街道饭堂肉菜配送服务）：</w:t>
      </w:r>
      <w:r>
        <w:rPr/>
        <w:t>参与的供应商（联合体）服务全部由符合政策要求的中小企业承接</w:t>
      </w:r>
    </w:p>
    <w:p/>
    <w:p>
      <w:r>
        <w:rPr>
          <w:b/>
          <w:sz w:val="24"/>
        </w:rPr>
        <w:t>3.本项目特定的资格要求：</w:t>
      </w:r>
    </w:p>
    <w:p>
      <w:pPr>
        <w:ind w:firstLine="480"/>
      </w:pPr>
    </w:p>
    <w:p/>
    <w:p>
      <w:r>
        <w:rPr/>
        <w:t>采购包1（2022-2023年夏港街道饭堂肉菜配送服务）：</w:t>
      </w:r>
    </w:p>
    <w:p/>
    <w:p>
      <w:r>
        <w:rPr/>
        <w:t>1)①未列入失信被执行人、重大税收违法失信主体、政府采购严重违法失信行为记录名单的供应商（以开标当日资格审查人员在“信用中国”网站（www.creditchina.gov.cn）、中国政府采购网（www.ccgp.gov.cn）的查询结果为准；处罚期限届满的除外。如“信用中国”网站查询结果显示“没有找到您搜索的企业”或“没有找到您搜索数据”，视为没有上述三类不良信用记录）。②若投标人具有分公司的，其所属分公司有上述不良信用记录的，视同该投标人存在不良信用记录。③若投标人为分公司的，其所属总公司（总所）存在上述不良信用记录的，视同该分公司存在不良信用记录。</w:t>
      </w:r>
    </w:p>
    <w:p/>
    <w:p>
      <w:r>
        <w:rPr/>
        <w:t>2)不得参与同一采购项目竞争的供应商（提供签署及盖章合格的响应承诺函）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p/>
    <w:p>
      <w:r>
        <w:rPr/>
        <w:t>3)供应商具有有效的《食品经营许可证》或《食品药品经营许可证》。供应商须提供有效证书复印件（如国家另有规定的，适用其规定）</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广东志正招标有限公司（https://www.zztender.com/）</w:t>
      </w:r>
      <w:r>
        <w:rPr/>
        <w:t>。</w:t>
      </w:r>
    </w:p>
    <w:p>
      <w:r>
        <w:rPr>
          <w:b/>
          <w:sz w:val="28"/>
        </w:rPr>
        <w:t>六.本项目联系方式：</w:t>
      </w:r>
    </w:p>
    <w:p>
      <w:r>
        <w:rPr>
          <w:b/>
          <w:sz w:val="24"/>
        </w:rPr>
        <w:t>1.采购人信息</w:t>
      </w:r>
    </w:p>
    <w:p>
      <w:pPr>
        <w:ind w:firstLine="480"/>
      </w:pPr>
      <w:r>
        <w:rPr/>
        <w:t>名称：</w:t>
      </w:r>
      <w:r>
        <w:rPr/>
        <w:t>广州市黄埔区人民政府夏港街道办事处</w:t>
      </w:r>
    </w:p>
    <w:p>
      <w:pPr>
        <w:ind w:firstLine="480"/>
      </w:pPr>
      <w:r>
        <w:rPr/>
        <w:t>地址：</w:t>
      </w:r>
      <w:r>
        <w:rPr/>
        <w:t>广州市黄埔区夏港街道志诚大道303号</w:t>
      </w:r>
    </w:p>
    <w:p>
      <w:pPr>
        <w:ind w:firstLine="480"/>
      </w:pPr>
      <w:r>
        <w:rPr/>
        <w:t>联系方式：</w:t>
      </w:r>
      <w:r>
        <w:rPr/>
        <w:t>杨先生/020-82112638</w:t>
      </w:r>
    </w:p>
    <w:p>
      <w:r>
        <w:rPr>
          <w:b/>
          <w:sz w:val="24"/>
        </w:rPr>
        <w:t>2.采购代理机构信息</w:t>
      </w:r>
    </w:p>
    <w:p>
      <w:pPr>
        <w:ind w:firstLine="480"/>
      </w:pPr>
      <w:r>
        <w:rPr/>
        <w:t>名称：</w:t>
      </w:r>
      <w:r>
        <w:rPr/>
        <w:t>广东志正招标有限公司</w:t>
      </w:r>
    </w:p>
    <w:p>
      <w:pPr>
        <w:ind w:firstLine="480"/>
      </w:pPr>
      <w:r>
        <w:rPr/>
        <w:t>地址：</w:t>
      </w:r>
      <w:r>
        <w:rPr/>
        <w:t>广东省广州市天河区龙怡路117号501、503、504、505、506房</w:t>
      </w:r>
    </w:p>
    <w:p>
      <w:pPr>
        <w:ind w:firstLine="480"/>
      </w:pPr>
      <w:r>
        <w:rPr/>
        <w:t>联系方式：</w:t>
      </w:r>
      <w:r>
        <w:rPr/>
        <w:t>020-87554238</w:t>
      </w:r>
    </w:p>
    <w:p>
      <w:r>
        <w:rPr>
          <w:b/>
          <w:sz w:val="24"/>
        </w:rPr>
        <w:t>3.项目联系方式</w:t>
      </w:r>
    </w:p>
    <w:p>
      <w:pPr>
        <w:ind w:firstLine="480"/>
      </w:pPr>
      <w:r>
        <w:rPr/>
        <w:t>项目联系人：</w:t>
      </w:r>
      <w:r>
        <w:rPr/>
        <w:t>梁小姐、魏先生</w:t>
      </w:r>
    </w:p>
    <w:p>
      <w:pPr>
        <w:ind w:firstLine="480"/>
      </w:pPr>
      <w:r>
        <w:rPr/>
        <w:t>电话：</w:t>
      </w:r>
      <w:r>
        <w:rPr/>
        <w:t>020-87554238</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广东志正招标有限公司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jc w:val="both"/>
      </w:pPr>
      <w:r>
        <w:rPr/>
        <w:t>1、供应商须对本项目为单位（有划分包组的，则以包组为单位）的标的物进行整体响应，任何只对其中一部分内容进行的响应都被视为无效投标。</w:t>
      </w:r>
    </w:p>
    <w:p>
      <w:r>
        <w:rPr/>
        <w:t xml:space="preserve">    2、磋商文件中，凡标有“★”的地方，供应商要特别加以注意，必须对此作出一一响应。若有一项带“★”的指标未响应或不满足，将按无效响应处理。</w:t>
      </w:r>
    </w:p>
    <w:p>
      <w:r>
        <w:rPr/>
        <w:t xml:space="preserve">   3、落实政府采购政策需满足的资格要求：本项目属于专门面向中小企业采购的项目，供应商应为中小微企业。供应商应按要求出具《中小企业声明函》；属于监狱企业的，提供由省级以上监狱管理局、戒毒管理局(含新疆生产建设兵团)出具的属于监狱企业的证明文件；属于残疾人福利性单位的，提供《残疾人福利性单位声明函》。</w:t>
      </w:r>
    </w:p>
    <w:p>
      <w:r>
        <w:rPr/>
        <w:t xml:space="preserve">   4、中小企业声明函中，本项目</w:t>
      </w:r>
      <w:r>
        <w:rPr>
          <w:b/>
          <w:u w:val="single"/>
        </w:rPr>
        <w:t xml:space="preserve">2022-2023年夏港街道饭堂肉菜配送服务 </w:t>
      </w:r>
      <w:r>
        <w:rPr/>
        <w:t>属于</w:t>
      </w:r>
      <w:r>
        <w:rPr>
          <w:b/>
          <w:u w:val="single"/>
        </w:rPr>
        <w:t xml:space="preserve">  批发业 </w:t>
      </w:r>
      <w:r>
        <w:rPr/>
        <w:t>行业。</w:t>
      </w:r>
    </w:p>
    <w:p>
      <w:r>
        <w:rPr/>
        <w:t xml:space="preserve">   5、采购内容</w:t>
      </w:r>
    </w:p>
    <w:p>
      <w:r>
        <w:rPr/>
        <w:t xml:space="preserve">   5.1肉菜副食等供应服务：</w:t>
      </w:r>
    </w:p>
    <w:tbl>
      <w:tblPr>
        <w:tblW w:w="0" w:type="auto"/>
        <w:tblBorders>
          <w:top w:val="none" w:color="000000" w:sz="4"/>
          <w:left w:val="none" w:color="000000" w:sz="4"/>
          <w:bottom w:val="none" w:color="000000" w:sz="4"/>
          <w:right w:val="none" w:color="000000" w:sz="4"/>
          <w:insideH w:val="none"/>
          <w:insideV w:val="none"/>
        </w:tblBorders>
      </w:tblPr>
      <w:tblGrid>
        <w:gridCol w:w="1102"/>
        <w:gridCol w:w="1441"/>
        <w:gridCol w:w="2882"/>
        <w:gridCol w:w="1780"/>
        <w:gridCol w:w="1102"/>
      </w:tblGrid>
      <w:tr>
        <w:tc>
          <w:tcPr>
            <w:tcW w:type="dxa" w:w="1102"/>
            <w:tcBorders>
              <w:top w:val="single" w:color="000000" w:sz="4"/>
              <w:left w:val="single" w:color="000000" w:sz="4"/>
              <w:bottom w:val="single" w:color="000000" w:sz="4"/>
              <w:right w:val="single" w:color="000000" w:sz="4"/>
            </w:tcBorders>
          </w:tcPr>
          <w:p>
            <w:pPr>
              <w:jc w:val="center"/>
            </w:pPr>
            <w:r>
              <w:rPr>
                <w:b/>
              </w:rPr>
              <w:t>序号</w:t>
            </w:r>
          </w:p>
        </w:tc>
        <w:tc>
          <w:tcPr>
            <w:tcW w:type="dxa" w:w="1441"/>
            <w:tcBorders>
              <w:top w:val="single" w:color="000000" w:sz="4"/>
              <w:left w:val="none" w:color="000000" w:sz="4"/>
              <w:bottom w:val="single" w:color="000000" w:sz="4"/>
              <w:right w:val="single" w:color="000000" w:sz="4"/>
            </w:tcBorders>
          </w:tcPr>
          <w:p>
            <w:pPr>
              <w:jc w:val="center"/>
            </w:pPr>
            <w:r>
              <w:rPr>
                <w:b/>
              </w:rPr>
              <w:t>采购内容</w:t>
            </w:r>
          </w:p>
        </w:tc>
        <w:tc>
          <w:tcPr>
            <w:tcW w:type="dxa" w:w="2882"/>
            <w:tcBorders>
              <w:top w:val="single" w:color="000000" w:sz="4"/>
              <w:left w:val="none" w:color="000000" w:sz="4"/>
              <w:bottom w:val="single" w:color="000000" w:sz="4"/>
              <w:right w:val="single" w:color="000000" w:sz="4"/>
            </w:tcBorders>
          </w:tcPr>
          <w:p>
            <w:pPr>
              <w:jc w:val="center"/>
            </w:pPr>
            <w:r>
              <w:rPr>
                <w:b/>
              </w:rPr>
              <w:t>供应期</w:t>
            </w:r>
          </w:p>
        </w:tc>
        <w:tc>
          <w:tcPr>
            <w:tcW w:type="dxa" w:w="1780"/>
            <w:tcBorders>
              <w:top w:val="single" w:color="000000" w:sz="4"/>
              <w:left w:val="none" w:color="000000" w:sz="4"/>
              <w:bottom w:val="single" w:color="000000" w:sz="4"/>
              <w:right w:val="single" w:color="000000" w:sz="4"/>
            </w:tcBorders>
          </w:tcPr>
          <w:p>
            <w:pPr>
              <w:ind w:firstLine="207"/>
              <w:jc w:val="center"/>
            </w:pPr>
            <w:r>
              <w:rPr>
                <w:b/>
              </w:rPr>
              <w:t>供应地点</w:t>
            </w:r>
          </w:p>
        </w:tc>
        <w:tc>
          <w:tcPr>
            <w:tcW w:type="dxa" w:w="1102"/>
            <w:tcBorders>
              <w:top w:val="single" w:color="000000" w:sz="4"/>
              <w:left w:val="none" w:color="000000" w:sz="4"/>
              <w:bottom w:val="single" w:color="000000" w:sz="4"/>
              <w:right w:val="single" w:color="000000" w:sz="4"/>
            </w:tcBorders>
          </w:tcPr>
          <w:p>
            <w:pPr>
              <w:ind w:firstLine="207"/>
              <w:jc w:val="center"/>
            </w:pPr>
            <w:r>
              <w:rPr>
                <w:b/>
              </w:rPr>
              <w:t>说明</w:t>
            </w:r>
          </w:p>
        </w:tc>
      </w:tr>
      <w:tr>
        <w:tc>
          <w:tcPr>
            <w:tcW w:type="dxa" w:w="1102"/>
            <w:tcBorders>
              <w:top w:val="none" w:color="000000" w:sz="4"/>
              <w:left w:val="single" w:color="000000" w:sz="4"/>
              <w:bottom w:val="single" w:color="000000" w:sz="4"/>
              <w:right w:val="single" w:color="000000" w:sz="4"/>
            </w:tcBorders>
          </w:tcPr>
          <w:p>
            <w:pPr>
              <w:jc w:val="center"/>
            </w:pPr>
            <w:r>
              <w:rPr/>
              <w:t>1</w:t>
            </w:r>
          </w:p>
        </w:tc>
        <w:tc>
          <w:tcPr>
            <w:tcW w:type="dxa" w:w="1441"/>
            <w:tcBorders>
              <w:top w:val="none" w:color="000000" w:sz="4"/>
              <w:left w:val="none" w:color="000000" w:sz="4"/>
              <w:bottom w:val="single" w:color="000000" w:sz="4"/>
              <w:right w:val="single" w:color="000000" w:sz="4"/>
            </w:tcBorders>
          </w:tcPr>
          <w:p>
            <w:pPr>
              <w:jc w:val="center"/>
            </w:pPr>
            <w:r>
              <w:rPr/>
              <w:t>2022-2023年夏港街道饭堂肉菜配送服务</w:t>
            </w:r>
          </w:p>
        </w:tc>
        <w:tc>
          <w:tcPr>
            <w:tcW w:type="dxa" w:w="2882"/>
            <w:tcBorders>
              <w:top w:val="none" w:color="000000" w:sz="4"/>
              <w:left w:val="none" w:color="000000" w:sz="4"/>
              <w:bottom w:val="single" w:color="000000" w:sz="4"/>
              <w:right w:val="single" w:color="000000" w:sz="4"/>
            </w:tcBorders>
          </w:tcPr>
          <w:p>
            <w:pPr>
              <w:jc w:val="center"/>
            </w:pPr>
            <w:r>
              <w:rPr/>
              <w:t>自合同签订之日起1年或采购金额累计达到项目合同金额，视为合同自动终止。</w:t>
            </w:r>
          </w:p>
        </w:tc>
        <w:tc>
          <w:tcPr>
            <w:tcW w:type="dxa" w:w="1780"/>
            <w:tcBorders>
              <w:top w:val="none" w:color="000000" w:sz="4"/>
              <w:left w:val="none" w:color="000000" w:sz="4"/>
              <w:bottom w:val="single" w:color="000000" w:sz="4"/>
              <w:right w:val="single" w:color="000000" w:sz="4"/>
            </w:tcBorders>
          </w:tcPr>
          <w:p>
            <w:pPr>
              <w:jc w:val="center"/>
            </w:pPr>
            <w:r>
              <w:rPr/>
              <w:t>采购人指定地点</w:t>
            </w:r>
          </w:p>
        </w:tc>
        <w:tc>
          <w:tcPr>
            <w:tcW w:type="dxa" w:w="1102"/>
            <w:tcBorders>
              <w:top w:val="none" w:color="000000" w:sz="4"/>
              <w:left w:val="none" w:color="000000" w:sz="4"/>
              <w:bottom w:val="single" w:color="000000" w:sz="4"/>
              <w:right w:val="single" w:color="000000" w:sz="4"/>
            </w:tcBorders>
          </w:tcPr>
          <w:p>
            <w:pPr>
              <w:jc w:val="center"/>
            </w:pPr>
            <w:r>
              <w:rPr/>
              <w:t>具体数量按采购人需求分期分批提供</w:t>
            </w:r>
          </w:p>
        </w:tc>
      </w:tr>
    </w:tbl>
    <w:p>
      <w:pPr>
        <w:ind w:firstLine="420"/>
        <w:jc w:val="both"/>
      </w:pPr>
      <w:r>
        <w:rPr/>
        <w:t>5.2 供应配送服务：提供供应配送服务，每周配送次数根据采购人实际需要不低于3次，随叫随到。</w:t>
      </w:r>
    </w:p>
    <w:p>
      <w:r>
        <w:rPr/>
        <w:t xml:space="preserve">    6、其他说明</w:t>
      </w:r>
    </w:p>
    <w:p>
      <w:r>
        <w:rPr/>
        <w:t xml:space="preserve">    6.1 成交供应商须完全满足采购人每天的实际需求量。</w:t>
      </w:r>
    </w:p>
    <w:p>
      <w:r>
        <w:rPr/>
        <w:t xml:space="preserve">    6.2 供货期间如某批次食材出现质量问题，成交供应商必须保证验收时发现质量问题的在1小时内无条件对该批次全部货物进行换货，并接受对成交供应商处以该批次30%的罚款。一个月累计出现2次或2次以上质量问题的，将扣除成交供应商该月供货款至少20%的金额作为罚款，由采购人除有权在该月的供货款中直接扣除外，还有权终止合作。</w:t>
      </w:r>
    </w:p>
    <w:p>
      <w:r>
        <w:rPr/>
        <w:t xml:space="preserve">    6.3 成交供应商应承诺及时提供采购需求中所列的目录品种，成交供应商可以适当增加品种及相应报价。该增加品种在采购人有采购需求时并经审批后可列入采购范围，采购价格以双方协商确定。</w:t>
      </w:r>
    </w:p>
    <w:p>
      <w:r>
        <w:rPr/>
        <w:t xml:space="preserve">    6.4成交供应商根据采购人的需求提供新鲜合格的货品。</w:t>
      </w:r>
    </w:p>
    <w:p>
      <w:r>
        <w:rPr/>
        <w:t xml:space="preserve"> </w:t>
      </w:r>
    </w:p>
    <w:p>
      <w:r>
        <w:rPr/>
        <w:t xml:space="preserve"> </w:t>
      </w:r>
    </w:p>
    <w:p/>
    <w:p>
      <w:pPr>
        <w:ind w:firstLine="480"/>
      </w:pPr>
    </w:p>
    <w:p/>
    <w:p>
      <w:r>
        <w:rPr/>
        <w:t>采购包1（2022-2023年夏港街道饭堂肉菜配送服务）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自合同签订之日起1年或采购金额累计达到项目合同金额，视为合同自动终止。</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一）成交供应商应按月在每月15号前（如遇法定节假日，将顺延至下一个工作日）向采购人提交上个月份送货报表，采购人在收到上月送货报表后10个工作日内进行书面签章确认（不包括年初政府财政资金用款额度未下达时间）。（二）成交供应商在收回书面签章确认后的送货报表即可开具有效发票，采购人在收到发票后5个工作日内通过银行转账方式付款至与成交供应商签订合同上所载的成交供应商指定公司开户银行账户。（三）未经成交供应商书面授权通知，采购人不应单方面变更成交供应商的收款银行账户，且不得将款项支付至任何个人账户。（四）本次采购支付为政府财政支付，成交供应商已清楚了解政府采购财政拨款的流程，并无条件接受财政拨款付款程序，确认采购人在向财政部门请款后即视为已履行付款责任，不承担迟延支付的违约责任。</w:t>
            </w:r>
          </w:p>
        </w:tc>
      </w:tr>
      <w:tr>
        <w:tc>
          <w:tcPr>
            <w:tcW w:type="dxa" w:w="4153"/>
          </w:tcPr>
          <w:p>
            <w:r>
              <w:rPr/>
              <w:t>验收要求</w:t>
            </w:r>
          </w:p>
        </w:tc>
        <w:tc>
          <w:tcPr>
            <w:tcW w:type="dxa" w:w="4153"/>
          </w:tcPr>
          <w:p/>
          <w:p/>
          <w:p/>
          <w:p>
            <w:r>
              <w:rPr/>
              <w:t>1期：（一）检验流程 1、要作好卸货前的检查。验收人员卸货前应对场地和验收设备做好准备，并对商品的外观质量进行初步了解。 2、应采取当场验收的方式，验收人必须认真检验食品的质量要求，按索证→过磅→入库的程序完成验收，成交供应商可提供原件留存的则留存原件，如原件只有一份时无法提供给采购人的，采购人查验原件后将对原件复印件进行留存。 3、每批次每种货物均需进行抽查验收。 4、验收工作人员按磋商文件产品质量要求对货物质量进行抽查，比对相关文件，以确保食品品种符合要求。如发现食品有损坏的情况，应在相关单据上记录所有损坏情况。对货物损坏情况进行拍照并存档。对于食品验收的全部信息数据，采购人使用单位验收人员应和成交供应商人员一起确认，并保留双方签字单据。 （二）退（补）货流程 对不符合质量要求的食品由采购人验收人员提出清退，对数量不足或部分退货的，成交供应商必须按采购人食堂规定的时间，要求的数量、质量、规格重新送货。 （三）验收记录 每次采购的食品都要登记记录，注明名称、数量等事项并在采购登记记录上签明意见和验收人的名字及日期。验收完毕后，双方必须在货物收货清单上确认签名，货物收货清单作为采购人支付货款的依据之一。 （四）验收要求 1、验收发现食品安全有质量、数量、规格问题的处理：对危及人身安全的食品质量问题采取零容忍措施，如发现腐败变质异味、污染变质等，一经发现，当日所送同批次产品全部退货。送货数量与订单不符时：多送部分采购人有权拒收，少送部分必须在 1 小时内补货送到。 2、畜禽冻肉类整批产品无政府部门出具的动植物检疫合格证明的食品全部退货，并按采购人食堂的要求按时按质按量重新配送。</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交付验收标准依次序对照适用标准</w:t>
            </w:r>
          </w:p>
        </w:tc>
        <w:tc>
          <w:tcPr>
            <w:tcW w:type="dxa" w:w="2076"/>
          </w:tcPr>
          <w:p>
            <w:pPr>
              <w:jc w:val="left"/>
            </w:pPr>
            <w:r>
              <w:rPr/>
              <w:t>（1）符合中华人民共和国国家安全质量标准、环保标准或行业标准； （2）符合磋商文件和响应承诺中采购人认可的产品要求及质量；</w:t>
            </w:r>
          </w:p>
        </w:tc>
      </w:tr>
      <w:tr>
        <w:tc>
          <w:tcPr>
            <w:tcW w:type="dxa" w:w="2076"/>
          </w:tcPr>
          <w:p>
            <w:pPr>
              <w:jc w:val="center"/>
            </w:pPr>
          </w:p>
        </w:tc>
        <w:tc>
          <w:tcPr>
            <w:tcW w:type="dxa" w:w="2076"/>
          </w:tcPr>
          <w:p>
            <w:pPr>
              <w:jc w:val="center"/>
            </w:pPr>
            <w:r>
              <w:rPr/>
              <w:t>2</w:t>
            </w:r>
          </w:p>
        </w:tc>
        <w:tc>
          <w:tcPr>
            <w:tcW w:type="dxa" w:w="2076"/>
          </w:tcPr>
          <w:p>
            <w:pPr>
              <w:jc w:val="left"/>
            </w:pPr>
            <w:r>
              <w:rPr/>
              <w:t>包装和运输</w:t>
            </w:r>
          </w:p>
        </w:tc>
        <w:tc>
          <w:tcPr>
            <w:tcW w:type="dxa" w:w="2076"/>
          </w:tcPr>
          <w:p>
            <w:pPr>
              <w:jc w:val="left"/>
            </w:pPr>
            <w:r>
              <w:rPr/>
              <w:t>（1）成交供应商应保证货品均为正规生产的新鲜、检验合格货品，符合国家有关卫生、质量、包装和保质标准。 （2）包装、容器(框、箱、袋)要求：清洁、干燥、牢固、透气，无污染、无异味、无霉变现象。采购的食品不得存放在有害、有毒的容器内。食品包装上必须使用原产地标识，应注明：制造商名称和厂址、食品名称和重（容）量、生产日期和保质期限以及规格和SC认证等。 （3）包装必须按《农产品包装和标识管理办法》贴标签，并标明产地、品种、净含量、生产单位及地址和采收日期。</w:t>
            </w:r>
          </w:p>
        </w:tc>
      </w:tr>
      <w:tr>
        <w:tc>
          <w:tcPr>
            <w:tcW w:type="dxa" w:w="2076"/>
          </w:tcPr>
          <w:p>
            <w:pPr>
              <w:jc w:val="center"/>
            </w:pPr>
          </w:p>
        </w:tc>
        <w:tc>
          <w:tcPr>
            <w:tcW w:type="dxa" w:w="2076"/>
          </w:tcPr>
          <w:p>
            <w:pPr>
              <w:jc w:val="center"/>
            </w:pPr>
            <w:r>
              <w:rPr/>
              <w:t>3</w:t>
            </w:r>
          </w:p>
        </w:tc>
        <w:tc>
          <w:tcPr>
            <w:tcW w:type="dxa" w:w="2076"/>
          </w:tcPr>
          <w:p>
            <w:pPr>
              <w:jc w:val="left"/>
            </w:pPr>
            <w:r>
              <w:rPr/>
              <w:t>保险</w:t>
            </w:r>
          </w:p>
        </w:tc>
        <w:tc>
          <w:tcPr>
            <w:tcW w:type="dxa" w:w="2076"/>
          </w:tcPr>
          <w:p>
            <w:pPr>
              <w:jc w:val="left"/>
            </w:pPr>
            <w:r>
              <w:rPr/>
              <w:t>货物交付运输前，采购人已经支付部分或全部款项的，成交供应商应当办理以采购人为受益人的货物“一切险”，投保金额不少于采购人已经支付款项总额，保险保至项目最终交货地点。</w:t>
            </w:r>
          </w:p>
        </w:tc>
      </w:tr>
      <w:tr>
        <w:tc>
          <w:tcPr>
            <w:tcW w:type="dxa" w:w="2076"/>
          </w:tcPr>
          <w:p>
            <w:pPr>
              <w:jc w:val="center"/>
            </w:pPr>
          </w:p>
        </w:tc>
        <w:tc>
          <w:tcPr>
            <w:tcW w:type="dxa" w:w="2076"/>
          </w:tcPr>
          <w:p>
            <w:pPr>
              <w:jc w:val="center"/>
            </w:pPr>
            <w:r>
              <w:rPr/>
              <w:t>4</w:t>
            </w:r>
          </w:p>
        </w:tc>
        <w:tc>
          <w:tcPr>
            <w:tcW w:type="dxa" w:w="2076"/>
          </w:tcPr>
          <w:p>
            <w:pPr>
              <w:jc w:val="left"/>
            </w:pPr>
            <w:r>
              <w:rPr/>
              <w:t>配送管理要求</w:t>
            </w:r>
          </w:p>
        </w:tc>
        <w:tc>
          <w:tcPr>
            <w:tcW w:type="dxa" w:w="2076"/>
          </w:tcPr>
          <w:p>
            <w:pPr>
              <w:jc w:val="left"/>
            </w:pPr>
            <w:r>
              <w:rPr/>
              <w:t>（1）本次配送服务采购主要为每天早、午、晚餐配送供应，如有特殊安排，成交供应商需按采购人安排执行。 （2）成交供应商应至少安排1辆以上冷藏车辆负责为采购人送货及安排专职送货员，负责货物的运输、过秤，并协助采购人抽验货品，货品的品种和重量以采购人抽验的结果为准。 （3）成交供应商必须遵守国家规定的卫生管理条例，严格执行《中华人民共和国食品安全法》，必须保证所供应肉类、干货、蔬菜、果品、主食及其它副食品等为新鲜、保质期内，且符合卫生标准；若发现所供应的食品存在腐烂变质、过期、有异味、不新鲜、发霉、破损、腐烂、包装、蔬菜类发黄等质量问题的，应当全部收回并销毁，立即采取补救措施重新供应配送，并承担由此产生的一切损失和费用。 （4）成交供应商除不可抗力外，不得因其他任何理由延迟送货。因成交供应商原因延误交货日期的（采购人要求推迟的除外），采购人使用单位有权自行采购，并由成交供应商承担由此产生的一切损失和费用。 （5）食品溯源要求。成交供应商对食品供应链进行明确，所有食品的来源必须清晰。</w:t>
            </w:r>
          </w:p>
        </w:tc>
      </w:tr>
      <w:tr>
        <w:tc>
          <w:tcPr>
            <w:tcW w:type="dxa" w:w="2076"/>
          </w:tcPr>
          <w:p>
            <w:pPr>
              <w:jc w:val="center"/>
            </w:pPr>
          </w:p>
        </w:tc>
        <w:tc>
          <w:tcPr>
            <w:tcW w:type="dxa" w:w="2076"/>
          </w:tcPr>
          <w:p>
            <w:pPr>
              <w:jc w:val="center"/>
            </w:pPr>
            <w:r>
              <w:rPr/>
              <w:t>5</w:t>
            </w:r>
          </w:p>
        </w:tc>
        <w:tc>
          <w:tcPr>
            <w:tcW w:type="dxa" w:w="2076"/>
          </w:tcPr>
          <w:p>
            <w:pPr>
              <w:jc w:val="left"/>
            </w:pPr>
            <w:r>
              <w:rPr/>
              <w:t>配送运输要求</w:t>
            </w:r>
          </w:p>
        </w:tc>
        <w:tc>
          <w:tcPr>
            <w:tcW w:type="dxa" w:w="2076"/>
          </w:tcPr>
          <w:p>
            <w:pPr>
              <w:jc w:val="left"/>
            </w:pPr>
            <w:r>
              <w:rPr/>
              <w:t>（1）所有货物运输必须采用符合卫生标准的外包装和运载工具，并且要保持清洁和定期消毒。运输车厢的内仓，包括地面、墙面和顶，应使用抗腐蚀、防潮，易清洁消毒的材料，车厢内无不良气味、异味。 （2）冷藏、冷冻食品必须专用冷藏、冷冻载具运输，应当有必要的保温设备并在整个运输过程中保持安全的冷藏、冷冻温度。特别对于长途运输的食品，保证食品在运输处于合适的温度范围。整个运输过程应科学合理，运输车辆应定期清洁，保持性能稳定，符合规定温度要求，使运输食品处于恒定的环境中。 （3）送货车辆应保持清洁：食品堆放科学合理，避免造成食品的交叉污染；如对温度有要求的食品应确定食品的温度，记录送货车辆温度，并记录存档。 （4）送货车辆实行一小时配送圈运作，目的地在一小时内的用保温车配送，一小时以外的用制冷车配送，保证运输过程冷链不中断。保证冷冻肉类中心温度控制在-2-7℃的范围之内，保证运输过程冷链不中断。商品到达目的地时外包装箱干爽,无软化现象。 （5）在配送卸货环节中应保证冷藏食品脱离冷链时间不得超过20分钟。 （6）抽查发现食品安全质量问题的处理： 6.1抽查检测过程中，如发现成交供应商所配送的肉类、蔬菜等出现变质变味、过期；蔬菜瓜果类的农药含量超标、肉制品无检验标志、干货有发霉或添加剂超标、家禽鱼类有病毒危害，采购人有权拒收，并视情况追究法律及经济责任。 6.2对危及人身安全的食品质量问题采取零容忍措施，一经发现，当日所送同批次所有种类产品全部退货，成交供应商按食堂规定时间，要求的数量、质量、规格重新送货。成交供应商应同时向采购人支付人民币10,000元的违约金，因此出现3次以上退货情况的，采购人有权单方面终止供货合同。 6.3若抽查未发现问题，而在加工食用前发现部分产品质量问题，采购人有权将问题产品退货处理。 （7）采购人发现货物出现损坏（包括表面损坏），或出现水渍、变味、受潮等导致货物性质改变的，成交供应商必须无条件退货或更换商品，并承担相应损失。 （8）对采购人临时的供货要求，需随订随送，最迟在1个小时内送到。</w:t>
            </w:r>
          </w:p>
        </w:tc>
      </w:tr>
      <w:tr>
        <w:tc>
          <w:tcPr>
            <w:tcW w:type="dxa" w:w="2076"/>
          </w:tcPr>
          <w:p>
            <w:pPr>
              <w:jc w:val="center"/>
            </w:pPr>
            <w:r>
              <w:rPr/>
              <w:t>★</w:t>
            </w:r>
          </w:p>
        </w:tc>
        <w:tc>
          <w:tcPr>
            <w:tcW w:type="dxa" w:w="2076"/>
          </w:tcPr>
          <w:p>
            <w:pPr>
              <w:jc w:val="center"/>
            </w:pPr>
            <w:r>
              <w:rPr/>
              <w:t>6</w:t>
            </w:r>
          </w:p>
        </w:tc>
        <w:tc>
          <w:tcPr>
            <w:tcW w:type="dxa" w:w="2076"/>
          </w:tcPr>
          <w:p>
            <w:pPr>
              <w:jc w:val="left"/>
            </w:pPr>
            <w:r>
              <w:rPr/>
              <w:t>扶贫产品采购要求</w:t>
            </w:r>
          </w:p>
        </w:tc>
        <w:tc>
          <w:tcPr>
            <w:tcW w:type="dxa" w:w="2076"/>
          </w:tcPr>
          <w:p>
            <w:pPr>
              <w:jc w:val="left"/>
            </w:pPr>
            <w:r>
              <w:rPr/>
              <w:t>成交供应商须配合采购人按《关于落实运用政府采购政策支持乡村产业振兴有关工作的通知》（粤财采购〔2021〕6号）的相关要求规定落实政府采购脱贫地区农副产品工作。须预留合同金额的30%投入至“脱贫地区农副产品网络销售平台（https://www.fupin832.com/）”中通过该平台账号进行农副产品采购，产生的费用包含在采购预算内（含税），采购人不再额外支付其他费用或者税费（投标时需提供承诺函）。</w:t>
            </w:r>
          </w:p>
        </w:tc>
      </w:tr>
      <w:tr>
        <w:tc>
          <w:tcPr>
            <w:tcW w:type="dxa" w:w="2076"/>
          </w:tcPr>
          <w:p>
            <w:pPr>
              <w:jc w:val="center"/>
            </w:pPr>
            <w:r>
              <w:rPr/>
              <w:t>★</w:t>
            </w:r>
          </w:p>
        </w:tc>
        <w:tc>
          <w:tcPr>
            <w:tcW w:type="dxa" w:w="2076"/>
          </w:tcPr>
          <w:p>
            <w:pPr>
              <w:jc w:val="center"/>
            </w:pPr>
            <w:r>
              <w:rPr/>
              <w:t>7</w:t>
            </w:r>
          </w:p>
        </w:tc>
        <w:tc>
          <w:tcPr>
            <w:tcW w:type="dxa" w:w="2076"/>
          </w:tcPr>
          <w:p>
            <w:pPr>
              <w:jc w:val="left"/>
            </w:pPr>
            <w:r>
              <w:rPr/>
              <w:t>其他</w:t>
            </w:r>
          </w:p>
        </w:tc>
        <w:tc>
          <w:tcPr>
            <w:tcW w:type="dxa" w:w="2076"/>
          </w:tcPr>
          <w:p>
            <w:pPr>
              <w:jc w:val="left"/>
            </w:pPr>
            <w:r>
              <w:rPr/>
              <w:t>在合同履行期间，采购人有权利要求成交供应商采购脱贫地区农副产品网络销售平台（https://www.fupin832.com/）以外的扶贫产品和指定食材，成交供应商需无条件配合采购人进行采购，该部分金额不超过采购预算的8%。由此所产生的费用包含在采购预算内（含税），采购人不再额外支付其他费用或者税费（提供承诺函）。</w:t>
            </w:r>
          </w:p>
        </w:tc>
      </w:tr>
      <w:tr>
        <w:tc>
          <w:tcPr>
            <w:tcW w:type="dxa" w:w="2076"/>
          </w:tcPr>
          <w:p>
            <w:pPr>
              <w:jc w:val="center"/>
            </w:pPr>
          </w:p>
        </w:tc>
        <w:tc>
          <w:tcPr>
            <w:tcW w:type="dxa" w:w="2076"/>
          </w:tcPr>
          <w:p>
            <w:pPr>
              <w:jc w:val="center"/>
            </w:pPr>
            <w:r>
              <w:rPr/>
              <w:t>8</w:t>
            </w:r>
          </w:p>
        </w:tc>
        <w:tc>
          <w:tcPr>
            <w:tcW w:type="dxa" w:w="2076"/>
          </w:tcPr>
          <w:p>
            <w:pPr>
              <w:jc w:val="left"/>
            </w:pPr>
            <w:r>
              <w:rPr/>
              <w:t>定价方式</w:t>
            </w:r>
          </w:p>
        </w:tc>
        <w:tc>
          <w:tcPr>
            <w:tcW w:type="dxa" w:w="2076"/>
          </w:tcPr>
          <w:p>
            <w:pPr>
              <w:jc w:val="left"/>
            </w:pPr>
            <w:r>
              <w:rPr/>
              <w:t>（1）本合同约定供应食材价格均以【广州市发展和改革委员会网http://www.gzplan.gov.cn/中（广州菜篮子价格：全市菜篮子平均零售价、米袋子行情价格）】为基准。 （2）★本项目以投标下浮率进行报价，以百分比表示，保留2位小数。凡超出（0%≤投标下投浮率≤100%）的投标，一律视为无效报价。投标下浮率必须为固定的报价（如5%），不得存在区间值（如2～8%），采购人不接受有任何选择的报价，否则将被视为无效响应处理。 （3）若供应商被确定为成交单位，【广州市发展和改革委员会网http://fgw.gz.gov.cn/中（广州菜篮子价格：全市菜篮子平价零售价、米袋子行情价格）】公布的品种在今后的供应中以供应商投标报价的下浮率为执行标准。其定价时间以15天为周期（1日、16日），每期根据【广州市发展和改革委员会网http://fgw.gz.gov.cn/中（广州菜篮子价格：全市菜篮子平价零售价、米袋子行情价格）】变动而变动。结算公式：结算价格=全市菜篮子平价零售价或米袋子行情价格（15天为周期）*（1-成交下浮率）*实际供货数量。 （4）【广州市发展和改革委员会网http://www.gzplan.gov.cn/中（广州菜篮子价格：全市菜篮子平价零售价、米袋子行情价格）】未公布的品种，则参考黄埔辖区内的华润万家、百佳超市、沃尔玛三家超市网上价格的平均价为定价基准并经采购人确认后执行，定价时间以15天为周期（1日、16日），结算价=周边零售市场价平均价（以15天为周期）*（1-成交下浮率）*实际供货数量。  （5）【广州市发展和改革委员会网http://www.gzplan.gov.cn/中（广州菜篮子价格：全市菜篮子平价零售价、米袋子行情价格）】以及上述超市未公布的品种（如需要去皮的莲藕、土豆、莴笋等食材，去皮加工费每斤不超过1元），以周边农贸市场的平均零售价为定价基准并经采购人确认后执行，结算价=周边农贸市场价平均价（以15天为周期）*（1-成交下浮率）*实际供货数量。</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食品和饮料批发服务</w:t>
            </w:r>
          </w:p>
        </w:tc>
        <w:tc>
          <w:tcPr>
            <w:tcW w:type="dxa" w:w="831"/>
          </w:tcPr>
          <w:p>
            <w:pPr>
              <w:jc w:val="left"/>
            </w:pPr>
            <w:r>
              <w:rPr/>
              <w:t>2022-2023年夏港街道饭堂肉菜配送服务</w:t>
            </w:r>
          </w:p>
        </w:tc>
        <w:tc>
          <w:tcPr>
            <w:tcW w:type="dxa" w:w="831"/>
          </w:tcPr>
          <w:p>
            <w:pPr>
              <w:jc w:val="left"/>
            </w:pPr>
            <w:r>
              <w:rPr/>
              <w:t>项</w:t>
            </w:r>
          </w:p>
        </w:tc>
        <w:tc>
          <w:tcPr>
            <w:tcW w:type="dxa" w:w="831"/>
          </w:tcPr>
          <w:p>
            <w:pPr>
              <w:jc w:val="right"/>
            </w:pPr>
            <w:r>
              <w:rPr/>
              <w:t>1.00</w:t>
            </w:r>
          </w:p>
        </w:tc>
        <w:tc>
          <w:tcPr>
            <w:tcW w:type="dxa" w:w="831"/>
          </w:tcPr>
          <w:p>
            <w:pPr>
              <w:jc w:val="right"/>
            </w:pPr>
            <w:r>
              <w:rPr/>
              <w:t>2,160,000.00</w:t>
            </w:r>
          </w:p>
        </w:tc>
        <w:tc>
          <w:tcPr>
            <w:tcW w:type="dxa" w:w="831"/>
          </w:tcPr>
          <w:p>
            <w:pPr>
              <w:jc w:val="right"/>
            </w:pPr>
            <w:r>
              <w:rPr/>
              <w:t>2,160,000.00</w:t>
            </w:r>
          </w:p>
        </w:tc>
        <w:tc>
          <w:tcPr>
            <w:tcW w:type="dxa" w:w="831"/>
          </w:tcPr>
          <w:p>
            <w:r>
              <w:rPr/>
              <w:t>100.0</w:t>
            </w:r>
          </w:p>
        </w:tc>
        <w:tc>
          <w:tcPr>
            <w:tcW w:type="dxa" w:w="831"/>
          </w:tcPr>
          <w:p>
            <w:r>
              <w:rPr/>
              <w:t>批发业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2022-2023年夏港街道饭堂肉菜配送服务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rPr>
              <w:t>一、项目总体要求：</w:t>
            </w:r>
          </w:p>
          <w:p>
            <w:r>
              <w:rPr/>
              <w:t>1.供应商所供的物品必须符合《中华人民共和国食品卫生法》、《中华人民共和国食品安全法》要求，并遵循本项目磋商文件的要求。</w:t>
            </w:r>
          </w:p>
          <w:p>
            <w:r>
              <w:rPr/>
              <w:t>2.供应商所供的物品必须符合国家有关标准，保证无异味、无霉烂变质，如不符合磋商文件所描述的质量标准，必须无偿退货并承担相应的违约责任。</w:t>
            </w:r>
          </w:p>
          <w:p>
            <w:r>
              <w:rPr/>
              <w:t>3.所供商品必须符合国家行业生产及经营标准，货真价实，供货时必须提供相应批次的合格检验证明（如农药残留检测报告、动物检疫合格证明、广州市分割肉销售凭据等相关证明材料）。</w:t>
            </w:r>
          </w:p>
          <w:p>
            <w:r>
              <w:rPr/>
              <w:t>4.所供产品各项技术指标必须完全符合国家有关质量检测、环保标准及产品出厂标准。</w:t>
            </w:r>
          </w:p>
          <w:p>
            <w:r>
              <w:rPr/>
              <w:t>5.成交供应商提供的所有食品都不能为转基因产品。</w:t>
            </w:r>
          </w:p>
          <w:p>
            <w:r>
              <w:rPr/>
              <w:t>6.成交供应商必须负责成交产品的运输、质量检测工作(采购人每月对蔬菜瓜果、肉类产品抽样送检，如出现二次检测农药各污染物超标的，采购人即有权终止合同)，所产生的费用由成交供应商负责，造成采购人损失的，由成交供应商负责赔偿。</w:t>
            </w:r>
          </w:p>
          <w:p>
            <w:r>
              <w:rPr/>
              <w:t>7.物品具体需求量以实际供应前一天通知的为准。</w:t>
            </w:r>
          </w:p>
          <w:p>
            <w:r>
              <w:rPr/>
              <w:t>8.成交供应商不得将成交项目转包、分包，否则采购人有权单方终止合同,由此产生的一切经济损失由成交供应商自行承担。</w:t>
            </w:r>
          </w:p>
          <w:p>
            <w:r>
              <w:rPr/>
              <w:t>9.成交供应商应做好本单位工作人员的培训、教育工作，遵守采购人各项规定，端正服务态度，提高服务质量。</w:t>
            </w:r>
          </w:p>
          <w:p>
            <w:r>
              <w:rPr/>
              <w:t>10. 成交供应商除不可抗力，不得因其他任何理由延迟送货。采购人如遇特殊情况需推迟送货，会提前通知成交供应商。因成交供应商原因延误交货日期的（采购人要求推迟的除外），采购人可从该项目其他符合条件的采购包成交供应商进行应急货物供货采购，并由成交供应商承担由此产生的一切损失和费用。</w:t>
            </w:r>
          </w:p>
          <w:p>
            <w:r>
              <w:rPr/>
              <w:t>11.成交供应商不得擅自变更供应商品，应严格按招标要求（含商标、名称、产地、规格和重量等）供应，否则，采购人有权拒收。如因市场流通问题确实需要变更的，应书面向采购人申请。</w:t>
            </w:r>
          </w:p>
          <w:p>
            <w:r>
              <w:rPr/>
              <w:t>12.成交供应商须每天安排至少1名工作人员协助采购人进行相关工作。如遇采购人突发性的紧急接待任务，成交供应商则需无条件快速响应跟进提供相关协助工作。</w:t>
            </w:r>
          </w:p>
          <w:p>
            <w:r>
              <w:rPr/>
              <w:t>13.采购人按合同对商品进行认真验收，对不符合规格要求的物品，成交供应商必须无条件退货；成交供应商未能履行磋商文件和合同所定事项，或供应不合格的、假冒伪劣、以次充好的商品，采购人退货后将记录在案，并对成交供应商予以处罚，除要求成交供应商承担因此产生的一切损失和费用外，情节严重的（如因原材料不合格导致用餐人员食物中毒等情况）可没收履约保证金、取消其供应资格并有权单方面中止合同。</w:t>
            </w:r>
          </w:p>
          <w:p>
            <w:r>
              <w:rPr/>
              <w:t>14.供应商须具备自有运输车辆或租赁车辆，具备足够运输能力。</w:t>
            </w:r>
          </w:p>
          <w:p>
            <w:r>
              <w:rPr/>
              <w:t>15.成交供应商须按供应商品的实际销售额开具国家正式发票（根据采购人要求开具增值税普通发票或增值税专用发票）。</w:t>
            </w:r>
          </w:p>
          <w:p>
            <w:r>
              <w:rPr/>
              <w:t>16.供应商需承诺在成交后购买企业经营风险类相关保险。保证本项目合同期在该保险期限内，并将该保险合同复印件作为签署项目合同的附件装订，否则采购人有权上报监管部门处理，由此引发的所有损失由成交供应商负责。</w:t>
            </w:r>
          </w:p>
          <w:p>
            <w:r>
              <w:rPr/>
              <w:t>17.供应商所报投标折扣为最终实际结算依据，该报价包含产品价格、运输、装卸、售后服务、保险、搬运费、税金等一切费用。</w:t>
            </w:r>
          </w:p>
        </w:tc>
      </w:tr>
      <w:tr>
        <w:tc>
          <w:tcPr>
            <w:tcW w:type="dxa" w:w="2076"/>
          </w:tcPr>
          <w:p/>
        </w:tc>
        <w:tc>
          <w:tcPr>
            <w:tcW w:type="dxa" w:w="415"/>
          </w:tcPr>
          <w:p>
            <w:r>
              <w:rPr/>
              <w:t>2</w:t>
            </w:r>
          </w:p>
        </w:tc>
        <w:tc>
          <w:tcPr>
            <w:tcW w:type="dxa" w:w="5814"/>
          </w:tcPr>
          <w:p>
            <w:pPr>
              <w:jc w:val="both"/>
            </w:pPr>
            <w:r>
              <w:rPr>
                <w:b/>
              </w:rPr>
              <w:t>二、货物质量及运输要求</w:t>
            </w:r>
          </w:p>
          <w:p>
            <w:r>
              <w:rPr>
                <w:b/>
              </w:rPr>
              <w:t>（一）肉类（含生鲜、冻品、鱼类、熟食等）</w:t>
            </w:r>
          </w:p>
          <w:p>
            <w:r>
              <w:rPr>
                <w:b/>
              </w:rPr>
              <w:t>供应产品质量要求：</w:t>
            </w:r>
          </w:p>
          <w:p>
            <w:r>
              <w:rPr/>
              <w:t>1.所供货物应保持较好的外观和质量等级，符合国家食品部门有关标准，保证无异味、无霉烂变质，肉类保证来源于广州地区正规肉屠宰场，供货时须提交屠宰场的验收单及当批次有效的动物检疫合格证复印件（原件备查）。新鲜肉确保每日新鲜，为当天广州地区正规屠宰场宰杀的新鲜肉；冷冻肉要求肉体冻实而坚硬，无化冻现象，肉质紧密而有弹性，色泽均匀，不粘手，交货时干净、新鲜、无异味；冷冻鱼类要求鱼眼睛清亮，角膜透明，鳞片上覆有冻结的透明黏液层，皮肤天然色泽明显。所有食品的来源必须清晰。</w:t>
            </w:r>
          </w:p>
          <w:p>
            <w:r>
              <w:rPr/>
              <w:t>2.所有货物规格符合采购人提交的日采购计划中明确的具体需求。</w:t>
            </w:r>
          </w:p>
          <w:p>
            <w:r>
              <w:rPr/>
              <w:t>3.冷冻禽类食品解冻后净重量不少于90％，冷冻肉类食品解冻后净重量不少于92%，冷冻水产类食品解冻后净重量不少于 82%，解冻时间为 4 小时以内（室温 20℃）。所有冷冻食品要求清晰列出产品品牌、规格、类型、包装方式、包装净重、含冰量等相关参数。</w:t>
            </w:r>
          </w:p>
          <w:p>
            <w:r>
              <w:rPr/>
              <w:t>4.熟食包括烧鸡、烧鸭、烧鹅等。熟食（特别是鲜制熟食）的保质期较短，保鲜要求高，供应的熟食需保证产品的品质。</w:t>
            </w:r>
          </w:p>
          <w:p>
            <w:r>
              <w:rPr/>
              <w:t>5.如成交供应商不能按时、保质、保量供货，由采购人自行采购，并承担采购人由此造成的经济损失和接受违约处罚。</w:t>
            </w:r>
          </w:p>
          <w:p>
            <w:r>
              <w:rPr/>
              <w:t>6.成交供应商提供货物应符合下列的《制造商及产品资质证明》：</w:t>
            </w:r>
          </w:p>
          <w:p>
            <w:r>
              <w:rPr/>
              <w:t>6.1 生产（供应）企业的资质证明：（首次供应时提供）</w:t>
            </w:r>
          </w:p>
          <w:tbl>
            <w:tblPr>
              <w:tblBorders>
                <w:top w:val="none" w:color="000000" w:sz="4"/>
                <w:left w:val="none" w:color="000000" w:sz="4"/>
                <w:bottom w:val="none" w:color="000000" w:sz="4"/>
                <w:right w:val="none" w:color="000000" w:sz="4"/>
                <w:insideH w:val="none"/>
                <w:insideV w:val="none"/>
              </w:tblBorders>
            </w:tblPr>
            <w:tblGrid>
              <w:gridCol w:w="961"/>
              <w:gridCol w:w="4637"/>
            </w:tblGrid>
            <w:tr>
              <w:tc>
                <w:tcPr>
                  <w:tcW w:type="dxa" w:w="961"/>
                  <w:tcBorders>
                    <w:top w:val="single" w:color="000000" w:sz="4"/>
                    <w:left w:val="single" w:color="000000" w:sz="4"/>
                    <w:bottom w:val="single" w:color="000000" w:sz="4"/>
                    <w:right w:val="single" w:color="000000" w:sz="4"/>
                  </w:tcBorders>
                </w:tcPr>
                <w:p>
                  <w:pPr>
                    <w:jc w:val="center"/>
                  </w:pPr>
                  <w:r>
                    <w:rPr>
                      <w:b/>
                    </w:rPr>
                    <w:t>类别</w:t>
                  </w:r>
                </w:p>
              </w:tc>
              <w:tc>
                <w:tcPr>
                  <w:tcW w:type="dxa" w:w="4637"/>
                  <w:tcBorders>
                    <w:top w:val="single" w:color="000000" w:sz="4"/>
                    <w:left w:val="none" w:color="000000" w:sz="4"/>
                    <w:bottom w:val="single" w:color="000000" w:sz="4"/>
                    <w:right w:val="single" w:color="000000" w:sz="4"/>
                  </w:tcBorders>
                </w:tcPr>
                <w:p>
                  <w:pPr>
                    <w:jc w:val="center"/>
                  </w:pPr>
                  <w:r>
                    <w:rPr>
                      <w:b/>
                    </w:rPr>
                    <w:t>资质证明</w:t>
                  </w:r>
                </w:p>
              </w:tc>
            </w:tr>
            <w:tr>
              <w:tc>
                <w:tcPr>
                  <w:tcW w:type="dxa" w:w="961"/>
                  <w:tcBorders>
                    <w:top w:val="none" w:color="000000" w:sz="4"/>
                    <w:left w:val="single" w:color="000000" w:sz="4"/>
                    <w:bottom w:val="single" w:color="000000" w:sz="4"/>
                    <w:right w:val="single" w:color="000000" w:sz="4"/>
                  </w:tcBorders>
                </w:tcPr>
                <w:p>
                  <w:pPr>
                    <w:jc w:val="center"/>
                  </w:pPr>
                  <w:r>
                    <w:rPr/>
                    <w:t>畜禽冻肉类</w:t>
                  </w:r>
                </w:p>
              </w:tc>
              <w:tc>
                <w:tcPr>
                  <w:tcW w:type="dxa" w:w="4637"/>
                  <w:tcBorders>
                    <w:top w:val="none" w:color="000000" w:sz="4"/>
                    <w:left w:val="none" w:color="000000" w:sz="4"/>
                    <w:bottom w:val="single" w:color="000000" w:sz="4"/>
                    <w:right w:val="single" w:color="000000" w:sz="4"/>
                  </w:tcBorders>
                </w:tcPr>
                <w:p>
                  <w:pPr>
                    <w:jc w:val="both"/>
                  </w:pPr>
                  <w:r>
                    <w:rPr/>
                    <w:t>《企业法人营业执照》、《食品经营许可证》、《全国工业产品生产许可证》、《动物防疫合格证》</w:t>
                  </w:r>
                </w:p>
              </w:tc>
            </w:tr>
            <w:tr>
              <w:tc>
                <w:tcPr>
                  <w:tcW w:type="dxa" w:w="961"/>
                  <w:tcBorders>
                    <w:top w:val="none" w:color="000000" w:sz="4"/>
                    <w:left w:val="single" w:color="000000" w:sz="4"/>
                    <w:bottom w:val="single" w:color="000000" w:sz="4"/>
                    <w:right w:val="single" w:color="000000" w:sz="4"/>
                  </w:tcBorders>
                </w:tcPr>
                <w:p>
                  <w:pPr>
                    <w:jc w:val="center"/>
                  </w:pPr>
                  <w:r>
                    <w:rPr/>
                    <w:t>肉制品</w:t>
                  </w:r>
                </w:p>
              </w:tc>
              <w:tc>
                <w:tcPr>
                  <w:tcW w:type="dxa" w:w="4637"/>
                  <w:tcBorders>
                    <w:top w:val="none" w:color="000000" w:sz="4"/>
                    <w:left w:val="none" w:color="000000" w:sz="4"/>
                    <w:bottom w:val="single" w:color="000000" w:sz="4"/>
                    <w:right w:val="single" w:color="000000" w:sz="4"/>
                  </w:tcBorders>
                </w:tcPr>
                <w:p>
                  <w:pPr>
                    <w:jc w:val="both"/>
                  </w:pPr>
                  <w:r>
                    <w:rPr/>
                    <w:t>《企业法人营业执照》、《食品经营许可证》、《全国工业产品生产许可证》</w:t>
                  </w:r>
                </w:p>
              </w:tc>
            </w:tr>
            <w:tr>
              <w:tc>
                <w:tcPr>
                  <w:tcW w:type="dxa" w:w="961"/>
                  <w:tcBorders>
                    <w:top w:val="none" w:color="000000" w:sz="4"/>
                    <w:left w:val="single" w:color="000000" w:sz="4"/>
                    <w:bottom w:val="single" w:color="000000" w:sz="4"/>
                    <w:right w:val="single" w:color="000000" w:sz="4"/>
                  </w:tcBorders>
                </w:tcPr>
                <w:p>
                  <w:pPr>
                    <w:jc w:val="center"/>
                  </w:pPr>
                  <w:r>
                    <w:rPr/>
                    <w:t>水产品</w:t>
                  </w:r>
                </w:p>
              </w:tc>
              <w:tc>
                <w:tcPr>
                  <w:tcW w:type="dxa" w:w="4637"/>
                  <w:tcBorders>
                    <w:top w:val="none" w:color="000000" w:sz="4"/>
                    <w:left w:val="none" w:color="000000" w:sz="4"/>
                    <w:bottom w:val="single" w:color="000000" w:sz="4"/>
                    <w:right w:val="single" w:color="000000" w:sz="4"/>
                  </w:tcBorders>
                </w:tcPr>
                <w:p>
                  <w:pPr>
                    <w:jc w:val="both"/>
                  </w:pPr>
                  <w:r>
                    <w:rPr/>
                    <w:t>《企业法人营业执照》、《食品经营许可证》</w:t>
                  </w:r>
                </w:p>
              </w:tc>
            </w:tr>
          </w:tbl>
          <w:p>
            <w:pPr>
              <w:ind w:firstLine="420"/>
              <w:jc w:val="left"/>
            </w:pPr>
            <w:r>
              <w:rPr/>
              <w:t>产品票证要求：</w:t>
            </w:r>
          </w:p>
          <w:tbl>
            <w:tblPr>
              <w:tblBorders>
                <w:top w:val="none" w:color="000000" w:sz="4"/>
                <w:left w:val="none" w:color="000000" w:sz="4"/>
                <w:bottom w:val="none" w:color="000000" w:sz="4"/>
                <w:right w:val="none" w:color="000000" w:sz="4"/>
                <w:insideH w:val="none"/>
                <w:insideV w:val="none"/>
              </w:tblBorders>
            </w:tblPr>
            <w:tblGrid>
              <w:gridCol w:w="961"/>
              <w:gridCol w:w="2318"/>
              <w:gridCol w:w="2318"/>
            </w:tblGrid>
            <w:tr>
              <w:tc>
                <w:tcPr>
                  <w:tcW w:type="dxa" w:w="961"/>
                  <w:tcBorders>
                    <w:top w:val="single" w:color="000000" w:sz="4"/>
                    <w:left w:val="single" w:color="000000" w:sz="4"/>
                    <w:bottom w:val="single" w:color="000000" w:sz="4"/>
                    <w:right w:val="single" w:color="000000" w:sz="4"/>
                  </w:tcBorders>
                </w:tcPr>
                <w:p>
                  <w:pPr>
                    <w:jc w:val="center"/>
                  </w:pPr>
                  <w:r>
                    <w:rPr>
                      <w:b/>
                    </w:rPr>
                    <w:t>类别</w:t>
                  </w:r>
                </w:p>
              </w:tc>
              <w:tc>
                <w:tcPr>
                  <w:tcW w:type="dxa" w:w="2318"/>
                  <w:tcBorders>
                    <w:top w:val="single" w:color="000000" w:sz="4"/>
                    <w:left w:val="none" w:color="000000" w:sz="4"/>
                    <w:bottom w:val="single" w:color="000000" w:sz="4"/>
                    <w:right w:val="single" w:color="000000" w:sz="4"/>
                  </w:tcBorders>
                </w:tcPr>
                <w:p>
                  <w:pPr>
                    <w:jc w:val="center"/>
                  </w:pPr>
                  <w:r>
                    <w:rPr>
                      <w:b/>
                    </w:rPr>
                    <w:t>产品资质名称</w:t>
                  </w:r>
                </w:p>
              </w:tc>
              <w:tc>
                <w:tcPr>
                  <w:tcW w:type="dxa" w:w="2318"/>
                  <w:tcBorders>
                    <w:top w:val="single" w:color="000000" w:sz="4"/>
                    <w:left w:val="none" w:color="000000" w:sz="4"/>
                    <w:bottom w:val="single" w:color="000000" w:sz="4"/>
                    <w:right w:val="single" w:color="000000" w:sz="4"/>
                  </w:tcBorders>
                </w:tcPr>
                <w:p>
                  <w:pPr>
                    <w:jc w:val="center"/>
                  </w:pPr>
                  <w:r>
                    <w:rPr>
                      <w:b/>
                    </w:rPr>
                    <w:t>验收索证要求</w:t>
                  </w:r>
                </w:p>
              </w:tc>
            </w:tr>
            <w:tr>
              <w:tc>
                <w:tcPr>
                  <w:tcW w:type="dxa" w:w="961"/>
                  <w:vMerge w:val="restart"/>
                  <w:tcBorders>
                    <w:top w:val="none" w:color="000000" w:sz="4"/>
                    <w:left w:val="single" w:color="000000" w:sz="4"/>
                    <w:bottom w:val="single" w:color="000000" w:sz="4"/>
                    <w:right w:val="single" w:color="000000" w:sz="4"/>
                  </w:tcBorders>
                </w:tcPr>
                <w:p>
                  <w:pPr>
                    <w:jc w:val="center"/>
                  </w:pPr>
                  <w:r>
                    <w:rPr/>
                    <w:t>猪、牛肉类、家禽类</w:t>
                  </w:r>
                </w:p>
              </w:tc>
              <w:tc>
                <w:tcPr>
                  <w:tcW w:type="dxa" w:w="2318"/>
                  <w:tcBorders>
                    <w:top w:val="none" w:color="000000" w:sz="4"/>
                    <w:left w:val="none" w:color="000000" w:sz="4"/>
                    <w:bottom w:val="single" w:color="000000" w:sz="4"/>
                    <w:right w:val="single" w:color="000000" w:sz="4"/>
                  </w:tcBorders>
                </w:tcPr>
                <w:p>
                  <w:pPr>
                    <w:jc w:val="both"/>
                  </w:pPr>
                  <w:r>
                    <w:rPr/>
                    <w:t>（1）《出县境动物产品检疫合格证》</w:t>
                  </w:r>
                </w:p>
              </w:tc>
              <w:tc>
                <w:tcPr>
                  <w:tcW w:type="dxa" w:w="2318"/>
                  <w:tcBorders>
                    <w:top w:val="none" w:color="000000" w:sz="4"/>
                    <w:left w:val="none" w:color="000000" w:sz="4"/>
                    <w:bottom w:val="single" w:color="000000" w:sz="4"/>
                    <w:right w:val="single" w:color="000000" w:sz="4"/>
                  </w:tcBorders>
                </w:tcPr>
                <w:p>
                  <w:pPr>
                    <w:jc w:val="both"/>
                  </w:pPr>
                  <w:r>
                    <w:rPr/>
                    <w:t>由政府动植物检疫部门出具，用于跨区销售检查</w:t>
                  </w:r>
                </w:p>
              </w:tc>
            </w:tr>
            <w:tr>
              <w:tc>
                <w:tcPr>
                  <w:tcW w:type="dxa" w:w="961"/>
                  <w:vMerge/>
                  <w:tcBorders>
                    <w:top w:val="none" w:color="000000" w:sz="4"/>
                    <w:left w:val="single" w:color="000000" w:sz="4"/>
                    <w:bottom w:val="single" w:color="000000" w:sz="4"/>
                    <w:right w:val="single" w:color="000000" w:sz="4"/>
                  </w:tcBorders>
                </w:tcPr>
                <w:p/>
              </w:tc>
              <w:tc>
                <w:tcPr>
                  <w:tcW w:type="dxa" w:w="2318"/>
                  <w:tcBorders>
                    <w:top w:val="none" w:color="000000" w:sz="4"/>
                    <w:left w:val="none" w:color="000000" w:sz="4"/>
                    <w:bottom w:val="single" w:color="000000" w:sz="4"/>
                    <w:right w:val="single" w:color="000000" w:sz="4"/>
                  </w:tcBorders>
                </w:tcPr>
                <w:p>
                  <w:pPr>
                    <w:jc w:val="both"/>
                  </w:pPr>
                  <w:r>
                    <w:rPr/>
                    <w:t>（2）《产品合格证》</w:t>
                  </w:r>
                </w:p>
              </w:tc>
              <w:tc>
                <w:tcPr>
                  <w:tcW w:type="dxa" w:w="2318"/>
                  <w:tcBorders>
                    <w:top w:val="none" w:color="000000" w:sz="4"/>
                    <w:left w:val="none" w:color="000000" w:sz="4"/>
                    <w:bottom w:val="single" w:color="000000" w:sz="4"/>
                    <w:right w:val="single" w:color="000000" w:sz="4"/>
                  </w:tcBorders>
                </w:tcPr>
                <w:p>
                  <w:pPr>
                    <w:jc w:val="both"/>
                  </w:pPr>
                  <w:r>
                    <w:rPr/>
                    <w:t>交货时提供本批次产品的出厂（库）检验合格证明，随车同行。</w:t>
                  </w:r>
                </w:p>
              </w:tc>
            </w:tr>
            <w:tr>
              <w:tc>
                <w:tcPr>
                  <w:tcW w:type="dxa" w:w="961"/>
                  <w:tcBorders>
                    <w:top w:val="none" w:color="000000" w:sz="4"/>
                    <w:left w:val="single" w:color="000000" w:sz="4"/>
                    <w:bottom w:val="single" w:color="000000" w:sz="4"/>
                    <w:right w:val="single" w:color="000000" w:sz="4"/>
                  </w:tcBorders>
                </w:tcPr>
                <w:p>
                  <w:pPr>
                    <w:jc w:val="center"/>
                  </w:pPr>
                  <w:r>
                    <w:rPr/>
                    <w:t>肉制品</w:t>
                  </w:r>
                </w:p>
              </w:tc>
              <w:tc>
                <w:tcPr>
                  <w:tcW w:type="dxa" w:w="2318"/>
                  <w:tcBorders>
                    <w:top w:val="none" w:color="000000" w:sz="4"/>
                    <w:left w:val="none" w:color="000000" w:sz="4"/>
                    <w:bottom w:val="single" w:color="000000" w:sz="4"/>
                    <w:right w:val="single" w:color="000000" w:sz="4"/>
                  </w:tcBorders>
                </w:tcPr>
                <w:p>
                  <w:pPr>
                    <w:jc w:val="both"/>
                  </w:pPr>
                  <w:r>
                    <w:rPr/>
                    <w:t>分割证明</w:t>
                  </w:r>
                </w:p>
              </w:tc>
              <w:tc>
                <w:tcPr>
                  <w:tcW w:type="dxa" w:w="2318"/>
                  <w:tcBorders>
                    <w:top w:val="none" w:color="000000" w:sz="4"/>
                    <w:left w:val="none" w:color="000000" w:sz="4"/>
                    <w:bottom w:val="single" w:color="000000" w:sz="4"/>
                    <w:right w:val="single" w:color="000000" w:sz="4"/>
                  </w:tcBorders>
                </w:tcPr>
                <w:p>
                  <w:pPr>
                    <w:jc w:val="both"/>
                  </w:pPr>
                  <w:r>
                    <w:rPr/>
                    <w:t>由政府疾控部门或卫生检验部门出具（半年内有效）</w:t>
                  </w:r>
                </w:p>
              </w:tc>
            </w:tr>
            <w:tr>
              <w:tc>
                <w:tcPr>
                  <w:tcW w:type="dxa" w:w="961"/>
                  <w:tcBorders>
                    <w:top w:val="none" w:color="000000" w:sz="4"/>
                    <w:left w:val="single" w:color="000000" w:sz="4"/>
                    <w:bottom w:val="single" w:color="000000" w:sz="4"/>
                    <w:right w:val="single" w:color="000000" w:sz="4"/>
                  </w:tcBorders>
                </w:tcPr>
                <w:p>
                  <w:pPr>
                    <w:jc w:val="center"/>
                  </w:pPr>
                  <w:r>
                    <w:rPr/>
                    <w:t>水产品</w:t>
                  </w:r>
                </w:p>
              </w:tc>
              <w:tc>
                <w:tcPr>
                  <w:tcW w:type="dxa" w:w="2318"/>
                  <w:tcBorders>
                    <w:top w:val="none" w:color="000000" w:sz="4"/>
                    <w:left w:val="none" w:color="000000" w:sz="4"/>
                    <w:bottom w:val="single" w:color="000000" w:sz="4"/>
                    <w:right w:val="single" w:color="000000" w:sz="4"/>
                  </w:tcBorders>
                </w:tcPr>
                <w:p>
                  <w:pPr>
                    <w:jc w:val="both"/>
                  </w:pPr>
                  <w:r>
                    <w:rPr/>
                    <w:t>贮存地的出入库检疫证明，水产品成型标准为个体单独冷冻成型。</w:t>
                  </w:r>
                </w:p>
              </w:tc>
              <w:tc>
                <w:tcPr>
                  <w:tcW w:type="dxa" w:w="2318"/>
                  <w:tcBorders>
                    <w:top w:val="none" w:color="000000" w:sz="4"/>
                    <w:left w:val="none" w:color="000000" w:sz="4"/>
                    <w:bottom w:val="single" w:color="000000" w:sz="4"/>
                    <w:right w:val="single" w:color="000000" w:sz="4"/>
                  </w:tcBorders>
                </w:tcPr>
                <w:p>
                  <w:pPr>
                    <w:jc w:val="both"/>
                  </w:pPr>
                  <w:r>
                    <w:rPr/>
                    <w:t>交货时提供本批次产品的出厂（库）检验合格证明。</w:t>
                  </w:r>
                </w:p>
              </w:tc>
            </w:tr>
          </w:tbl>
          <w:p>
            <w:pPr>
              <w:ind w:firstLine="420"/>
              <w:jc w:val="left"/>
            </w:pPr>
            <w:r>
              <w:rPr/>
              <w:t>7. 产品配送要求：</w:t>
            </w:r>
          </w:p>
          <w:p>
            <w:r>
              <w:rPr/>
              <w:t>7.1 食品运输必须采用符合卫生要求的外包装（框、箱、袋）和运载工具，并且要保持清洁和定期消毒。运输车厢的内仓，包括地面、墙面和顶部，应为抗腐蚀、防潮，防虫、防鼠的设计，车厢内无不良气味、异味。</w:t>
            </w:r>
          </w:p>
          <w:p>
            <w:r>
              <w:rPr/>
              <w:t>7.2 冷藏、冷冻食品必须用专用冷藏、冷冻载具运输，应当有必要的保温设备并在整个运输过程中保持安全的冷藏、冷冻温度。特别是对于长途运输的食品，保证食品在运输全过程处于合适的温度范围。</w:t>
            </w:r>
          </w:p>
          <w:p>
            <w:r>
              <w:rPr/>
              <w:t>7.3 整个运输过程应科学合理，运输车辆应定期清洁，保持性能稳定，符合规定的温度要求，使运输食品处于恒定的环境中。</w:t>
            </w:r>
          </w:p>
          <w:p>
            <w:r>
              <w:rPr/>
              <w:t>7.4 送货车辆实行1小时配送圈运作，在1小时内的用保温车配送，1小时以外的用制冷车配送，保证肉类中心温度控制在-2℃~7℃的范围之内，保证运输过程冷链不中断。商品到达目的地时外包装箱干爽，无软化现象。</w:t>
            </w:r>
          </w:p>
          <w:p>
            <w:r>
              <w:rPr/>
              <w:t>8. 卸货要求：</w:t>
            </w:r>
          </w:p>
          <w:p>
            <w:r>
              <w:rPr/>
              <w:t>8.1 送货车辆应保持清洁；食品堆放科学合理，避免造成食品的交叉污染；如对温度有要求的食品应确定食品的温度，记录送货车辆温度，并记录存档。</w:t>
            </w:r>
          </w:p>
          <w:p>
            <w:r>
              <w:rPr/>
              <w:t>8.2 在卸货环节中应保证冷藏食品脱离冷链时间不得超过20分钟，冷冻食品脱离冷链时间不得超过30分钟。</w:t>
            </w:r>
          </w:p>
          <w:p>
            <w:r>
              <w:rPr/>
              <w:t>9. 冻肉质量的基本检查，对冻肉类检查如下：</w:t>
            </w:r>
          </w:p>
          <w:p>
            <w:r>
              <w:rPr/>
              <w:t>9.1 采购的冻肉必须符合食品卫生要求及国家有关标准和行业规范。采购生产、经营证明文件齐备，明确来源，并具有检验合格证明。严禁含有毒有害物质、虫及混有异物，严禁有腐烂变质、酸败、霉变情况，禁止采购超过保质期限的冻肉类食品。</w:t>
            </w:r>
          </w:p>
          <w:p>
            <w:r>
              <w:rPr/>
              <w:t>9.2 冻肉类食品包装必须符合国家规范，采购的食品不得存放在有毒、有害的容器和承载物内。食品包装上必须使用原产地标识，应注明：制造商名称和厂址、食品名称和重（容）量、生产日期和保质期限、规格和QS认证等。</w:t>
            </w:r>
          </w:p>
          <w:p>
            <w:r>
              <w:rPr/>
              <w:t>9.3 对不符合采购要求的冻肉类食品由验收人员提出清退。如双方对质量有争议的，退货前应实行留板备案，可送广州市或采购人所在地地级市以上质监部门检测。对缺斤短两（或含冰量超标）的应按实际重量扣减。</w:t>
            </w:r>
          </w:p>
          <w:p>
            <w:r>
              <w:rPr/>
              <w:t>10. 冻肉类食品验收发现问题时的处理办法：</w:t>
            </w:r>
          </w:p>
          <w:p>
            <w:r>
              <w:rPr/>
              <w:t>10.1 按后附产品质量描述对货物质量进行抽查。</w:t>
            </w:r>
          </w:p>
          <w:p>
            <w:r>
              <w:rPr/>
              <w:t>10.2 抽查发现食品安全质量问题的处理：</w:t>
            </w:r>
          </w:p>
          <w:p>
            <w:r>
              <w:rPr/>
              <w:t>（1）对危及人身安全的食品质量问题采取零容忍措施，一经发现，当日所送同批次产品全部退货，如：水产品中发现河豚鱼，发现腐败变质肉类等。</w:t>
            </w:r>
          </w:p>
          <w:p>
            <w:r>
              <w:rPr/>
              <w:t>（2）若抽查未发现问题，而在加工食用前发现部分产品质量问题，应立即通知学校验收人员及成交供应商，将问题产品退货处理。</w:t>
            </w:r>
          </w:p>
          <w:p>
            <w:r>
              <w:rPr/>
              <w:t>10.3 抽查发现资质证照不全问题的处理：</w:t>
            </w:r>
          </w:p>
          <w:p>
            <w:r>
              <w:rPr/>
              <w:t>（1） 整批产品无政府部门出具的动植物检疫合格证明的全部退货；</w:t>
            </w:r>
          </w:p>
          <w:p>
            <w:r>
              <w:rPr/>
              <w:t>（2）抽查发现部分产品无政府部门出具的动植物检疫合格证明，加抽15%，两次抽查数50%以上没有动植物检疫合格证明的，全部退货；50%以下没有动植物检疫合格证明的，将无动植物检疫合格证明的货物退货；</w:t>
            </w:r>
          </w:p>
          <w:p>
            <w:r>
              <w:rPr/>
              <w:t>（3）整批产品有省地市出具的动植物检疫合格证明，但随箱产品合格证不齐全的，加抽15%，两次抽查数50%以上没有产品合格证的，全部退货；50%以下没有产品合格证明的，将无产品合格证明的货物退货；</w:t>
            </w:r>
          </w:p>
          <w:p>
            <w:r>
              <w:rPr/>
              <w:t>（4）肉制品无疾控部门或质量技术监督部门出具的同类产品半年内有效检验报告，作退货处理；随箱产品合格证不齐全的，加抽15%，两次抽查数50%以上没有产品合格证的，全部退货；50%以下没有产品合格证明的，将无产品合格证明的货物退货。</w:t>
            </w:r>
          </w:p>
          <w:p>
            <w:r>
              <w:rPr/>
              <w:t>11. 货物重量验收：</w:t>
            </w:r>
          </w:p>
          <w:p>
            <w:r>
              <w:rPr/>
              <w:t>11.1 冻肉类：双方各随机抽取每品种货物一箱，去包装，在流动的10℃-25℃清水中浸泡解冻至表面冰层融化，个体能够分离为止，充分摊开货物沥水三分钟后称重，取双方抽取样本均值为该产品本批次种货物的验收重量。</w:t>
            </w:r>
          </w:p>
          <w:p>
            <w:r>
              <w:rPr/>
              <w:t>11.2 水产类：双方各随机抽取每品种货物两箱，去包装，在流动的10℃-25℃清水中浸泡解冻至表面冰层融化，个体能够分离为止，充分摊开货物沥水三分钟后称重，取双方抽取样本均值为该产品本批次种货物的验收重量。</w:t>
            </w:r>
          </w:p>
          <w:p>
            <w:r>
              <w:rPr/>
              <w:t>11.3 新鲜肉类、丸类、火腿、腊肠类等不含冰货物直接称重验收。</w:t>
            </w:r>
          </w:p>
          <w:p>
            <w:r>
              <w:rPr>
                <w:b/>
              </w:rPr>
              <w:t>（二）蔬菜类要求</w:t>
            </w:r>
          </w:p>
          <w:p>
            <w:r>
              <w:rPr>
                <w:b/>
              </w:rPr>
              <w:t>蔬菜类：</w:t>
            </w:r>
          </w:p>
          <w:p>
            <w:r>
              <w:rPr/>
              <w:t>1. 成交供应商每次按采购人提出的品种要求和计划数量进行供应。</w:t>
            </w:r>
          </w:p>
          <w:p>
            <w:r>
              <w:rPr/>
              <w:t>2. 属季节问题，若出现品种不能满足采购人需求的情况，可与采购人协商调换相应类别的品种（按叶菜、瓜菜等进行分类）。</w:t>
            </w:r>
          </w:p>
          <w:p>
            <w:r>
              <w:rPr/>
              <w:t>3. 货物质量要求：</w:t>
            </w:r>
          </w:p>
          <w:p>
            <w:r>
              <w:rPr/>
              <w:t>3.1 从蔬菜色泽看，各种蔬菜都应具有本品种固有的颜色，大多数有发亮的光泽，以此显示蔬菜的成熟度及鲜嫩程度；</w:t>
            </w:r>
          </w:p>
          <w:p>
            <w:r>
              <w:rPr/>
              <w:t>3.2 从蔬菜气味看，多数蔬菜具有清馨、甘辛香、甜酸香等气味，可凭嗅觉识别不同品种的质量，不允许有腐烂变质的亚硝酸盐味和其他异常气味；</w:t>
            </w:r>
          </w:p>
          <w:p>
            <w:r>
              <w:rPr/>
              <w:t>3.3 从蔬菜滋味看，因品种不同而各异，多数蔬菜滋味甘淡、甜酸、清爽鲜美，少数具有辛酸、苦涩等特殊风味以刺激食欲，如失去本品种原有的滋味即为异常；</w:t>
            </w:r>
          </w:p>
          <w:p>
            <w:r>
              <w:rPr/>
              <w:t>3.4 从蔬菜形态看，应尽量避免由于客观因素而造成的各种非正常、不新鲜的蔬菜，例如萎蔫、枯塌、损伤、病变、虫害侵蚀等引起的形态异常等。</w:t>
            </w:r>
          </w:p>
          <w:p>
            <w:r>
              <w:rPr/>
              <w:t>3.5 叶菜类：大白菜、小白菜、菠菜、甘蓝、荠菜、空心菜、茼蒿、苋菜、芹菜等绿叶菜类。属同一品种规格，肉质鲜嫩形态好，色泽正常，茎基部削平，无枯黄叶、病叶、泥土、明显机械伤和病虫害伤，无烧心焦边、腐烂等现象，无抽苔（菜心除外），无畸形、异味，结球叶菜要结球适度，花椰菜应新鲜洁白，不带叶麸，无畸形花。</w:t>
            </w:r>
          </w:p>
          <w:p>
            <w:r>
              <w:rPr/>
              <w:t>3.6 茄果类：番茄、茄子、甜椒、辣椒等。属同一品种规格，果实整洁，成熟度适中，番茄花蒂不明显，无裂果及空洞现象，茄果不能有裂蒂及果皮变硬现象，无腐烂、畸形、异味，无明显机械伤。</w:t>
            </w:r>
          </w:p>
          <w:p>
            <w:r>
              <w:rPr/>
              <w:t>3.7 瓜果类：黄瓜、冬瓜、丝瓜、苦瓜、南瓜、毛节瓜等。属同一品种规格，形状、色泽一致，瓜条均匀，无疤点，无断裂，无腐烂、畸形、异味、明显机械伤，不带泥土。</w:t>
            </w:r>
          </w:p>
          <w:p>
            <w:r>
              <w:rPr/>
              <w:t>3.8 根菜类：萝卜、胡萝卜等。属同一品种规格，皮细光滑，大小均匀，肉质脆嫩致密新鲜，无腐烂、畸形、裂痕、糠心、异味，不带泥沙，不带茎叶和须根。</w:t>
            </w:r>
          </w:p>
          <w:p>
            <w:r>
              <w:rPr/>
              <w:t>3.9 薯芋类：马铃薯、芋、姜等。属同一品种规格，色泽一致，不带泥沙，不带须根、茎叶，不干瘪，无腐烂、畸形、异味、明显机械伤、病虫害斑，马铃薯无发芽，皮不变绿。</w:t>
            </w:r>
          </w:p>
          <w:p>
            <w:r>
              <w:rPr/>
              <w:t>3.10 葱蒜类：葱、蒜、韭菜、洋葱等。属同一品种规格，允许葱、青蒜类保留干净须根，葱、蒜、韭菜不带老叶，蒜头、洋葱去根去枯叶，可食部分新鲜幼嫩，无腐烂、畸形、异味。</w:t>
            </w:r>
          </w:p>
          <w:p>
            <w:r>
              <w:rPr/>
              <w:t>3.11 豆类：扁豆、豌豆、毛豆等。属同一品种规格，形态完整，成熟度适中，无腐烂、畸形、异味，豆荚类新鲜、幼嫩、均匀，豆仁类籽粒饱满，较均匀，无发芽，不带泥土杂质。</w:t>
            </w:r>
          </w:p>
          <w:p>
            <w:r>
              <w:rPr/>
              <w:t>3.12 水生菜类：藕、慈菇、茭白、马蹄、菱等。属同一品种规格，肉质嫩，成熟度适中，无腐烂、畸形、异味，无明显机械伤，不带泥土和杂质，不干瘪，茭白不黑心。</w:t>
            </w:r>
          </w:p>
          <w:p>
            <w:r>
              <w:rPr/>
              <w:t>3.13 食用菌类：蘑菇、草菇、香菇、木耳等。属同一品种规格，蘑菇、草菇菌盖圆整略展开，柄粗壮，菌膜紧，菇柄切削平整，不浸泡水（蘑菇允许浸盐水保鲜），新鲜，无杂质，无畸形菇，无腐烂、异味。</w:t>
            </w:r>
          </w:p>
          <w:p>
            <w:r>
              <w:rPr/>
              <w:t>3.14 芽苗类：绿豆芽、黄豆芽、香樁苗等。芽苗幼嫩，不带豆壳杂质，新鲜，不浸水，无腐烂、异味。</w:t>
            </w:r>
          </w:p>
          <w:p>
            <w:r>
              <w:rPr/>
              <w:t>3.15成交供应商所供应的蔬菜瓜果类包括但不限于以上的品种。</w:t>
            </w:r>
          </w:p>
          <w:p>
            <w:r>
              <w:rPr/>
              <w:t>4. 供应和管理要求：</w:t>
            </w:r>
          </w:p>
          <w:p>
            <w:r>
              <w:rPr/>
              <w:t>4.1 蔬菜供应的品种安排（分主菜和配菜）：</w:t>
            </w:r>
          </w:p>
          <w:p>
            <w:r>
              <w:rPr/>
              <w:t>（1）配菜品种按采购人计划和要求的品种供应；</w:t>
            </w:r>
          </w:p>
          <w:p>
            <w:r>
              <w:rPr/>
              <w:t>（2）主菜品种由供求双方根据季节安排，但要确保每周有3个品种以上，每个品种不少于2次，6-9月叶菜类不少于30％，其余时间叶菜类不少于50％。</w:t>
            </w:r>
          </w:p>
          <w:p>
            <w:r>
              <w:rPr/>
              <w:t>4.2 蔬菜包装与标志要求：</w:t>
            </w:r>
          </w:p>
          <w:p>
            <w:r>
              <w:rPr/>
              <w:t>包装：容器(框、箱、袋)要求清洁、干燥、牢固、透气，无污染、无异味、无霉变现象；</w:t>
            </w:r>
          </w:p>
          <w:p>
            <w:r>
              <w:rPr/>
              <w:t>标志：每件包装必须按《农产品包装和标识管理办法》贴标签，并标明产地、品种、净含量、生产单位及地址和采收日期。</w:t>
            </w:r>
          </w:p>
          <w:p>
            <w:r>
              <w:rPr/>
              <w:t>4.3 食品供应链要求：所有食品的来源必须清晰。每天早上八点半之前必须送到采购人处。</w:t>
            </w:r>
          </w:p>
          <w:p>
            <w:r>
              <w:rPr/>
              <w:t>4.4 运输要求：</w:t>
            </w:r>
          </w:p>
          <w:p>
            <w:r>
              <w:rPr/>
              <w:t>运输工具应清洁卫生无污染。食品运输必须采用符合卫生标准的外包装和运载工具，并且要保持清洁和定期消毒；运输车厢的内仓，包括地面、墙面和顶部，应使用抗腐蚀、防潮，易清洁消毒的材料；车厢内无不良气味、异味；运输途中严防日晒、雨淋，注意通风散热；蔬菜应小心轻卸，严防机械损伤；食品堆放科学合理，避免造成食品的交叉污染；如对温度有要求的食品应确定食品的温度，记录送货车辆温度，并记录存档。</w:t>
            </w:r>
          </w:p>
          <w:p>
            <w:r>
              <w:rPr/>
              <w:t>5. 农药要求：种植使用的农药必须符合食品安全管理部门的规定，严禁使用违禁药物；农药的采购、保管、发放、使用必须建立记录；蔬菜生产使用农药的间隔期必须符合行业规定，并且采收前成交供应商应从种植地取样检测农残项目，合格后方可供应。</w:t>
            </w:r>
          </w:p>
          <w:p>
            <w:r>
              <w:rPr/>
              <w:t>6. 蔬菜卫生质量要求：</w:t>
            </w:r>
          </w:p>
          <w:p>
            <w:r>
              <w:rPr/>
              <w:t>6.1 卫生质量指标，应符合我国无公害蔬菜上的卫生指标规定。</w:t>
            </w:r>
          </w:p>
          <w:tbl>
            <w:tblPr>
              <w:tblBorders>
                <w:top w:val="none" w:color="000000" w:sz="4"/>
                <w:left w:val="none" w:color="000000" w:sz="4"/>
                <w:bottom w:val="none" w:color="000000" w:sz="4"/>
                <w:right w:val="none" w:color="000000" w:sz="4"/>
                <w:insideH w:val="none"/>
                <w:insideV w:val="none"/>
              </w:tblBorders>
            </w:tblPr>
            <w:tblGrid>
              <w:gridCol w:w="2658"/>
              <w:gridCol w:w="2940"/>
            </w:tblGrid>
            <w:tr>
              <w:tc>
                <w:tcPr>
                  <w:tcW w:type="dxa" w:w="2658"/>
                  <w:tcBorders>
                    <w:top w:val="single" w:color="000000" w:sz="4"/>
                    <w:left w:val="single" w:color="000000" w:sz="4"/>
                    <w:bottom w:val="single" w:color="000000" w:sz="4"/>
                    <w:right w:val="single" w:color="000000" w:sz="4"/>
                  </w:tcBorders>
                </w:tcPr>
                <w:p>
                  <w:pPr>
                    <w:jc w:val="center"/>
                  </w:pPr>
                  <w:r>
                    <w:rPr>
                      <w:b/>
                    </w:rPr>
                    <w:t>项目</w:t>
                  </w:r>
                </w:p>
              </w:tc>
              <w:tc>
                <w:tcPr>
                  <w:tcW w:type="dxa" w:w="2940"/>
                  <w:tcBorders>
                    <w:top w:val="single" w:color="000000" w:sz="4"/>
                    <w:left w:val="none" w:color="000000" w:sz="4"/>
                    <w:bottom w:val="single" w:color="000000" w:sz="4"/>
                    <w:right w:val="single" w:color="000000" w:sz="4"/>
                  </w:tcBorders>
                </w:tcPr>
                <w:p>
                  <w:pPr>
                    <w:jc w:val="center"/>
                  </w:pPr>
                  <w:r>
                    <w:rPr>
                      <w:b/>
                    </w:rPr>
                    <w:t>指标（mg/kg）</w:t>
                  </w:r>
                </w:p>
              </w:tc>
            </w:tr>
            <w:tr>
              <w:tc>
                <w:tcPr>
                  <w:tcW w:type="dxa" w:w="2658"/>
                  <w:tcBorders>
                    <w:top w:val="none" w:color="000000" w:sz="4"/>
                    <w:left w:val="single" w:color="000000" w:sz="4"/>
                    <w:bottom w:val="single" w:color="000000" w:sz="4"/>
                    <w:right w:val="single" w:color="000000" w:sz="4"/>
                  </w:tcBorders>
                </w:tcPr>
                <w:p>
                  <w:pPr>
                    <w:jc w:val="center"/>
                  </w:pPr>
                  <w:r>
                    <w:rPr/>
                    <w:t>甲胺磷</w:t>
                  </w:r>
                </w:p>
              </w:tc>
              <w:tc>
                <w:tcPr>
                  <w:tcW w:type="dxa" w:w="2940"/>
                  <w:tcBorders>
                    <w:top w:val="none" w:color="000000" w:sz="4"/>
                    <w:left w:val="none" w:color="000000" w:sz="4"/>
                    <w:bottom w:val="single" w:color="000000" w:sz="4"/>
                    <w:right w:val="single" w:color="000000" w:sz="4"/>
                  </w:tcBorders>
                </w:tcPr>
                <w:p>
                  <w:pPr>
                    <w:jc w:val="center"/>
                  </w:pPr>
                  <w:r>
                    <w:rPr/>
                    <w:t>不得检出</w:t>
                  </w:r>
                </w:p>
              </w:tc>
            </w:tr>
            <w:tr>
              <w:tc>
                <w:tcPr>
                  <w:tcW w:type="dxa" w:w="2658"/>
                  <w:tcBorders>
                    <w:top w:val="none" w:color="000000" w:sz="4"/>
                    <w:left w:val="single" w:color="000000" w:sz="4"/>
                    <w:bottom w:val="single" w:color="000000" w:sz="4"/>
                    <w:right w:val="single" w:color="000000" w:sz="4"/>
                  </w:tcBorders>
                </w:tcPr>
                <w:p>
                  <w:pPr>
                    <w:jc w:val="center"/>
                  </w:pPr>
                  <w:r>
                    <w:rPr/>
                    <w:t>甲拌磷</w:t>
                  </w:r>
                </w:p>
              </w:tc>
              <w:tc>
                <w:tcPr>
                  <w:tcW w:type="dxa" w:w="2940"/>
                  <w:tcBorders>
                    <w:top w:val="none" w:color="000000" w:sz="4"/>
                    <w:left w:val="none" w:color="000000" w:sz="4"/>
                    <w:bottom w:val="single" w:color="000000" w:sz="4"/>
                    <w:right w:val="single" w:color="000000" w:sz="4"/>
                  </w:tcBorders>
                </w:tcPr>
                <w:p>
                  <w:pPr>
                    <w:jc w:val="center"/>
                  </w:pPr>
                  <w:r>
                    <w:rPr/>
                    <w:t>不得检出</w:t>
                  </w:r>
                </w:p>
              </w:tc>
            </w:tr>
            <w:tr>
              <w:tc>
                <w:tcPr>
                  <w:tcW w:type="dxa" w:w="2658"/>
                  <w:tcBorders>
                    <w:top w:val="none" w:color="000000" w:sz="4"/>
                    <w:left w:val="single" w:color="000000" w:sz="4"/>
                    <w:bottom w:val="single" w:color="000000" w:sz="4"/>
                    <w:right w:val="single" w:color="000000" w:sz="4"/>
                  </w:tcBorders>
                </w:tcPr>
                <w:p>
                  <w:pPr>
                    <w:jc w:val="center"/>
                  </w:pPr>
                  <w:r>
                    <w:rPr/>
                    <w:t>氧化乐果</w:t>
                  </w:r>
                </w:p>
              </w:tc>
              <w:tc>
                <w:tcPr>
                  <w:tcW w:type="dxa" w:w="2940"/>
                  <w:tcBorders>
                    <w:top w:val="none" w:color="000000" w:sz="4"/>
                    <w:left w:val="none" w:color="000000" w:sz="4"/>
                    <w:bottom w:val="single" w:color="000000" w:sz="4"/>
                    <w:right w:val="single" w:color="000000" w:sz="4"/>
                  </w:tcBorders>
                </w:tcPr>
                <w:p>
                  <w:pPr>
                    <w:jc w:val="center"/>
                  </w:pPr>
                  <w:r>
                    <w:rPr/>
                    <w:t>不得检出</w:t>
                  </w:r>
                </w:p>
              </w:tc>
            </w:tr>
            <w:tr>
              <w:tc>
                <w:tcPr>
                  <w:tcW w:type="dxa" w:w="2658"/>
                  <w:tcBorders>
                    <w:top w:val="none" w:color="000000" w:sz="4"/>
                    <w:left w:val="single" w:color="000000" w:sz="4"/>
                    <w:bottom w:val="single" w:color="000000" w:sz="4"/>
                    <w:right w:val="single" w:color="000000" w:sz="4"/>
                  </w:tcBorders>
                </w:tcPr>
                <w:p>
                  <w:pPr>
                    <w:jc w:val="center"/>
                  </w:pPr>
                  <w:r>
                    <w:rPr/>
                    <w:t>甲基对硫磷</w:t>
                  </w:r>
                </w:p>
              </w:tc>
              <w:tc>
                <w:tcPr>
                  <w:tcW w:type="dxa" w:w="2940"/>
                  <w:tcBorders>
                    <w:top w:val="none" w:color="000000" w:sz="4"/>
                    <w:left w:val="none" w:color="000000" w:sz="4"/>
                    <w:bottom w:val="single" w:color="000000" w:sz="4"/>
                    <w:right w:val="single" w:color="000000" w:sz="4"/>
                  </w:tcBorders>
                </w:tcPr>
                <w:p>
                  <w:pPr>
                    <w:jc w:val="center"/>
                  </w:pPr>
                  <w:r>
                    <w:rPr/>
                    <w:t>不得检出</w:t>
                  </w:r>
                </w:p>
              </w:tc>
            </w:tr>
            <w:tr>
              <w:tc>
                <w:tcPr>
                  <w:tcW w:type="dxa" w:w="2658"/>
                  <w:tcBorders>
                    <w:top w:val="none" w:color="000000" w:sz="4"/>
                    <w:left w:val="single" w:color="000000" w:sz="4"/>
                    <w:bottom w:val="single" w:color="000000" w:sz="4"/>
                    <w:right w:val="single" w:color="000000" w:sz="4"/>
                  </w:tcBorders>
                </w:tcPr>
                <w:p>
                  <w:pPr>
                    <w:jc w:val="center"/>
                  </w:pPr>
                  <w:r>
                    <w:rPr/>
                    <w:t>呋喃丹</w:t>
                  </w:r>
                </w:p>
              </w:tc>
              <w:tc>
                <w:tcPr>
                  <w:tcW w:type="dxa" w:w="2940"/>
                  <w:tcBorders>
                    <w:top w:val="none" w:color="000000" w:sz="4"/>
                    <w:left w:val="none" w:color="000000" w:sz="4"/>
                    <w:bottom w:val="single" w:color="000000" w:sz="4"/>
                    <w:right w:val="single" w:color="000000" w:sz="4"/>
                  </w:tcBorders>
                </w:tcPr>
                <w:p>
                  <w:pPr>
                    <w:jc w:val="center"/>
                  </w:pPr>
                  <w:r>
                    <w:rPr/>
                    <w:t>不得检出</w:t>
                  </w:r>
                </w:p>
              </w:tc>
            </w:tr>
            <w:tr>
              <w:tc>
                <w:tcPr>
                  <w:tcW w:type="dxa" w:w="2658"/>
                  <w:tcBorders>
                    <w:top w:val="none" w:color="000000" w:sz="4"/>
                    <w:left w:val="single" w:color="000000" w:sz="4"/>
                    <w:bottom w:val="single" w:color="000000" w:sz="4"/>
                    <w:right w:val="single" w:color="000000" w:sz="4"/>
                  </w:tcBorders>
                </w:tcPr>
                <w:p>
                  <w:pPr>
                    <w:jc w:val="center"/>
                  </w:pPr>
                  <w:r>
                    <w:rPr/>
                    <w:t>百菌清</w:t>
                  </w:r>
                </w:p>
              </w:tc>
              <w:tc>
                <w:tcPr>
                  <w:tcW w:type="dxa" w:w="2940"/>
                  <w:tcBorders>
                    <w:top w:val="none" w:color="000000" w:sz="4"/>
                    <w:left w:val="none" w:color="000000" w:sz="4"/>
                    <w:bottom w:val="single" w:color="000000" w:sz="4"/>
                    <w:right w:val="single" w:color="000000" w:sz="4"/>
                  </w:tcBorders>
                </w:tcPr>
                <w:p>
                  <w:pPr>
                    <w:jc w:val="center"/>
                  </w:pPr>
                  <w:r>
                    <w:rPr/>
                    <w:t>≤1.0</w:t>
                  </w:r>
                </w:p>
              </w:tc>
            </w:tr>
            <w:tr>
              <w:tc>
                <w:tcPr>
                  <w:tcW w:type="dxa" w:w="2658"/>
                  <w:tcBorders>
                    <w:top w:val="none" w:color="000000" w:sz="4"/>
                    <w:left w:val="single" w:color="000000" w:sz="4"/>
                    <w:bottom w:val="single" w:color="000000" w:sz="4"/>
                    <w:right w:val="single" w:color="000000" w:sz="4"/>
                  </w:tcBorders>
                </w:tcPr>
                <w:p>
                  <w:pPr>
                    <w:jc w:val="center"/>
                  </w:pPr>
                  <w:r>
                    <w:rPr/>
                    <w:t>多菌灵</w:t>
                  </w:r>
                </w:p>
              </w:tc>
              <w:tc>
                <w:tcPr>
                  <w:tcW w:type="dxa" w:w="2940"/>
                  <w:tcBorders>
                    <w:top w:val="none" w:color="000000" w:sz="4"/>
                    <w:left w:val="none" w:color="000000" w:sz="4"/>
                    <w:bottom w:val="single" w:color="000000" w:sz="4"/>
                    <w:right w:val="single" w:color="000000" w:sz="4"/>
                  </w:tcBorders>
                </w:tcPr>
                <w:p>
                  <w:pPr>
                    <w:jc w:val="center"/>
                  </w:pPr>
                  <w:r>
                    <w:rPr/>
                    <w:t>≤0.5</w:t>
                  </w:r>
                </w:p>
              </w:tc>
            </w:tr>
            <w:tr>
              <w:tc>
                <w:tcPr>
                  <w:tcW w:type="dxa" w:w="2658"/>
                  <w:tcBorders>
                    <w:top w:val="none" w:color="000000" w:sz="4"/>
                    <w:left w:val="single" w:color="000000" w:sz="4"/>
                    <w:bottom w:val="single" w:color="000000" w:sz="4"/>
                    <w:right w:val="single" w:color="000000" w:sz="4"/>
                  </w:tcBorders>
                </w:tcPr>
                <w:p>
                  <w:pPr>
                    <w:jc w:val="center"/>
                  </w:pPr>
                  <w:r>
                    <w:rPr/>
                    <w:t>汞（以Hg计）</w:t>
                  </w:r>
                </w:p>
              </w:tc>
              <w:tc>
                <w:tcPr>
                  <w:tcW w:type="dxa" w:w="2940"/>
                  <w:tcBorders>
                    <w:top w:val="none" w:color="000000" w:sz="4"/>
                    <w:left w:val="none" w:color="000000" w:sz="4"/>
                    <w:bottom w:val="single" w:color="000000" w:sz="4"/>
                    <w:right w:val="single" w:color="000000" w:sz="4"/>
                  </w:tcBorders>
                </w:tcPr>
                <w:p>
                  <w:pPr>
                    <w:jc w:val="center"/>
                  </w:pPr>
                  <w:r>
                    <w:rPr/>
                    <w:t>≤0.01</w:t>
                  </w:r>
                </w:p>
              </w:tc>
            </w:tr>
            <w:tr>
              <w:tc>
                <w:tcPr>
                  <w:tcW w:type="dxa" w:w="2658"/>
                  <w:tcBorders>
                    <w:top w:val="none" w:color="000000" w:sz="4"/>
                    <w:left w:val="single" w:color="000000" w:sz="4"/>
                    <w:bottom w:val="single" w:color="000000" w:sz="4"/>
                    <w:right w:val="single" w:color="000000" w:sz="4"/>
                  </w:tcBorders>
                </w:tcPr>
                <w:p>
                  <w:pPr>
                    <w:jc w:val="center"/>
                  </w:pPr>
                  <w:r>
                    <w:rPr/>
                    <w:t>铅（以Pb计）</w:t>
                  </w:r>
                </w:p>
              </w:tc>
              <w:tc>
                <w:tcPr>
                  <w:tcW w:type="dxa" w:w="2940"/>
                  <w:tcBorders>
                    <w:top w:val="none" w:color="000000" w:sz="4"/>
                    <w:left w:val="none" w:color="000000" w:sz="4"/>
                    <w:bottom w:val="single" w:color="000000" w:sz="4"/>
                    <w:right w:val="single" w:color="000000" w:sz="4"/>
                  </w:tcBorders>
                </w:tcPr>
                <w:p>
                  <w:pPr>
                    <w:jc w:val="center"/>
                  </w:pPr>
                  <w:r>
                    <w:rPr/>
                    <w:t>≤0.2</w:t>
                  </w:r>
                </w:p>
              </w:tc>
            </w:tr>
            <w:tr>
              <w:tc>
                <w:tcPr>
                  <w:tcW w:type="dxa" w:w="2658"/>
                  <w:tcBorders>
                    <w:top w:val="none" w:color="000000" w:sz="4"/>
                    <w:left w:val="single" w:color="000000" w:sz="4"/>
                    <w:bottom w:val="single" w:color="000000" w:sz="4"/>
                    <w:right w:val="single" w:color="000000" w:sz="4"/>
                  </w:tcBorders>
                </w:tcPr>
                <w:p>
                  <w:pPr>
                    <w:jc w:val="center"/>
                  </w:pPr>
                  <w:r>
                    <w:rPr/>
                    <w:t>砷（以As计）</w:t>
                  </w:r>
                </w:p>
              </w:tc>
              <w:tc>
                <w:tcPr>
                  <w:tcW w:type="dxa" w:w="2940"/>
                  <w:tcBorders>
                    <w:top w:val="none" w:color="000000" w:sz="4"/>
                    <w:left w:val="none" w:color="000000" w:sz="4"/>
                    <w:bottom w:val="single" w:color="000000" w:sz="4"/>
                    <w:right w:val="single" w:color="000000" w:sz="4"/>
                  </w:tcBorders>
                </w:tcPr>
                <w:p>
                  <w:pPr>
                    <w:jc w:val="center"/>
                  </w:pPr>
                  <w:r>
                    <w:rPr/>
                    <w:t>≤0.5</w:t>
                  </w:r>
                </w:p>
              </w:tc>
            </w:tr>
            <w:tr>
              <w:tc>
                <w:tcPr>
                  <w:tcW w:type="dxa" w:w="2658"/>
                  <w:tcBorders>
                    <w:top w:val="none" w:color="000000" w:sz="4"/>
                    <w:left w:val="single" w:color="000000" w:sz="4"/>
                    <w:bottom w:val="single" w:color="000000" w:sz="4"/>
                    <w:right w:val="single" w:color="000000" w:sz="4"/>
                  </w:tcBorders>
                </w:tcPr>
                <w:p>
                  <w:pPr>
                    <w:jc w:val="center"/>
                  </w:pPr>
                  <w:r>
                    <w:rPr/>
                    <w:t>氟（以F计）</w:t>
                  </w:r>
                </w:p>
              </w:tc>
              <w:tc>
                <w:tcPr>
                  <w:tcW w:type="dxa" w:w="2940"/>
                  <w:tcBorders>
                    <w:top w:val="none" w:color="000000" w:sz="4"/>
                    <w:left w:val="none" w:color="000000" w:sz="4"/>
                    <w:bottom w:val="single" w:color="000000" w:sz="4"/>
                    <w:right w:val="single" w:color="000000" w:sz="4"/>
                  </w:tcBorders>
                </w:tcPr>
                <w:p>
                  <w:pPr>
                    <w:jc w:val="center"/>
                  </w:pPr>
                  <w:r>
                    <w:rPr/>
                    <w:t>≤0.5</w:t>
                  </w:r>
                </w:p>
              </w:tc>
            </w:tr>
            <w:tr>
              <w:tc>
                <w:tcPr>
                  <w:tcW w:type="dxa" w:w="2658"/>
                  <w:tcBorders>
                    <w:top w:val="none" w:color="000000" w:sz="4"/>
                    <w:left w:val="single" w:color="000000" w:sz="4"/>
                    <w:bottom w:val="single" w:color="000000" w:sz="4"/>
                    <w:right w:val="single" w:color="000000" w:sz="4"/>
                  </w:tcBorders>
                </w:tcPr>
                <w:p>
                  <w:pPr>
                    <w:jc w:val="center"/>
                  </w:pPr>
                  <w:r>
                    <w:rPr/>
                    <w:t>硝酸盐（以NaNO3计）</w:t>
                  </w:r>
                </w:p>
              </w:tc>
              <w:tc>
                <w:tcPr>
                  <w:tcW w:type="dxa" w:w="2940"/>
                  <w:tcBorders>
                    <w:top w:val="none" w:color="000000" w:sz="4"/>
                    <w:left w:val="none" w:color="000000" w:sz="4"/>
                    <w:bottom w:val="single" w:color="000000" w:sz="4"/>
                    <w:right w:val="single" w:color="000000" w:sz="4"/>
                  </w:tcBorders>
                </w:tcPr>
                <w:p>
                  <w:pPr>
                    <w:jc w:val="center"/>
                  </w:pPr>
                  <w:r>
                    <w:rPr/>
                    <w:t>瓜果类≤600；叶菜根茎类≤1200</w:t>
                  </w:r>
                </w:p>
              </w:tc>
            </w:tr>
            <w:tr>
              <w:tc>
                <w:tcPr>
                  <w:tcW w:type="dxa" w:w="2658"/>
                  <w:tcBorders>
                    <w:top w:val="none" w:color="000000" w:sz="4"/>
                    <w:left w:val="single" w:color="000000" w:sz="4"/>
                    <w:bottom w:val="single" w:color="000000" w:sz="4"/>
                    <w:right w:val="single" w:color="000000" w:sz="4"/>
                  </w:tcBorders>
                </w:tcPr>
                <w:p>
                  <w:pPr>
                    <w:jc w:val="center"/>
                  </w:pPr>
                  <w:r>
                    <w:rPr/>
                    <w:t>亚硝酸盐（以NaNO2计）</w:t>
                  </w:r>
                </w:p>
              </w:tc>
              <w:tc>
                <w:tcPr>
                  <w:tcW w:type="dxa" w:w="2940"/>
                  <w:tcBorders>
                    <w:top w:val="none" w:color="000000" w:sz="4"/>
                    <w:left w:val="none" w:color="000000" w:sz="4"/>
                    <w:bottom w:val="single" w:color="000000" w:sz="4"/>
                    <w:right w:val="single" w:color="000000" w:sz="4"/>
                  </w:tcBorders>
                </w:tcPr>
                <w:p>
                  <w:pPr>
                    <w:jc w:val="center"/>
                  </w:pPr>
                  <w:r>
                    <w:rPr/>
                    <w:t>≤4</w:t>
                  </w:r>
                </w:p>
              </w:tc>
            </w:tr>
          </w:tbl>
          <w:p>
            <w:pPr>
              <w:ind w:firstLine="420"/>
              <w:jc w:val="left"/>
            </w:pPr>
            <w:r>
              <w:rPr/>
              <w:t>7. 蔬菜验收时发现问题的处理方法：</w:t>
            </w:r>
          </w:p>
          <w:p>
            <w:r>
              <w:rPr/>
              <w:t>7.1 按后附产品质量描述对货物质量进行抽查。</w:t>
            </w:r>
          </w:p>
          <w:p>
            <w:r>
              <w:rPr/>
              <w:t>7.2 抽查发现食品安全质量问题的处理：</w:t>
            </w:r>
          </w:p>
          <w:p>
            <w:r>
              <w:rPr/>
              <w:t>（1）对危及人身安全的食品质量问题采取零容忍措施，一经发现，当日所送同批次产品全部退货，如：发现农药残留超标，发现腐败变质蔬菜等。</w:t>
            </w:r>
          </w:p>
          <w:p>
            <w:r>
              <w:rPr/>
              <w:t>（2）若抽查未发现问题，而在加工食用前发现部分产品质量问题，应立即通知单位伙食物资验收小组及成交供应商，将问题产品退货处理。</w:t>
            </w:r>
          </w:p>
          <w:p>
            <w:r>
              <w:rPr>
                <w:b/>
              </w:rPr>
              <w:t>农药使用标准：</w:t>
            </w:r>
          </w:p>
          <w:p>
            <w:r>
              <w:rPr/>
              <w:t>1.农药按其毒性来分有高毒、中毒、低毒之别，无公害果品对农药要求是优先采用低毒农药， 有限度的使用中毒农药，严禁使用高毒、高残留农药和"三致"（致癌、致畸、致突变）农药。</w:t>
            </w:r>
          </w:p>
          <w:p>
            <w:r>
              <w:rPr/>
              <w:t>2.禁止使用的农药品种：有机胂类杀菌剂福美胂（高残留），有机氯类杀虫剂六六六、滴滴涕（高残留）、三氯杀螨醇（含滴滴涕），有机磷类杀虫剂甲拌磷、乙拌磷、久效磷、对硫磷、甲基对硫 磺、甲胺磷、甲基异硫磷、氧化乐果（均属高毒），氨基甲酸酯类杀虫剂克百威、涕灭威、灭多威（均属高毒）。二甲基甲脒类杀虫杀螨剂杀虫脒（慢性中毒、致癌）等。</w:t>
            </w:r>
          </w:p>
          <w:p>
            <w:r>
              <w:rPr/>
              <w:t>3.提倡使用的农药品种：微生物源杀虫、杀菌剂如 Bt 、白僵菌、阿维菌素、中生菌素、多氧霉素、农抗 120 等；植物源杀虫剂如烟碱、苦参碱、印楝素、除虫菊、鱼藤、茴蒿素、松脂合剂等；昆虫生长调节剂如灭幼脲、除虫脲、卡死克、扑虱灵等；矿物源杀虫、杀菌剂如机油乳油、柴油 乳油、腐必清以及由硫酸铜和硫黄分别配制的多种药剂等；低毒、低残留化学农药如吡虫啉、马拉硫磷、辛硫磷、敌百虫、双甲脒、尼索朗、克螨特、螨死净、菌毒清、代森锰锌类（喷克、大 生 M－45）、新星、甲基托布津、多菌灵、扑海因、粉锈宁、甲霜灵、百菌清等。</w:t>
            </w:r>
          </w:p>
          <w:p>
            <w:r>
              <w:rPr/>
              <w:t>4.有限制地使用中等毒性农药：主要品种有乐斯本、抗蚜威、敌敌畏、杀螟硫磷、灭扫利、功夫、歼灭、杀灭菊酯、氰戊菊酯、高效氯氰菊酯等。 为了减少农药的污染，除了注意选用农药品种以外，还要严格控制农药的施用量，应在有效浓度范围内，尽量用低浓度进行防治，喷药次数要根据药剂的残效期和病虫害发生程度来定。不要随意提高用药剂量、浓度和次数，应从改进施药方法和喷药质量方面来提高药剂的防治效果。另外，在采果前20天应停止喷洒农药，以保证果品中无残留，或虽有少量残留但不超标。</w:t>
            </w:r>
          </w:p>
        </w:tc>
      </w:tr>
      <w:tr>
        <w:tc>
          <w:tcPr>
            <w:tcW w:type="dxa" w:w="2076"/>
          </w:tcPr>
          <w:p/>
        </w:tc>
        <w:tc>
          <w:tcPr>
            <w:tcW w:type="dxa" w:w="415"/>
          </w:tcPr>
          <w:p>
            <w:r>
              <w:rPr/>
              <w:t>3</w:t>
            </w:r>
          </w:p>
        </w:tc>
        <w:tc>
          <w:tcPr>
            <w:tcW w:type="dxa" w:w="5814"/>
          </w:tcPr>
          <w:p>
            <w:pPr>
              <w:jc w:val="both"/>
            </w:pPr>
            <w:r>
              <w:rPr>
                <w:b/>
              </w:rPr>
              <w:t>三、考核要求</w:t>
            </w:r>
          </w:p>
          <w:p>
            <w:r>
              <w:rPr/>
              <w:t>1、采购人每月按照《月度考核评分表》对成交供应商的服务进行考核：（1）90分及以上为优秀，全额支付当月食材费，成交供应商应持续保持服务水平；（2）80分至89分为良好，全额支付当月食材费，但是成交供应商需对存在的问题进行自查自改，并在一周内提交整改报告；（3）70分至79分为及格，成交供应商对存在的问题进行自查自改，并在一周内提交整改报告，采购人有权直接从当月食材费中扣除不高于30%食材费；（4）70分（不含）以下为不及格；采购人有权直接从当月食材费中扣除不高于50%食材费，并约谈成交供应商法人代表。</w:t>
            </w:r>
          </w:p>
          <w:tbl>
            <w:tblPr>
              <w:tblBorders>
                <w:top w:val="none" w:color="000000" w:sz="4"/>
                <w:left w:val="none" w:color="000000" w:sz="4"/>
                <w:bottom w:val="none" w:color="000000" w:sz="4"/>
                <w:right w:val="none" w:color="000000" w:sz="4"/>
                <w:insideH w:val="none"/>
                <w:insideV w:val="none"/>
              </w:tblBorders>
            </w:tblPr>
            <w:tblGrid>
              <w:gridCol w:w="923"/>
              <w:gridCol w:w="808"/>
              <w:gridCol w:w="3174"/>
              <w:gridCol w:w="693"/>
            </w:tblGrid>
            <w:tr>
              <w:tc>
                <w:tcPr>
                  <w:tcW w:type="dxa" w:w="923"/>
                  <w:tcBorders>
                    <w:top w:val="single" w:color="000000" w:sz="4"/>
                    <w:left w:val="single" w:color="000000" w:sz="4"/>
                    <w:bottom w:val="single" w:color="000000" w:sz="4"/>
                    <w:right w:val="single" w:color="000000" w:sz="4"/>
                  </w:tcBorders>
                </w:tcPr>
                <w:p>
                  <w:pPr>
                    <w:jc w:val="center"/>
                  </w:pPr>
                  <w:r>
                    <w:rPr>
                      <w:b/>
                    </w:rPr>
                    <w:t>考核指标</w:t>
                  </w:r>
                </w:p>
              </w:tc>
              <w:tc>
                <w:tcPr>
                  <w:tcW w:type="dxa" w:w="808"/>
                  <w:tcBorders>
                    <w:top w:val="single" w:color="000000" w:sz="4"/>
                    <w:left w:val="none" w:color="000000" w:sz="4"/>
                    <w:bottom w:val="single" w:color="000000" w:sz="4"/>
                    <w:right w:val="single" w:color="000000" w:sz="4"/>
                  </w:tcBorders>
                </w:tcPr>
                <w:p>
                  <w:pPr>
                    <w:jc w:val="center"/>
                  </w:pPr>
                  <w:r>
                    <w:rPr>
                      <w:b/>
                    </w:rPr>
                    <w:t>扣分上限分值</w:t>
                  </w:r>
                </w:p>
              </w:tc>
              <w:tc>
                <w:tcPr>
                  <w:tcW w:type="dxa" w:w="3174"/>
                  <w:tcBorders>
                    <w:top w:val="single" w:color="000000" w:sz="4"/>
                    <w:left w:val="none" w:color="000000" w:sz="4"/>
                    <w:bottom w:val="single" w:color="000000" w:sz="4"/>
                    <w:right w:val="single" w:color="000000" w:sz="4"/>
                  </w:tcBorders>
                </w:tcPr>
                <w:p>
                  <w:pPr>
                    <w:jc w:val="center"/>
                  </w:pPr>
                  <w:r>
                    <w:rPr>
                      <w:b/>
                    </w:rPr>
                    <w:t>考核要素和评估内容及其标准</w:t>
                  </w:r>
                </w:p>
              </w:tc>
              <w:tc>
                <w:tcPr>
                  <w:tcW w:type="dxa" w:w="693"/>
                  <w:tcBorders>
                    <w:top w:val="single" w:color="000000" w:sz="4"/>
                    <w:left w:val="none" w:color="000000" w:sz="4"/>
                    <w:bottom w:val="single" w:color="000000" w:sz="4"/>
                    <w:right w:val="single" w:color="000000" w:sz="4"/>
                  </w:tcBorders>
                </w:tcPr>
                <w:p>
                  <w:pPr>
                    <w:jc w:val="center"/>
                  </w:pPr>
                  <w:r>
                    <w:rPr>
                      <w:b/>
                    </w:rPr>
                    <w:t>扣分</w:t>
                  </w:r>
                </w:p>
              </w:tc>
            </w:tr>
            <w:tr>
              <w:tc>
                <w:tcPr>
                  <w:tcW w:type="dxa" w:w="923"/>
                  <w:tcBorders>
                    <w:top w:val="none" w:color="000000" w:sz="4"/>
                    <w:left w:val="single" w:color="000000" w:sz="4"/>
                    <w:bottom w:val="single" w:color="000000" w:sz="4"/>
                    <w:right w:val="single" w:color="000000" w:sz="4"/>
                  </w:tcBorders>
                </w:tcPr>
                <w:p>
                  <w:pPr>
                    <w:jc w:val="center"/>
                  </w:pPr>
                  <w:r>
                    <w:rPr>
                      <w:b/>
                    </w:rPr>
                    <w:t>一、货物质量</w:t>
                  </w:r>
                </w:p>
              </w:tc>
              <w:tc>
                <w:tcPr>
                  <w:tcW w:type="dxa" w:w="808"/>
                  <w:tcBorders>
                    <w:top w:val="none" w:color="000000" w:sz="4"/>
                    <w:left w:val="none" w:color="000000" w:sz="4"/>
                    <w:bottom w:val="single" w:color="000000" w:sz="4"/>
                    <w:right w:val="single" w:color="000000" w:sz="4"/>
                  </w:tcBorders>
                </w:tcPr>
                <w:p>
                  <w:pPr>
                    <w:jc w:val="center"/>
                  </w:pPr>
                  <w:r>
                    <w:rPr/>
                    <w:t>45</w:t>
                  </w:r>
                </w:p>
              </w:tc>
              <w:tc>
                <w:tcPr>
                  <w:tcW w:type="dxa" w:w="3174"/>
                  <w:tcBorders>
                    <w:top w:val="none" w:color="000000" w:sz="4"/>
                    <w:left w:val="none" w:color="000000" w:sz="4"/>
                    <w:bottom w:val="single" w:color="000000" w:sz="4"/>
                    <w:right w:val="single" w:color="000000" w:sz="4"/>
                  </w:tcBorders>
                </w:tcPr>
                <w:p>
                  <w:pPr>
                    <w:jc w:val="both"/>
                  </w:pPr>
                  <w:r>
                    <w:rPr/>
                    <w:t>1、货物质量必须符合采购人所需及相关规定，不能出现“以次充好”或“假冒伪劣”或“质量问题”的情况。若发现货物有上述问题的，采购人有权拒收，并责令其在规定的时间内重新送货，所发生的费用不得计入当日菜款。当月内该现象出现：第一次扣2分，第二次扣3分，第三次扣5分，第四次约谈成交供应商。</w:t>
                  </w:r>
                </w:p>
                <w:p>
                  <w:r>
                    <w:rPr/>
                    <w:t>2、成交供应商若供应的产品存在质量问题（如：变质、发霉、有异味；土豆发芽、草菇发酸等现象），采购人有权拒收，并责令其在规定的时间内重新送货；当月内该现象出现：第一次扣2分，第二次扣3分，第三次扣5分，第四次约谈成交供应商。</w:t>
                  </w:r>
                </w:p>
              </w:tc>
              <w:tc>
                <w:tcPr>
                  <w:tcW w:type="dxa" w:w="693"/>
                  <w:tcBorders>
                    <w:top w:val="none" w:color="000000" w:sz="4"/>
                    <w:left w:val="none" w:color="000000" w:sz="4"/>
                    <w:bottom w:val="single" w:color="000000" w:sz="4"/>
                    <w:right w:val="single" w:color="000000" w:sz="4"/>
                  </w:tcBorders>
                </w:tcPr>
                <w:p>
                  <w:pPr>
                    <w:jc w:val="center"/>
                  </w:pPr>
                </w:p>
              </w:tc>
            </w:tr>
            <w:tr>
              <w:tc>
                <w:tcPr>
                  <w:tcW w:type="dxa" w:w="923"/>
                  <w:tcBorders>
                    <w:top w:val="none" w:color="000000" w:sz="4"/>
                    <w:left w:val="single" w:color="000000" w:sz="4"/>
                    <w:bottom w:val="single" w:color="000000" w:sz="4"/>
                    <w:right w:val="single" w:color="000000" w:sz="4"/>
                  </w:tcBorders>
                </w:tcPr>
                <w:p>
                  <w:pPr>
                    <w:jc w:val="center"/>
                  </w:pPr>
                  <w:r>
                    <w:rPr>
                      <w:b/>
                    </w:rPr>
                    <w:t>二、配送服务</w:t>
                  </w:r>
                </w:p>
              </w:tc>
              <w:tc>
                <w:tcPr>
                  <w:tcW w:type="dxa" w:w="808"/>
                  <w:tcBorders>
                    <w:top w:val="none" w:color="000000" w:sz="4"/>
                    <w:left w:val="none" w:color="000000" w:sz="4"/>
                    <w:bottom w:val="single" w:color="000000" w:sz="4"/>
                    <w:right w:val="single" w:color="000000" w:sz="4"/>
                  </w:tcBorders>
                </w:tcPr>
                <w:p>
                  <w:pPr>
                    <w:jc w:val="center"/>
                  </w:pPr>
                  <w:r>
                    <w:rPr/>
                    <w:t>15</w:t>
                  </w:r>
                </w:p>
              </w:tc>
              <w:tc>
                <w:tcPr>
                  <w:tcW w:type="dxa" w:w="3174"/>
                  <w:tcBorders>
                    <w:top w:val="none" w:color="000000" w:sz="4"/>
                    <w:left w:val="none" w:color="000000" w:sz="4"/>
                    <w:bottom w:val="single" w:color="000000" w:sz="4"/>
                    <w:right w:val="single" w:color="000000" w:sz="4"/>
                  </w:tcBorders>
                </w:tcPr>
                <w:p>
                  <w:pPr>
                    <w:jc w:val="both"/>
                  </w:pPr>
                  <w:r>
                    <w:rPr/>
                    <w:t>1、成交供应商必须按照采购人要求的验货时间进行配送，应一次不漏地按时送达。发现不准时送达的第一次扣1分，第二次扣2分，第三次或以上扣3分。</w:t>
                  </w:r>
                </w:p>
                <w:p>
                  <w:r>
                    <w:rPr/>
                    <w:t>2、成交供应商所使用的运输容器、运输载具、运输包装等符合相关规定，若不符合每扣1分。</w:t>
                  </w:r>
                </w:p>
                <w:p>
                  <w:r>
                    <w:rPr/>
                    <w:t>3、成交供应商安排配送货物的工作人员必须持有健康证明，配送品种与订单相符，每缺一人（项）扣1分。</w:t>
                  </w:r>
                </w:p>
              </w:tc>
              <w:tc>
                <w:tcPr>
                  <w:tcW w:type="dxa" w:w="693"/>
                  <w:tcBorders>
                    <w:top w:val="none" w:color="000000" w:sz="4"/>
                    <w:left w:val="none" w:color="000000" w:sz="4"/>
                    <w:bottom w:val="single" w:color="000000" w:sz="4"/>
                    <w:right w:val="single" w:color="000000" w:sz="4"/>
                  </w:tcBorders>
                </w:tcPr>
                <w:p>
                  <w:pPr>
                    <w:jc w:val="center"/>
                  </w:pPr>
                </w:p>
              </w:tc>
            </w:tr>
            <w:tr>
              <w:tc>
                <w:tcPr>
                  <w:tcW w:type="dxa" w:w="923"/>
                  <w:tcBorders>
                    <w:top w:val="none" w:color="000000" w:sz="4"/>
                    <w:left w:val="single" w:color="000000" w:sz="4"/>
                    <w:bottom w:val="single" w:color="000000" w:sz="4"/>
                    <w:right w:val="single" w:color="000000" w:sz="4"/>
                  </w:tcBorders>
                </w:tcPr>
                <w:p>
                  <w:pPr>
                    <w:jc w:val="center"/>
                  </w:pPr>
                  <w:r>
                    <w:rPr>
                      <w:b/>
                    </w:rPr>
                    <w:t>三、货物来源</w:t>
                  </w:r>
                </w:p>
              </w:tc>
              <w:tc>
                <w:tcPr>
                  <w:tcW w:type="dxa" w:w="808"/>
                  <w:tcBorders>
                    <w:top w:val="none" w:color="000000" w:sz="4"/>
                    <w:left w:val="none" w:color="000000" w:sz="4"/>
                    <w:bottom w:val="single" w:color="000000" w:sz="4"/>
                    <w:right w:val="single" w:color="000000" w:sz="4"/>
                  </w:tcBorders>
                </w:tcPr>
                <w:p>
                  <w:pPr>
                    <w:jc w:val="center"/>
                  </w:pPr>
                  <w:r>
                    <w:rPr/>
                    <w:t>10</w:t>
                  </w:r>
                </w:p>
              </w:tc>
              <w:tc>
                <w:tcPr>
                  <w:tcW w:type="dxa" w:w="3174"/>
                  <w:tcBorders>
                    <w:top w:val="none" w:color="000000" w:sz="4"/>
                    <w:left w:val="none" w:color="000000" w:sz="4"/>
                    <w:bottom w:val="single" w:color="000000" w:sz="4"/>
                    <w:right w:val="single" w:color="000000" w:sz="4"/>
                  </w:tcBorders>
                </w:tcPr>
                <w:p>
                  <w:pPr>
                    <w:jc w:val="both"/>
                  </w:pPr>
                  <w:r>
                    <w:rPr/>
                    <w:t>成交供应商必须按采购人要求提供货物来源证明。来源不清或不符合相关规定的，发现第一次扣1分，第二次扣3分，第三次扣5分，第四次及以上依次递增。</w:t>
                  </w:r>
                </w:p>
              </w:tc>
              <w:tc>
                <w:tcPr>
                  <w:tcW w:type="dxa" w:w="693"/>
                  <w:tcBorders>
                    <w:top w:val="none" w:color="000000" w:sz="4"/>
                    <w:left w:val="none" w:color="000000" w:sz="4"/>
                    <w:bottom w:val="single" w:color="000000" w:sz="4"/>
                    <w:right w:val="single" w:color="000000" w:sz="4"/>
                  </w:tcBorders>
                </w:tcPr>
                <w:p>
                  <w:pPr>
                    <w:jc w:val="center"/>
                  </w:pPr>
                </w:p>
              </w:tc>
            </w:tr>
            <w:tr>
              <w:tc>
                <w:tcPr>
                  <w:tcW w:type="dxa" w:w="923"/>
                  <w:tcBorders>
                    <w:top w:val="none" w:color="000000" w:sz="4"/>
                    <w:left w:val="single" w:color="000000" w:sz="4"/>
                    <w:bottom w:val="single" w:color="000000" w:sz="4"/>
                    <w:right w:val="single" w:color="000000" w:sz="4"/>
                  </w:tcBorders>
                </w:tcPr>
                <w:p>
                  <w:pPr>
                    <w:jc w:val="center"/>
                  </w:pPr>
                  <w:r>
                    <w:rPr>
                      <w:b/>
                    </w:rPr>
                    <w:t>四、应急反应</w:t>
                  </w:r>
                </w:p>
              </w:tc>
              <w:tc>
                <w:tcPr>
                  <w:tcW w:type="dxa" w:w="808"/>
                  <w:tcBorders>
                    <w:top w:val="none" w:color="000000" w:sz="4"/>
                    <w:left w:val="single" w:color="000000" w:sz="4"/>
                    <w:bottom w:val="single" w:color="000000" w:sz="4"/>
                    <w:right w:val="single" w:color="000000" w:sz="4"/>
                  </w:tcBorders>
                </w:tcPr>
                <w:p>
                  <w:pPr>
                    <w:jc w:val="center"/>
                  </w:pPr>
                  <w:r>
                    <w:rPr/>
                    <w:t>10</w:t>
                  </w:r>
                </w:p>
              </w:tc>
              <w:tc>
                <w:tcPr>
                  <w:tcW w:type="dxa" w:w="3174"/>
                  <w:tcBorders>
                    <w:top w:val="none" w:color="000000" w:sz="4"/>
                    <w:left w:val="none" w:color="000000" w:sz="4"/>
                    <w:bottom w:val="single" w:color="000000" w:sz="4"/>
                    <w:right w:val="single" w:color="000000" w:sz="4"/>
                  </w:tcBorders>
                </w:tcPr>
                <w:p>
                  <w:pPr>
                    <w:jc w:val="both"/>
                  </w:pPr>
                  <w:r>
                    <w:rPr/>
                    <w:t>成交供应商按采购人要求在规定的时间内重新送货的时，遇到不能按时送达的发现第一次扣1分，第二次扣3分，第三次扣5分，第四次及以上依次递增。</w:t>
                  </w:r>
                </w:p>
              </w:tc>
              <w:tc>
                <w:tcPr>
                  <w:tcW w:type="dxa" w:w="693"/>
                  <w:tcBorders>
                    <w:top w:val="none" w:color="000000" w:sz="4"/>
                    <w:left w:val="none" w:color="000000" w:sz="4"/>
                    <w:bottom w:val="single" w:color="000000" w:sz="4"/>
                    <w:right w:val="single" w:color="000000" w:sz="4"/>
                  </w:tcBorders>
                </w:tcPr>
                <w:p>
                  <w:pPr>
                    <w:jc w:val="center"/>
                  </w:pPr>
                </w:p>
              </w:tc>
            </w:tr>
            <w:tr>
              <w:tc>
                <w:tcPr>
                  <w:tcW w:type="dxa" w:w="923"/>
                  <w:tcBorders>
                    <w:top w:val="none" w:color="000000" w:sz="4"/>
                    <w:left w:val="single" w:color="000000" w:sz="4"/>
                    <w:bottom w:val="single" w:color="000000" w:sz="4"/>
                    <w:right w:val="single" w:color="000000" w:sz="4"/>
                  </w:tcBorders>
                </w:tcPr>
                <w:p>
                  <w:pPr>
                    <w:jc w:val="center"/>
                  </w:pPr>
                  <w:r>
                    <w:rPr>
                      <w:b/>
                    </w:rPr>
                    <w:t>五、定价结算</w:t>
                  </w:r>
                </w:p>
              </w:tc>
              <w:tc>
                <w:tcPr>
                  <w:tcW w:type="dxa" w:w="808"/>
                  <w:tcBorders>
                    <w:top w:val="none" w:color="000000" w:sz="4"/>
                    <w:left w:val="none" w:color="000000" w:sz="4"/>
                    <w:bottom w:val="single" w:color="000000" w:sz="4"/>
                    <w:right w:val="single" w:color="000000" w:sz="4"/>
                  </w:tcBorders>
                </w:tcPr>
                <w:p>
                  <w:pPr>
                    <w:jc w:val="center"/>
                  </w:pPr>
                  <w:r>
                    <w:rPr/>
                    <w:t>10</w:t>
                  </w:r>
                </w:p>
              </w:tc>
              <w:tc>
                <w:tcPr>
                  <w:tcW w:type="dxa" w:w="3174"/>
                  <w:tcBorders>
                    <w:top w:val="none" w:color="000000" w:sz="4"/>
                    <w:left w:val="none" w:color="000000" w:sz="4"/>
                    <w:bottom w:val="single" w:color="000000" w:sz="4"/>
                    <w:right w:val="single" w:color="000000" w:sz="4"/>
                  </w:tcBorders>
                </w:tcPr>
                <w:p>
                  <w:pPr>
                    <w:jc w:val="both"/>
                  </w:pPr>
                  <w:r>
                    <w:rPr/>
                    <w:t>1、成交供应商必须按照合同约定及时按照菜篮子价格或市场平均价进行报价，发现不按时报价或报价有虚报、误报的，发现第一次扣1分，第二次扣3分，第三次扣5分，第四次及以上依次递增。</w:t>
                  </w:r>
                </w:p>
                <w:p>
                  <w:r>
                    <w:rPr/>
                    <w:t>2、成交供应商必须及时提供各种验收、结算票据，按规定时间完成结算报销手续，超过5个工作日的扣1分，超过6至10个工作日的扣3分，超过10个工作日以上的约谈成交供应商。</w:t>
                  </w:r>
                </w:p>
              </w:tc>
              <w:tc>
                <w:tcPr>
                  <w:tcW w:type="dxa" w:w="693"/>
                  <w:tcBorders>
                    <w:top w:val="none" w:color="000000" w:sz="4"/>
                    <w:left w:val="none" w:color="000000" w:sz="4"/>
                    <w:bottom w:val="single" w:color="000000" w:sz="4"/>
                    <w:right w:val="single" w:color="000000" w:sz="4"/>
                  </w:tcBorders>
                </w:tcPr>
                <w:p>
                  <w:pPr>
                    <w:jc w:val="center"/>
                  </w:pPr>
                </w:p>
              </w:tc>
            </w:tr>
            <w:tr>
              <w:tc>
                <w:tcPr>
                  <w:tcW w:type="dxa" w:w="923"/>
                  <w:tcBorders>
                    <w:top w:val="none" w:color="000000" w:sz="4"/>
                    <w:left w:val="single" w:color="000000" w:sz="4"/>
                    <w:bottom w:val="single" w:color="000000" w:sz="4"/>
                    <w:right w:val="single" w:color="000000" w:sz="4"/>
                  </w:tcBorders>
                </w:tcPr>
                <w:p>
                  <w:pPr>
                    <w:jc w:val="center"/>
                  </w:pPr>
                  <w:r>
                    <w:rPr>
                      <w:b/>
                    </w:rPr>
                    <w:t>六、售后服务</w:t>
                  </w:r>
                </w:p>
              </w:tc>
              <w:tc>
                <w:tcPr>
                  <w:tcW w:type="dxa" w:w="808"/>
                  <w:tcBorders>
                    <w:top w:val="none" w:color="000000" w:sz="4"/>
                    <w:left w:val="none" w:color="000000" w:sz="4"/>
                    <w:bottom w:val="single" w:color="000000" w:sz="4"/>
                    <w:right w:val="single" w:color="000000" w:sz="4"/>
                  </w:tcBorders>
                </w:tcPr>
                <w:p>
                  <w:pPr>
                    <w:jc w:val="center"/>
                  </w:pPr>
                  <w:r>
                    <w:rPr/>
                    <w:t>10</w:t>
                  </w:r>
                </w:p>
              </w:tc>
              <w:tc>
                <w:tcPr>
                  <w:tcW w:type="dxa" w:w="3174"/>
                  <w:tcBorders>
                    <w:top w:val="none" w:color="000000" w:sz="4"/>
                    <w:left w:val="none" w:color="000000" w:sz="4"/>
                    <w:bottom w:val="single" w:color="000000" w:sz="4"/>
                    <w:right w:val="single" w:color="000000" w:sz="4"/>
                  </w:tcBorders>
                </w:tcPr>
                <w:p>
                  <w:pPr>
                    <w:jc w:val="both"/>
                  </w:pPr>
                  <w:r>
                    <w:rPr/>
                    <w:t>供货期间，成交供应商管理层应主动与采购人联系、及时处理问题、每季定期回访。因成交供应商原因造成工作被动的，每出现一次扣2分。</w:t>
                  </w:r>
                </w:p>
              </w:tc>
              <w:tc>
                <w:tcPr>
                  <w:tcW w:type="dxa" w:w="693"/>
                  <w:tcBorders>
                    <w:top w:val="none" w:color="000000" w:sz="4"/>
                    <w:left w:val="none" w:color="000000" w:sz="4"/>
                    <w:bottom w:val="single" w:color="000000" w:sz="4"/>
                    <w:right w:val="single" w:color="000000" w:sz="4"/>
                  </w:tcBorders>
                </w:tcPr>
                <w:p>
                  <w:pPr>
                    <w:jc w:val="center"/>
                  </w:pPr>
                </w:p>
              </w:tc>
            </w:tr>
            <w:tr>
              <w:tc>
                <w:tcPr>
                  <w:tcW w:type="dxa" w:w="923"/>
                  <w:tcBorders>
                    <w:top w:val="none" w:color="000000" w:sz="4"/>
                    <w:left w:val="single" w:color="000000" w:sz="4"/>
                    <w:bottom w:val="single" w:color="000000" w:sz="4"/>
                    <w:right w:val="single" w:color="000000" w:sz="4"/>
                  </w:tcBorders>
                </w:tcPr>
                <w:p>
                  <w:pPr>
                    <w:jc w:val="center"/>
                  </w:pPr>
                  <w:r>
                    <w:rPr>
                      <w:b/>
                    </w:rPr>
                    <w:t>七、升值服务</w:t>
                  </w:r>
                </w:p>
              </w:tc>
              <w:tc>
                <w:tcPr>
                  <w:tcW w:type="dxa" w:w="808"/>
                  <w:tcBorders>
                    <w:top w:val="none" w:color="000000" w:sz="4"/>
                    <w:left w:val="none" w:color="000000" w:sz="4"/>
                    <w:bottom w:val="single" w:color="000000" w:sz="4"/>
                    <w:right w:val="single" w:color="000000" w:sz="4"/>
                  </w:tcBorders>
                </w:tcPr>
                <w:p>
                  <w:pPr>
                    <w:jc w:val="center"/>
                  </w:pPr>
                  <w:r>
                    <w:rPr/>
                    <w:t>5(加分项)</w:t>
                  </w:r>
                </w:p>
              </w:tc>
              <w:tc>
                <w:tcPr>
                  <w:tcW w:type="dxa" w:w="3174"/>
                  <w:tcBorders>
                    <w:top w:val="none" w:color="000000" w:sz="4"/>
                    <w:left w:val="none" w:color="000000" w:sz="4"/>
                    <w:bottom w:val="single" w:color="000000" w:sz="4"/>
                    <w:right w:val="single" w:color="000000" w:sz="4"/>
                  </w:tcBorders>
                </w:tcPr>
                <w:p>
                  <w:pPr>
                    <w:jc w:val="both"/>
                  </w:pPr>
                  <w:r>
                    <w:rPr/>
                    <w:t>成交供应商能够及时为采购人提供价格优惠、品质优良、安全有保的原材料使用合理化建议和意见，并被甲方采纳一次的加1分。</w:t>
                  </w:r>
                </w:p>
              </w:tc>
              <w:tc>
                <w:tcPr>
                  <w:tcW w:type="dxa" w:w="693"/>
                  <w:tcBorders>
                    <w:top w:val="none" w:color="000000" w:sz="4"/>
                    <w:left w:val="none" w:color="000000" w:sz="4"/>
                    <w:bottom w:val="single" w:color="000000" w:sz="4"/>
                    <w:right w:val="single" w:color="000000" w:sz="4"/>
                  </w:tcBorders>
                </w:tcPr>
                <w:p>
                  <w:pPr>
                    <w:jc w:val="center"/>
                  </w:pPr>
                </w:p>
              </w:tc>
            </w:tr>
            <w:tr>
              <w:tc>
                <w:tcPr>
                  <w:tcW w:type="dxa" w:w="1731"/>
                  <w:gridSpan w:val="2"/>
                  <w:tcBorders>
                    <w:top w:val="none" w:color="000000" w:sz="4"/>
                    <w:left w:val="single" w:color="000000" w:sz="4"/>
                    <w:bottom w:val="single" w:color="000000" w:sz="4"/>
                    <w:right w:val="single" w:color="000000" w:sz="4"/>
                  </w:tcBorders>
                </w:tcPr>
                <w:p>
                  <w:pPr>
                    <w:jc w:val="center"/>
                  </w:pPr>
                  <w:r>
                    <w:rPr>
                      <w:sz w:val="21"/>
                    </w:rPr>
                    <w:t>总分</w:t>
                  </w:r>
                </w:p>
              </w:tc>
              <w:tc>
                <w:tcPr>
                  <w:tcW w:type="dxa" w:w="3867"/>
                  <w:gridSpan w:val="2"/>
                  <w:tcBorders>
                    <w:top w:val="none" w:color="000000" w:sz="4"/>
                    <w:left w:val="none" w:color="000000" w:sz="4"/>
                    <w:bottom w:val="single" w:color="000000" w:sz="4"/>
                    <w:right w:val="single" w:color="000000" w:sz="4"/>
                  </w:tcBorders>
                </w:tcPr>
                <w:p>
                  <w:pPr>
                    <w:jc w:val="center"/>
                  </w:pPr>
                  <w:r>
                    <w:rPr/>
                    <w:t>100分-扣分+加分=总分</w:t>
                  </w:r>
                </w:p>
              </w:tc>
            </w:tr>
            <w:tr>
              <w:tc>
                <w:tcPr>
                  <w:tcW w:type="dxa" w:w="5598"/>
                  <w:gridSpan w:val="4"/>
                  <w:tcBorders>
                    <w:top w:val="none" w:color="000000" w:sz="4"/>
                    <w:left w:val="single" w:color="000000" w:sz="4"/>
                    <w:bottom w:val="single" w:color="000000" w:sz="4"/>
                    <w:right w:val="single" w:color="000000" w:sz="4"/>
                  </w:tcBorders>
                </w:tcPr>
                <w:p>
                  <w:pPr>
                    <w:jc w:val="center"/>
                  </w:pPr>
                  <w:r>
                    <w:rPr/>
                    <w:t>说明：95分及以上为优秀，85分至94分为良好，71分至84分为及格，71分以下为不及格；</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1.采购代理机构：本项目是指广东志正招标有限公司，负责整个采购活动的组织，依法负责编制和发布磋商文件，对磋商文件拥有最终的解释权，不以任何身份出任磋商小组成员。</w:t>
      </w:r>
    </w:p>
    <w:p>
      <w:pPr>
        <w:ind w:firstLine="480"/>
      </w:pPr>
      <w:r>
        <w:rPr/>
        <w:t>2.采购人：本项目是指</w:t>
      </w:r>
      <w:r>
        <w:rPr/>
        <w:t>广州市黄埔区人民政府夏港街道办事处</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采购包1：投标下浮率</w:t>
            </w:r>
          </w:p>
        </w:tc>
      </w:tr>
      <w:tr>
        <w:tc>
          <w:tcPr>
            <w:tcW w:type="dxa" w:w="1051"/>
          </w:tcPr>
          <w:p>
            <w:pPr>
              <w:jc w:val="center"/>
            </w:pPr>
            <w:r>
              <w:rPr/>
              <w:t>6</w:t>
            </w:r>
          </w:p>
        </w:tc>
        <w:tc>
          <w:tcPr>
            <w:tcW w:type="dxa" w:w="2252"/>
          </w:tcPr>
          <w:p>
            <w:r>
              <w:rPr/>
              <w:t>报价要求</w:t>
            </w:r>
          </w:p>
        </w:tc>
        <w:tc>
          <w:tcPr>
            <w:tcW w:type="dxa" w:w="5004"/>
          </w:tcPr>
          <w:p/>
          <w:p>
            <w:r>
              <w:rPr/>
              <w:t>采购包1：0% - 100%</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项目兼投兼中规则</w:t>
            </w:r>
          </w:p>
        </w:tc>
        <w:tc>
          <w:tcPr>
            <w:tcW w:type="dxa" w:w="5004"/>
          </w:tcPr>
          <w:p>
            <w:r>
              <w:rPr/>
              <w:t>兼投兼中：-</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r>
              <w:rPr/>
              <w:t>采购机构代理服务收费标准：成交供应商须向采购代理机构按如下标准和规定缴纳采购代理服务费，本次采购代理服务费为定额收费，金额为：11800元整。（不含税）</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r>
              <w:rPr/>
              <w:t>（1）加密的电子响应文件 1 份（需在递交响应文件截止时间前成功上传至“云平台项目采购系统”）。</w:t>
            </w:r>
          </w:p>
          <w:p>
            <w:r>
              <w:rPr/>
              <w:t>（2）若现场无法使用系统进行电子开启、评审的，供应商须在开启现场递交非加密电子版响应文件U盘（或光盘）</w:t>
            </w:r>
            <w:r>
              <w:rPr/>
              <w:t>1</w:t>
            </w:r>
            <w:r>
              <w:rPr/>
              <w:t>份。供应商保证该后备步骤。</w:t>
            </w:r>
          </w:p>
          <w:p>
            <w:r>
              <w:rPr/>
              <w:t>（3）纸质响应文件正本</w:t>
            </w:r>
            <w:r>
              <w:rPr/>
              <w:t>1</w:t>
            </w:r>
            <w:r>
              <w:rPr/>
              <w:t>份，纸质响应文件副本</w:t>
            </w:r>
            <w:r>
              <w:rPr/>
              <w:t>2</w:t>
            </w:r>
            <w:r>
              <w:rPr/>
              <w:t>份。供应商须满足上述事项“一、电子响应文件”中（1）或（2）的要求，和“二、纸质响应文件”的要求。请保证电子投标文件应与纸质投标文件（如有）一致，如不一致时以电子投标文件为准。</w:t>
            </w:r>
          </w:p>
        </w:tc>
      </w:tr>
      <w:tr>
        <w:tc>
          <w:tcPr>
            <w:tcW w:type="dxa" w:w="1051"/>
          </w:tcPr>
          <w:p>
            <w:pPr>
              <w:jc w:val="center"/>
            </w:pPr>
            <w:r>
              <w:rPr/>
              <w:t>18</w:t>
            </w:r>
          </w:p>
        </w:tc>
        <w:tc>
          <w:tcPr>
            <w:tcW w:type="dxa" w:w="2252"/>
          </w:tcPr>
          <w:p>
            <w:r>
              <w:rPr/>
              <w:t>其他</w:t>
            </w:r>
          </w:p>
        </w:tc>
        <w:tc>
          <w:tcPr>
            <w:tcW w:type="dxa" w:w="5004"/>
          </w:tcPr>
          <w:p>
            <w:pPr>
              <w:jc w:val="left"/>
            </w:pPr>
            <w:r>
              <w:rPr/>
              <w:t>新型冠状病毒感染肺炎疫情防控期间的便利化措施，投标文件的递交与开标 1. 疫情防控期间，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3）注明采购项目编号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 中标（成交）通知书与发票送达 疫情防控期间，我司暂停中标（成交）通知书、服务费（标书款）发票现场领取，中标（成交）通知书、我司将通过快递方式送达给中标（成交）人，服务费（标书款）发票以邮件方式发送电子发票。 采购合同送达 疫情防控期间，我司提倡中标（成交）人优先采用邮寄方式将签订的合同及时送达我司。 1）收件地址：广州市天河区龙怡路117号银汇大厦5楼 2）收件人：广东志正招标有限公司前台 3）注明采购项目编号</w:t>
            </w:r>
          </w:p>
        </w:tc>
      </w:tr>
      <w:tr>
        <w:tc>
          <w:tcPr>
            <w:tcW w:type="dxa" w:w="1051"/>
          </w:tcPr>
          <w:p>
            <w:pPr>
              <w:jc w:val="center"/>
            </w:pPr>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微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4"/>
        </w:rPr>
        <w:t>11.关于分支机构</w:t>
      </w:r>
    </w:p>
    <w:p>
      <w:pPr>
        <w:ind w:firstLine="480"/>
      </w:pPr>
      <w:r>
        <w:rPr/>
        <w:t>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磋商的，还须提供分公司或中心支公司的保险机构的营业执照。）</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本项目不收取磋商保证金。</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编制响应文件同时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（3）如需使用备用电子响应文件解密时，在规定的解密时间内无法提供备用电子响应文件或提供的备用电子响应文件与加密的电子响应文件版本不一致（即两份文件不是投标客户端编制同时生成的）。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广东志正招标有限公司（https://www.zztender.com/）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广东志正招标有限公司（https://www.zztender.com/）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内控部</w:t>
      </w:r>
    </w:p>
    <w:p>
      <w:pPr>
        <w:ind w:firstLine="480"/>
      </w:pPr>
      <w:r>
        <w:rPr/>
        <w:t>电话：</w:t>
      </w:r>
      <w:r>
        <w:rPr/>
        <w:t>020-87512543</w:t>
      </w:r>
    </w:p>
    <w:p>
      <w:pPr>
        <w:ind w:firstLine="480"/>
      </w:pPr>
      <w:r>
        <w:rPr/>
        <w:t>传真：</w:t>
      </w:r>
      <w:r>
        <w:rPr/>
        <w:t>020-87554028</w:t>
      </w:r>
    </w:p>
    <w:p>
      <w:pPr>
        <w:ind w:firstLine="480"/>
      </w:pPr>
      <w:r>
        <w:rPr/>
        <w:t>邮箱：</w:t>
      </w:r>
      <w:r>
        <w:rPr/>
        <w:t>nkb@zztender.com</w:t>
      </w:r>
    </w:p>
    <w:p>
      <w:pPr>
        <w:ind w:firstLine="480"/>
      </w:pPr>
      <w:r>
        <w:rPr/>
        <w:t>地址：</w:t>
      </w:r>
      <w:r>
        <w:rPr/>
        <w:t>广东省广州市天河区龙怡路117号银汇大厦5楼</w:t>
      </w:r>
    </w:p>
    <w:p>
      <w:pPr>
        <w:ind w:firstLine="480"/>
      </w:pPr>
      <w:r>
        <w:rPr/>
        <w:t>邮编：</w:t>
      </w:r>
      <w:r>
        <w:rPr/>
        <w:t>510640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政府采购监督管理机构名称：广州市黄埔区财政局债务和采购管理处</w:t>
      </w:r>
    </w:p>
    <w:p>
      <w:r>
        <w:rPr/>
        <w:t>地  址：广州市黄埔区香雪三路1号行政中心E座123室</w:t>
      </w:r>
    </w:p>
    <w:p>
      <w:r>
        <w:rPr/>
        <w:t>电  话：020-82376610</w:t>
      </w:r>
    </w:p>
    <w:p>
      <w:r>
        <w:rPr/>
        <w:t>邮  编：510700</w:t>
      </w:r>
    </w:p>
    <w:p>
      <w:r>
        <w:rPr/>
        <w:t>传  真：020-82118411</w:t>
      </w:r>
    </w:p>
    <w:p/>
    <w:p>
      <w:r>
        <w:rPr>
          <w:b/>
          <w:sz w:val="28"/>
        </w:rPr>
        <w:t>八、合同签订和履行</w:t>
      </w:r>
    </w:p>
    <w:p>
      <w:r>
        <w:rPr>
          <w:b/>
          <w:sz w:val="24"/>
        </w:rPr>
        <w:t>1.合同签订</w:t>
      </w:r>
    </w:p>
    <w:p>
      <w:pPr>
        <w:ind w:firstLine="480"/>
      </w:pPr>
      <w:r>
        <w:rPr/>
        <w:t>1.1采购人应当自《成交通知书》发出之日起二十日内，按照磋商文件和成交供应商响应文件的约定，与成交供应商签订合同。所签订的合同不得对磋商文件和成交供应商响应文件作实质性修改。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2.3有融资要求的成交供应商可根据自身情况，在广东省政府采购网上自行选择金融机构及其融资产品，凭政府采购成交通知书或政府采购合同向金融机构提出融资申请。</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(2022-2023年夏港街道饭堂肉菜配送服务)：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广东志正招标有限公司</w:t>
      </w:r>
      <w:r>
        <w:rPr/>
        <w:t>统一对外发布。</w:t>
      </w:r>
    </w:p>
    <w:p>
      <w:pPr>
        <w:ind w:firstLine="480"/>
      </w:pPr>
      <w:r>
        <w:rPr/>
        <w:t>（2）对</w:t>
      </w:r>
      <w:r>
        <w:rPr/>
        <w:t>广东志正招标有限公司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（4）因重大变故，采购任务取消的。</w:t>
      </w:r>
    </w:p>
    <w:p>
      <w:pPr>
        <w:ind w:firstLine="480"/>
      </w:pPr>
      <w:r>
        <w:rPr/>
        <w:t>（5）法律、法规以及磋商文件规定其他情形。</w:t>
      </w:r>
    </w:p>
    <w:p>
      <w:pPr>
        <w:ind w:firstLine="480"/>
      </w:pPr>
      <w:r>
        <w:rPr/>
        <w:t>对终止采购的项目，磋商小组应出具采购文件是否存在不合理条款的论证意见。</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pPr>
        <w:ind w:firstLine="480"/>
      </w:pPr>
      <w:r>
        <w:rPr/>
        <w:t>第一成交候选供应商无正当理由不得随意放弃成交资格。成交候选供应商放弃成交资格的，采购人可以按照评审报告推荐的成交候选供应商名单排序，确定下一成交候选供应商为成交供应商，也可以重新开展政府采购活动。</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采购包1（2022-2023年夏港街道饭堂肉菜配送服务）：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采购代理机构应在资格审查报告或评审报告中以书面形式解释其排除的具体原因。</w:t>
      </w:r>
    </w:p>
    <w:p>
      <w:pPr>
        <w:ind w:firstLine="480"/>
      </w:pPr>
      <w:r>
        <w:rPr/>
        <w:t>表一资格性审查表：</w:t>
      </w:r>
    </w:p>
    <w:p>
      <w:pPr>
        <w:ind w:firstLine="480"/>
      </w:pPr>
    </w:p>
    <w:p/>
    <w:p>
      <w:r>
        <w:rPr/>
        <w:t>采购包1（2022-2023年夏港街道饭堂肉菜配送服务）：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有依法缴纳税收和社会保障资金的良好记录，提供签署及盖章合格的响应承诺函。</w:t>
            </w:r>
          </w:p>
        </w:tc>
      </w:tr>
      <w:tr>
        <w:tc>
          <w:tcPr>
            <w:tcW w:type="dxa" w:w="890"/>
          </w:tcPr>
          <w:p>
            <w:r>
              <w:rPr/>
              <w:t>3</w:t>
            </w:r>
          </w:p>
        </w:tc>
        <w:tc>
          <w:tcPr>
            <w:tcW w:type="dxa" w:w="3178"/>
          </w:tcPr>
          <w:p>
            <w:r>
              <w:rPr/>
              <w:t>具有良好的商业信誉和健全的财务会计制度</w:t>
            </w:r>
          </w:p>
        </w:tc>
        <w:tc>
          <w:tcPr>
            <w:tcW w:type="dxa" w:w="4238"/>
          </w:tcPr>
          <w:p>
            <w:r>
              <w:rPr/>
              <w:t>具有良好的商业信誉和健全的财务会计制度，提供签署及盖章合格的响应承诺函。</w:t>
            </w:r>
          </w:p>
        </w:tc>
      </w:tr>
      <w:tr>
        <w:tc>
          <w:tcPr>
            <w:tcW w:type="dxa" w:w="890"/>
          </w:tcPr>
          <w:p>
            <w:r>
              <w:rPr/>
              <w:t>4</w:t>
            </w:r>
          </w:p>
        </w:tc>
        <w:tc>
          <w:tcPr>
            <w:tcW w:type="dxa" w:w="3178"/>
          </w:tcPr>
          <w:p>
            <w:r>
              <w:rPr/>
              <w:t>履行合同所必需的设备和专业技术能力</w:t>
            </w:r>
          </w:p>
        </w:tc>
        <w:tc>
          <w:tcPr>
            <w:tcW w:type="dxa" w:w="4238"/>
          </w:tcPr>
          <w:p>
            <w:r>
              <w:rPr/>
              <w:t>具有履行合同所必需的设备和专业技术能力，提供签署及盖章合格的响应承诺函。</w:t>
            </w:r>
          </w:p>
        </w:tc>
      </w:tr>
      <w:tr>
        <w:tc>
          <w:tcPr>
            <w:tcW w:type="dxa" w:w="890"/>
          </w:tcPr>
          <w:p>
            <w:r>
              <w:rPr/>
              <w:t>5</w:t>
            </w:r>
          </w:p>
        </w:tc>
        <w:tc>
          <w:tcPr>
            <w:tcW w:type="dxa" w:w="3178"/>
          </w:tcPr>
          <w:p>
            <w:r>
              <w:rPr/>
              <w:t>参加采购活动前3年内，在经营活动中没有重大违法记录</w:t>
            </w:r>
          </w:p>
        </w:tc>
        <w:tc>
          <w:tcPr>
            <w:tcW w:type="dxa" w:w="4238"/>
          </w:tcPr>
          <w:p>
            <w:r>
              <w:rPr/>
              <w:t>参加政府采购活动前三年内，在经营活动中没有重大违法记录，提供签署及盖章合格的响应承诺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①未列入失信被执行人、重大税收违法失信主体、政府采购严重违法失信行为记录名单的供应商（以开标当日资格审查人员在“信用中国”网站（www.creditchina.gov.cn）、中国政府采购网（www.ccgp.gov.cn）的查询结果为准；处罚期限届满的除外。如“信用中国”网站查询结果显示“没有找到您搜索的企业”或“没有找到您搜索数据”，视为没有上述三类不良信用记录）。②若投标人具有分公司的，其所属分公司有上述不良信用记录的，视同该投标人存在不良信用记录。③若投标人为分公司的，其所属总公司（总所）存在上述不良信用记录的，视同该分公司存在不良信用记录。</w:t>
            </w:r>
          </w:p>
        </w:tc>
      </w:tr>
      <w:tr>
        <w:tc>
          <w:tcPr>
            <w:tcW w:type="dxa" w:w="890"/>
          </w:tcPr>
          <w:p>
            <w:r>
              <w:rPr/>
              <w:t>7</w:t>
            </w:r>
          </w:p>
        </w:tc>
        <w:tc>
          <w:tcPr>
            <w:tcW w:type="dxa" w:w="3178"/>
          </w:tcPr>
          <w:p>
            <w:r>
              <w:rPr/>
              <w:t>供应商必须符合法律、行政法规规定的其他条件</w:t>
            </w:r>
          </w:p>
        </w:tc>
        <w:tc>
          <w:tcPr>
            <w:tcW w:type="dxa" w:w="4238"/>
          </w:tcPr>
          <w:p>
            <w:r>
              <w:rPr/>
              <w:t>不得参与同一采购项目竞争的供应商（提供签署及盖章合格的响应承诺函）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tc>
      </w:tr>
      <w:tr>
        <w:tc>
          <w:tcPr>
            <w:tcW w:type="dxa" w:w="890"/>
          </w:tcPr>
          <w:p>
            <w:r>
              <w:rPr/>
              <w:t>8</w:t>
            </w:r>
          </w:p>
        </w:tc>
        <w:tc>
          <w:tcPr>
            <w:tcW w:type="dxa" w:w="3178"/>
          </w:tcPr>
          <w:p>
            <w:r>
              <w:rPr/>
              <w:t>特定资格要求</w:t>
            </w:r>
          </w:p>
        </w:tc>
        <w:tc>
          <w:tcPr>
            <w:tcW w:type="dxa" w:w="4238"/>
          </w:tcPr>
          <w:p>
            <w:r>
              <w:rPr/>
              <w:t>供应商具有有效的《食品经营许可证》或《食品药品经营许可证》。供应商须提供有效证书复印件（如国家另有规定的，适用其规定）</w:t>
            </w:r>
          </w:p>
        </w:tc>
      </w:tr>
      <w:tr>
        <w:tc>
          <w:tcPr>
            <w:tcW w:type="dxa" w:w="890"/>
          </w:tcPr>
          <w:p>
            <w:r>
              <w:rPr/>
              <w:t>9</w:t>
            </w:r>
          </w:p>
        </w:tc>
        <w:tc>
          <w:tcPr>
            <w:tcW w:type="dxa" w:w="3178"/>
          </w:tcPr>
          <w:p>
            <w:r>
              <w:rPr/>
              <w:t>本采购包专门面向中小企业采购</w:t>
            </w:r>
          </w:p>
        </w:tc>
        <w:tc>
          <w:tcPr>
            <w:tcW w:type="dxa" w:w="4238"/>
          </w:tcPr>
          <w:p>
            <w:r>
              <w:rPr/>
              <w:t>参与的供应商（联合体）服务全部由符合政策要求的中小企业承接</w:t>
            </w:r>
          </w:p>
        </w:tc>
      </w:tr>
    </w:tbl>
    <w:p/>
    <w:p>
      <w:pPr>
        <w:ind w:firstLine="480"/>
      </w:pPr>
      <w:r>
        <w:rPr/>
        <w:t>表二符合性审查表：</w:t>
      </w:r>
    </w:p>
    <w:p>
      <w:pPr>
        <w:ind w:firstLine="480"/>
      </w:pPr>
    </w:p>
    <w:p/>
    <w:p>
      <w:r>
        <w:rPr/>
        <w:t>采购包1（2022-2023年夏港街道饭堂肉菜配送服务）：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第一阶段审查（磋商前）</w:t>
            </w:r>
          </w:p>
        </w:tc>
        <w:tc>
          <w:tcPr>
            <w:tcW w:type="dxa" w:w="4238"/>
          </w:tcPr>
          <w:p>
            <w:r>
              <w:rPr/>
              <w:t>符合磋商文件规定的资格要求。</w:t>
            </w:r>
          </w:p>
        </w:tc>
      </w:tr>
      <w:tr>
        <w:tc>
          <w:tcPr>
            <w:tcW w:type="dxa" w:w="890"/>
          </w:tcPr>
          <w:p>
            <w:r>
              <w:rPr/>
              <w:t>2</w:t>
            </w:r>
          </w:p>
        </w:tc>
        <w:tc>
          <w:tcPr>
            <w:tcW w:type="dxa" w:w="3178"/>
          </w:tcPr>
          <w:p>
            <w:r>
              <w:rPr/>
              <w:t>第一阶段审查（磋商前）</w:t>
            </w:r>
          </w:p>
        </w:tc>
        <w:tc>
          <w:tcPr>
            <w:tcW w:type="dxa" w:w="4238"/>
          </w:tcPr>
          <w:p>
            <w:r>
              <w:rPr/>
              <w:t>符合磋商有效期</w:t>
            </w:r>
          </w:p>
        </w:tc>
      </w:tr>
      <w:tr>
        <w:tc>
          <w:tcPr>
            <w:tcW w:type="dxa" w:w="890"/>
          </w:tcPr>
          <w:p>
            <w:r>
              <w:rPr/>
              <w:t>3</w:t>
            </w:r>
          </w:p>
        </w:tc>
        <w:tc>
          <w:tcPr>
            <w:tcW w:type="dxa" w:w="3178"/>
          </w:tcPr>
          <w:p>
            <w:r>
              <w:rPr/>
              <w:t>第一阶段审查（磋商前）</w:t>
            </w:r>
          </w:p>
        </w:tc>
        <w:tc>
          <w:tcPr>
            <w:tcW w:type="dxa" w:w="4238"/>
          </w:tcPr>
          <w:p>
            <w:r>
              <w:rPr/>
              <w:t>响应文件按照磋商文件规定要求签署、盖章。</w:t>
            </w:r>
          </w:p>
        </w:tc>
      </w:tr>
      <w:tr>
        <w:tc>
          <w:tcPr>
            <w:tcW w:type="dxa" w:w="890"/>
          </w:tcPr>
          <w:p>
            <w:r>
              <w:rPr/>
              <w:t>4</w:t>
            </w:r>
          </w:p>
        </w:tc>
        <w:tc>
          <w:tcPr>
            <w:tcW w:type="dxa" w:w="3178"/>
          </w:tcPr>
          <w:p>
            <w:r>
              <w:rPr/>
              <w:t>第一阶段审查（磋商前）</w:t>
            </w:r>
          </w:p>
        </w:tc>
        <w:tc>
          <w:tcPr>
            <w:tcW w:type="dxa" w:w="4238"/>
          </w:tcPr>
          <w:p>
            <w:r>
              <w:rPr/>
              <w:t>完全满足磋商文件中“★”标注的条款（若磋商文件“★”发生变动，本条将在第二阶段审查中进行评审）</w:t>
            </w:r>
          </w:p>
        </w:tc>
      </w:tr>
      <w:tr>
        <w:tc>
          <w:tcPr>
            <w:tcW w:type="dxa" w:w="890"/>
          </w:tcPr>
          <w:p>
            <w:r>
              <w:rPr/>
              <w:t>5</w:t>
            </w:r>
          </w:p>
        </w:tc>
        <w:tc>
          <w:tcPr>
            <w:tcW w:type="dxa" w:w="3178"/>
          </w:tcPr>
          <w:p>
            <w:r>
              <w:rPr/>
              <w:t>第二阶段审查（磋商后）</w:t>
            </w:r>
          </w:p>
        </w:tc>
        <w:tc>
          <w:tcPr>
            <w:tcW w:type="dxa" w:w="4238"/>
          </w:tcPr>
          <w:p>
            <w:r>
              <w:rPr/>
              <w:t>最终报价符合磋商文件报价要求。</w:t>
            </w:r>
          </w:p>
        </w:tc>
      </w:tr>
      <w:tr>
        <w:tc>
          <w:tcPr>
            <w:tcW w:type="dxa" w:w="890"/>
          </w:tcPr>
          <w:p>
            <w:r>
              <w:rPr/>
              <w:t>6</w:t>
            </w:r>
          </w:p>
        </w:tc>
        <w:tc>
          <w:tcPr>
            <w:tcW w:type="dxa" w:w="3178"/>
          </w:tcPr>
          <w:p>
            <w:r>
              <w:rPr/>
              <w:t>第二阶段审查（磋商后）</w:t>
            </w:r>
          </w:p>
        </w:tc>
        <w:tc>
          <w:tcPr>
            <w:tcW w:type="dxa" w:w="4238"/>
          </w:tcPr>
          <w:p>
            <w:r>
              <w:rPr/>
              <w:t>完全满足磋商文件中“★”标注的条款（若磋商文件“★”发生变动的，本条将针对供应商重新提交的响应文件进行评审）</w:t>
            </w:r>
          </w:p>
        </w:tc>
      </w:tr>
      <w:tr>
        <w:tc>
          <w:tcPr>
            <w:tcW w:type="dxa" w:w="890"/>
          </w:tcPr>
          <w:p>
            <w:r>
              <w:rPr/>
              <w:t>7</w:t>
            </w:r>
          </w:p>
        </w:tc>
        <w:tc>
          <w:tcPr>
            <w:tcW w:type="dxa" w:w="3178"/>
          </w:tcPr>
          <w:p>
            <w:r>
              <w:rPr/>
              <w:t>第二阶段审查（磋商后）</w:t>
            </w:r>
          </w:p>
        </w:tc>
        <w:tc>
          <w:tcPr>
            <w:tcW w:type="dxa" w:w="4238"/>
          </w:tcPr>
          <w:p>
            <w:r>
              <w:rPr/>
              <w:t>未出现有关法律、法规、规章或磋商文件规定的属于响应无效的情形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采购包12022-2023年夏港街道饭堂肉菜配送服务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技术部分45.0分</w:t>
            </w:r>
          </w:p>
          <w:p>
            <w:r>
              <w:rPr/>
              <w:t>报价得分30.0分</w:t>
            </w:r>
          </w:p>
        </w:tc>
      </w:tr>
      <w:tr>
        <w:tc>
          <w:tcPr>
            <w:tcW w:type="dxa" w:w="922"/>
            <w:gridSpan w:val="2"/>
            <w:vMerge w:val="restart"/>
          </w:tcPr>
          <w:p>
            <w:pPr>
              <w:jc w:val="center"/>
            </w:pPr>
            <w:r>
              <w:rPr/>
              <w:t>技术部分</w:t>
            </w:r>
          </w:p>
        </w:tc>
        <w:tc>
          <w:tcPr>
            <w:tcW w:type="dxa" w:w="2307"/>
          </w:tcPr>
          <w:p>
            <w:pPr>
              <w:jc w:val="left"/>
            </w:pPr>
            <w:r>
              <w:rPr/>
              <w:t>配送服务方案 (10.0分)</w:t>
            </w:r>
            <w:r>
              <w:rPr/>
              <w:t>，（等次分值选择：</w:t>
            </w:r>
            <w:r>
              <w:rPr/>
              <w:t>0.0;</w:t>
            </w:r>
            <w:r>
              <w:rPr/>
              <w:t>2.0;</w:t>
            </w:r>
            <w:r>
              <w:rPr/>
              <w:t>6.0;</w:t>
            </w:r>
            <w:r>
              <w:rPr/>
              <w:t>10.0;</w:t>
            </w:r>
            <w:r>
              <w:rPr/>
              <w:t>）</w:t>
            </w:r>
          </w:p>
        </w:tc>
        <w:tc>
          <w:tcPr>
            <w:tcW w:type="dxa" w:w="5076"/>
          </w:tcPr>
          <w:p>
            <w:pPr>
              <w:jc w:val="left"/>
            </w:pPr>
            <w:r>
              <w:rPr/>
              <w:t>根据各供应商提供的配送服务方案（包括但不限于配送内容、配送流程、服务热线、人员安排等）进行评审： 配送服务方案完整详细、配送流程科学合理、设置专门的服务热线、人员安排可操作性强，得10分； 配送服务方案基本完整，配送流程基本合理、设有服务热线、人员安排基本可操作，得6分； 配送服务方案不完整，配送流程合理性较低、未设置服务热线、人员安排可操作性较低，得2分； 未提供上述内容或其他情形得0分。</w:t>
            </w:r>
          </w:p>
        </w:tc>
      </w:tr>
      <w:tr>
        <w:tc>
          <w:tcPr>
            <w:tcW w:type="dxa" w:w="922"/>
            <w:gridSpan w:val="2"/>
            <w:vMerge/>
          </w:tcPr>
          <w:p/>
        </w:tc>
        <w:tc>
          <w:tcPr>
            <w:tcW w:type="dxa" w:w="2307"/>
          </w:tcPr>
          <w:p>
            <w:pPr>
              <w:jc w:val="left"/>
            </w:pPr>
            <w:r>
              <w:rPr/>
              <w:t>食品质量保证方案 (10.0分)</w:t>
            </w:r>
            <w:r>
              <w:rPr/>
              <w:t>，（等次分值选择：</w:t>
            </w:r>
            <w:r>
              <w:rPr/>
              <w:t>0.0;</w:t>
            </w:r>
            <w:r>
              <w:rPr/>
              <w:t>2.0;</w:t>
            </w:r>
            <w:r>
              <w:rPr/>
              <w:t>6.0;</w:t>
            </w:r>
            <w:r>
              <w:rPr/>
              <w:t>10.0;</w:t>
            </w:r>
            <w:r>
              <w:rPr/>
              <w:t>）</w:t>
            </w:r>
          </w:p>
        </w:tc>
        <w:tc>
          <w:tcPr>
            <w:tcW w:type="dxa" w:w="5076"/>
          </w:tcPr>
          <w:p>
            <w:pPr>
              <w:jc w:val="left"/>
            </w:pPr>
            <w:r>
              <w:rPr/>
              <w:t>根据供应商提供的食品质量保证方案（包括但不限于：货物的来源、加工、包装、保存、运输各环节的质量保证措施等）进行评审： 提供的质量、安全保障措施方案完整且具有很强操作性的得10分； 提供的质量、安全保障措施方案较为完整，具有操作性的得6分； 提供的质量、安全保障措施方案的不尽完整和一定的可操作性得2分； 未提供上述内容或其他情形得0分。</w:t>
            </w:r>
          </w:p>
        </w:tc>
      </w:tr>
      <w:tr>
        <w:tc>
          <w:tcPr>
            <w:tcW w:type="dxa" w:w="922"/>
            <w:gridSpan w:val="2"/>
            <w:vMerge/>
          </w:tcPr>
          <w:p/>
        </w:tc>
        <w:tc>
          <w:tcPr>
            <w:tcW w:type="dxa" w:w="2307"/>
          </w:tcPr>
          <w:p>
            <w:pPr>
              <w:jc w:val="left"/>
            </w:pPr>
            <w:r>
              <w:rPr/>
              <w:t>售后服务方案 (5.0分)</w:t>
            </w:r>
            <w:r>
              <w:rPr/>
              <w:t>，（等次分值选择：</w:t>
            </w:r>
            <w:r>
              <w:rPr/>
              <w:t>0.0;</w:t>
            </w:r>
            <w:r>
              <w:rPr/>
              <w:t>1.0;</w:t>
            </w:r>
            <w:r>
              <w:rPr/>
              <w:t>3.0;</w:t>
            </w:r>
            <w:r>
              <w:rPr/>
              <w:t>5.0;</w:t>
            </w:r>
            <w:r>
              <w:rPr/>
              <w:t>）</w:t>
            </w:r>
          </w:p>
        </w:tc>
        <w:tc>
          <w:tcPr>
            <w:tcW w:type="dxa" w:w="5076"/>
          </w:tcPr>
          <w:p>
            <w:pPr>
              <w:jc w:val="left"/>
            </w:pPr>
            <w:r>
              <w:rPr/>
              <w:t>根据各供应商提供的售后服务方案（包括但不限于服务承诺、保质期、售后服务的人员等）进行评审： 方案服务承诺完整全面、合理性高、可行性高，设置相应的售后服务的人员，得5分； 方案服务承诺基本完整、合理性较高、可行性较高，未设置相应服务的人员，得3分； 方案服务承诺不完整，合理性较低、可行性较低，未设置相应服务的人员，得1分。 未提供上述内容或其他情形得0分。</w:t>
            </w:r>
          </w:p>
        </w:tc>
      </w:tr>
      <w:tr>
        <w:tc>
          <w:tcPr>
            <w:tcW w:type="dxa" w:w="922"/>
            <w:gridSpan w:val="2"/>
            <w:vMerge/>
          </w:tcPr>
          <w:p/>
        </w:tc>
        <w:tc>
          <w:tcPr>
            <w:tcW w:type="dxa" w:w="2307"/>
          </w:tcPr>
          <w:p>
            <w:pPr>
              <w:jc w:val="left"/>
            </w:pPr>
            <w:r>
              <w:rPr/>
              <w:t>应急处置方案 (5.0分)</w:t>
            </w:r>
            <w:r>
              <w:rPr/>
              <w:t>，（等次分值选择：</w:t>
            </w:r>
            <w:r>
              <w:rPr/>
              <w:t>0.0;</w:t>
            </w:r>
            <w:r>
              <w:rPr/>
              <w:t>1.0;</w:t>
            </w:r>
            <w:r>
              <w:rPr/>
              <w:t>3.0;</w:t>
            </w:r>
            <w:r>
              <w:rPr/>
              <w:t>5.0;</w:t>
            </w:r>
            <w:r>
              <w:rPr/>
              <w:t>）</w:t>
            </w:r>
          </w:p>
        </w:tc>
        <w:tc>
          <w:tcPr>
            <w:tcW w:type="dxa" w:w="5076"/>
          </w:tcPr>
          <w:p>
            <w:pPr>
              <w:jc w:val="left"/>
            </w:pPr>
            <w:r>
              <w:rPr/>
              <w:t>根据各供应商提供的应急方案（包括但不限于项目执行过程中采购人的特殊情况解决方案、应急流程、疫情突发事件应急处理等）进行评审： 方案描述详细、解决方案合理、应急流程完整、疫情突发事件应急处理可行性高，得5分； 方案描述较为详细、解决方案具有一点的合理性、应急流程基本完整、疫情突发事件应急处理具有一定的可行性，得3分； 方案描述不够完整、解决方案合理性较低，应急流程不完整、疫情突发事件应急处理可行性较低，得1分； 未提供上述内容或其他情形得0分。</w:t>
            </w:r>
          </w:p>
        </w:tc>
      </w:tr>
      <w:tr>
        <w:tc>
          <w:tcPr>
            <w:tcW w:type="dxa" w:w="922"/>
            <w:gridSpan w:val="2"/>
            <w:vMerge/>
          </w:tcPr>
          <w:p/>
        </w:tc>
        <w:tc>
          <w:tcPr>
            <w:tcW w:type="dxa" w:w="2307"/>
          </w:tcPr>
          <w:p>
            <w:pPr>
              <w:jc w:val="left"/>
            </w:pPr>
            <w:r>
              <w:rPr/>
              <w:t>配送场所 (3.0分)</w:t>
            </w:r>
          </w:p>
        </w:tc>
        <w:tc>
          <w:tcPr>
            <w:tcW w:type="dxa" w:w="5076"/>
          </w:tcPr>
          <w:p>
            <w:pPr>
              <w:jc w:val="left"/>
            </w:pPr>
            <w:r>
              <w:rPr/>
              <w:t>1、供应商自有或租赁配送场所得1.5分； 2、供应商自有或租赁冻库1.5分。 注：提供食材配送场所/冻库内外景照片、食材配送场所/冻库房产证明或租赁合同（合作协议）扫描件及场地租赁发票（如提供租赁合同（合作协议），有效期必须至项目服务期限以后）。</w:t>
            </w:r>
          </w:p>
        </w:tc>
      </w:tr>
      <w:tr>
        <w:tc>
          <w:tcPr>
            <w:tcW w:type="dxa" w:w="922"/>
            <w:gridSpan w:val="2"/>
            <w:vMerge/>
          </w:tcPr>
          <w:p/>
        </w:tc>
        <w:tc>
          <w:tcPr>
            <w:tcW w:type="dxa" w:w="2307"/>
          </w:tcPr>
          <w:p>
            <w:pPr>
              <w:jc w:val="left"/>
            </w:pPr>
            <w:r>
              <w:rPr/>
              <w:t>配送保障能力 (6.0分)</w:t>
            </w:r>
          </w:p>
        </w:tc>
        <w:tc>
          <w:tcPr>
            <w:tcW w:type="dxa" w:w="5076"/>
          </w:tcPr>
          <w:p>
            <w:pPr>
              <w:jc w:val="left"/>
            </w:pPr>
            <w:r>
              <w:rPr/>
              <w:t>供应商投入本项目使用的冷藏配送运输车辆的情况： 每提供一辆，得2分，本项最高6分。 注：车辆为供应商自有的，需提供购车发票复印件及有效的《机动车行驶证》复印件；若非自有的，需提供车辆租赁合同复印件和《道路运输经营许可证》和车辆照片和《机动车行驶证》复印件和近6个月内任意月份的租赁发票。不提供或无法认定的不得分。</w:t>
            </w:r>
          </w:p>
        </w:tc>
      </w:tr>
      <w:tr>
        <w:tc>
          <w:tcPr>
            <w:tcW w:type="dxa" w:w="922"/>
            <w:gridSpan w:val="2"/>
            <w:vMerge/>
          </w:tcPr>
          <w:p/>
        </w:tc>
        <w:tc>
          <w:tcPr>
            <w:tcW w:type="dxa" w:w="2307"/>
          </w:tcPr>
          <w:p>
            <w:pPr>
              <w:jc w:val="left"/>
            </w:pPr>
            <w:r>
              <w:rPr/>
              <w:t>规章制度 (6.0分)</w:t>
            </w:r>
            <w:r>
              <w:rPr/>
              <w:t>，（等次分值选择：</w:t>
            </w:r>
            <w:r>
              <w:rPr/>
              <w:t>0.0;</w:t>
            </w:r>
            <w:r>
              <w:rPr/>
              <w:t>2.0;</w:t>
            </w:r>
            <w:r>
              <w:rPr/>
              <w:t>4.0;</w:t>
            </w:r>
            <w:r>
              <w:rPr/>
              <w:t>6.0;</w:t>
            </w:r>
            <w:r>
              <w:rPr/>
              <w:t>）</w:t>
            </w:r>
          </w:p>
        </w:tc>
        <w:tc>
          <w:tcPr>
            <w:tcW w:type="dxa" w:w="5076"/>
          </w:tcPr>
          <w:p>
            <w:pPr>
              <w:jc w:val="left"/>
            </w:pPr>
            <w:r>
              <w:rPr/>
              <w:t>供应商提供生产经营管理制度、产品质量及安全管理制度、仓储管理制度、配送人员管理制度、配送设备及用具管理制度、配送车辆管理制度、退换货管理制度等规章制度： 1、提供的规章制度完整，制度清晰，科学性强得6分； 2、提供的规章制度较完整，有一定科学性得4分； 3、提供的规章制度较完整，缺乏科学性得2分； 未提供上述内容或其他情形得0分。</w:t>
            </w:r>
          </w:p>
        </w:tc>
      </w:tr>
      <w:tr>
        <w:tc>
          <w:tcPr>
            <w:tcW w:type="dxa" w:w="922"/>
            <w:gridSpan w:val="2"/>
            <w:vMerge w:val="restart"/>
          </w:tcPr>
          <w:p>
            <w:pPr>
              <w:jc w:val="center"/>
            </w:pPr>
            <w:r>
              <w:rPr/>
              <w:t>商务部分</w:t>
            </w:r>
          </w:p>
        </w:tc>
        <w:tc>
          <w:tcPr>
            <w:tcW w:type="dxa" w:w="2307"/>
          </w:tcPr>
          <w:p>
            <w:pPr>
              <w:jc w:val="left"/>
            </w:pPr>
            <w:r>
              <w:rPr/>
              <w:t>项目业绩 (5.0分)</w:t>
            </w:r>
          </w:p>
        </w:tc>
        <w:tc>
          <w:tcPr>
            <w:tcW w:type="dxa" w:w="5076"/>
          </w:tcPr>
          <w:p>
            <w:pPr>
              <w:jc w:val="left"/>
            </w:pPr>
            <w:r>
              <w:rPr/>
              <w:t>供应商2019年1月1日至本项目投标截止时间（以合同签订日期为准）： 每承接过一项同类业绩得1分，最高5分； 供应商提供的每项业绩须按以下要求提供完整准确的证明文件，如未按以下要求提供完整证明文件的业绩不计分，一年一签的长期服务续签合同只计算一个业绩，须提供合同关键页（项目名称、服务内容、合同服务的起止时间、签订日期等）。 注：以上材料须加盖供应商公章，未提供或未按要求提供以及提供的证明材料不清晰导致无法识别的的不得分。</w:t>
            </w:r>
          </w:p>
        </w:tc>
      </w:tr>
      <w:tr>
        <w:tc>
          <w:tcPr>
            <w:tcW w:type="dxa" w:w="922"/>
            <w:gridSpan w:val="2"/>
            <w:vMerge/>
          </w:tcPr>
          <w:p/>
        </w:tc>
        <w:tc>
          <w:tcPr>
            <w:tcW w:type="dxa" w:w="2307"/>
          </w:tcPr>
          <w:p>
            <w:pPr>
              <w:jc w:val="left"/>
            </w:pPr>
            <w:r>
              <w:rPr/>
              <w:t>供应商体系认证及实力 (10.0分)</w:t>
            </w:r>
          </w:p>
        </w:tc>
        <w:tc>
          <w:tcPr>
            <w:tcW w:type="dxa" w:w="5076"/>
          </w:tcPr>
          <w:p>
            <w:pPr>
              <w:jc w:val="left"/>
            </w:pPr>
            <w:r>
              <w:rPr/>
              <w:t>1、通过质量管理体系认证得2分； 2、通过环境管理体系认证得2分； 3、通过职业健康安全管理体系认证得2分； 4、通过食品安全管理体系认证得2分； 5、履约能力评价体系认证证书得2分。 注：提供有效期内的证书扫描件和国家认证认可监督管理委员会官网(http://www.cnca. gov.cn/)查询截图;未按要求提供相关材料或提供材料不全或提供的材料不清晰导致专家无法判断的不得分。</w:t>
            </w:r>
          </w:p>
        </w:tc>
      </w:tr>
      <w:tr>
        <w:tc>
          <w:tcPr>
            <w:tcW w:type="dxa" w:w="922"/>
            <w:gridSpan w:val="2"/>
            <w:vMerge/>
          </w:tcPr>
          <w:p/>
        </w:tc>
        <w:tc>
          <w:tcPr>
            <w:tcW w:type="dxa" w:w="2307"/>
          </w:tcPr>
          <w:p>
            <w:pPr>
              <w:jc w:val="left"/>
            </w:pPr>
            <w:r>
              <w:rPr/>
              <w:t>食品安全保险 (6.0分)</w:t>
            </w:r>
          </w:p>
        </w:tc>
        <w:tc>
          <w:tcPr>
            <w:tcW w:type="dxa" w:w="5076"/>
          </w:tcPr>
          <w:p>
            <w:pPr>
              <w:jc w:val="left"/>
            </w:pPr>
            <w:r>
              <w:rPr/>
              <w:t>供应商2022年以来购买有效的食品安全保险： 1．保险金额≥15000万元，得6分； 2．10000万元≤保险金额＜15000万元，得4分； 3．保险金额＜10000万元 ；得2分； 注：提供有效的食品安全保险单及发票扫描件加盖公章。</w:t>
            </w:r>
          </w:p>
        </w:tc>
      </w:tr>
      <w:tr>
        <w:tc>
          <w:tcPr>
            <w:tcW w:type="dxa" w:w="922"/>
            <w:gridSpan w:val="2"/>
            <w:vMerge/>
          </w:tcPr>
          <w:p/>
        </w:tc>
        <w:tc>
          <w:tcPr>
            <w:tcW w:type="dxa" w:w="2307"/>
          </w:tcPr>
          <w:p>
            <w:pPr>
              <w:jc w:val="left"/>
            </w:pPr>
            <w:r>
              <w:rPr/>
              <w:t>专业检测能力 (4.0分)</w:t>
            </w:r>
          </w:p>
        </w:tc>
        <w:tc>
          <w:tcPr>
            <w:tcW w:type="dxa" w:w="5076"/>
          </w:tcPr>
          <w:p>
            <w:pPr>
              <w:jc w:val="left"/>
            </w:pPr>
            <w:r>
              <w:rPr/>
              <w:t>根据供应商的食品安全检测能力进行评审：包括但不限于： ①肉类综合检测仪 ； ②农药残留检测仪器； ③细菌病源性检测仪器； ④肉类安全检测仪； 每提供一个项得1分，本项最高得4分。 注：1、须提供检测室自有产权证明复印件或有效租赁合同复印件，以及检测室照片，资料不齐全或未按要求提供的不得分。 2、须提供检测设备购买发票复印件以及设备照片，资料不齐全或未按要求提供的不得分。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磋商小组采取随机抽取的方式确定。排名第一的响应供应商为第一成交候选人，排名第二的响应供应商为第二成交候选人，排名第三的响应供应商为第三成交候选人（提供相同品牌产品（非单一产品采购，以核心产品为准。多个核心产品的，有一种产品品牌相同，即视为提供相同品牌产品），评审后得分最高的同品牌响应供应商获得成交候选人推荐资格；评审得分相同的，由采购人或者采购人委托磋商小组采取随机抽取方式确定，其他同品牌响应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rPr>
        <w:t>广东省政府采购</w:t>
      </w:r>
    </w:p>
    <w:p>
      <w:pPr>
        <w:jc w:val="both"/>
      </w:pPr>
      <w:r>
        <w:rPr>
          <w:color w:val="222222"/>
          <w:sz w:val="27"/>
        </w:rPr>
        <w:t xml:space="preserve"> </w:t>
      </w:r>
    </w:p>
    <w:p>
      <w:pPr>
        <w:jc w:val="center"/>
      </w:pPr>
      <w:r>
        <w:rPr>
          <w:b/>
        </w:rPr>
        <w:t>合　同　书</w:t>
      </w:r>
    </w:p>
    <w:p>
      <w:pPr>
        <w:jc w:val="center"/>
      </w:pPr>
      <w:r>
        <w:br/>
      </w:r>
      <w:r>
        <w:br/>
      </w:r>
      <w:r>
        <w:br/>
      </w: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pPr>
        <w:jc w:val="both"/>
      </w:pPr>
      <w:r>
        <w:br/>
      </w:r>
      <w:r>
        <w:rPr>
          <w:color w:val="222222"/>
          <w:sz w:val="27"/>
        </w:rPr>
        <w:t xml:space="preserve"> </w:t>
      </w:r>
    </w:p>
    <w:p>
      <w:pPr>
        <w:jc w:val="both"/>
      </w:pPr>
      <w:r>
        <w:rPr>
          <w:b/>
        </w:rPr>
        <w:t>甲方：</w:t>
      </w:r>
      <w:r>
        <w:rPr>
          <w:b/>
        </w:rPr>
        <w:t xml:space="preserve"> </w:t>
      </w:r>
      <w:r>
        <w:rPr>
          <w:u w:val="single"/>
        </w:rPr>
        <w:t>　　　　　</w:t>
      </w:r>
      <w:r>
        <w:rPr>
          <w:u w:val="single"/>
        </w:rPr>
        <w:t xml:space="preserve"> </w:t>
      </w:r>
      <w:r>
        <w:rPr>
          <w:u w:val="single"/>
        </w:rPr>
        <w:t xml:space="preserve"> </w:t>
      </w:r>
    </w:p>
    <w:p>
      <w:pPr>
        <w:jc w:val="both"/>
      </w:pPr>
      <w:r>
        <w:rPr>
          <w:color w:val="222222"/>
          <w:sz w:val="27"/>
        </w:rPr>
        <w:t>电话：</w:t>
      </w:r>
      <w:r>
        <w:rPr>
          <w:color w:val="222222"/>
          <w:sz w:val="27"/>
        </w:rPr>
        <w:t xml:space="preserve"> </w:t>
      </w:r>
      <w:r>
        <w:rPr>
          <w:u w:val="single"/>
        </w:rPr>
        <w:t>　　　　</w:t>
      </w:r>
      <w:r>
        <w:rPr>
          <w:u w:val="single"/>
        </w:rPr>
        <w:t xml:space="preserve"> </w:t>
      </w:r>
      <w:r>
        <w:rPr>
          <w:u w:val="single"/>
        </w:rPr>
        <w:t xml:space="preserve"> </w:t>
      </w:r>
      <w:r>
        <w:rPr>
          <w:color w:val="222222"/>
          <w:sz w:val="27"/>
        </w:rPr>
        <w:t>传真</w:t>
      </w:r>
      <w:r>
        <w:rPr>
          <w:color w:val="222222"/>
          <w:sz w:val="27"/>
        </w:rPr>
        <w:t xml:space="preserve"> </w:t>
      </w:r>
      <w:r>
        <w:rPr>
          <w:color w:val="222222"/>
          <w:sz w:val="27"/>
        </w:rPr>
        <w:t>：</w:t>
      </w:r>
      <w:r>
        <w:rPr>
          <w:color w:val="222222"/>
          <w:sz w:val="27"/>
        </w:rPr>
        <w:t xml:space="preserve"> </w:t>
      </w:r>
      <w:r>
        <w:rPr>
          <w:u w:val="single"/>
        </w:rPr>
        <w:t>　　　</w:t>
      </w:r>
      <w:r>
        <w:rPr>
          <w:u w:val="single"/>
        </w:rPr>
        <w:t xml:space="preserve"> </w:t>
      </w:r>
      <w:r>
        <w:rPr>
          <w:u w:val="single"/>
        </w:rPr>
        <w:t xml:space="preserve"> </w:t>
      </w:r>
      <w:r>
        <w:rPr>
          <w:color w:val="222222"/>
          <w:sz w:val="27"/>
        </w:rPr>
        <w:t>地址：</w:t>
      </w:r>
      <w:r>
        <w:rPr>
          <w:color w:val="222222"/>
          <w:sz w:val="27"/>
        </w:rPr>
        <w:t xml:space="preserve"> </w:t>
      </w:r>
      <w:r>
        <w:rPr>
          <w:u w:val="single"/>
        </w:rPr>
        <w:t>　　　</w:t>
      </w:r>
      <w:r>
        <w:rPr>
          <w:u w:val="single"/>
        </w:rPr>
        <w:t xml:space="preserve"> </w:t>
      </w:r>
      <w:r>
        <w:rPr>
          <w:u w:val="single"/>
        </w:rPr>
        <w:t xml:space="preserve"> </w:t>
      </w:r>
      <w:r>
        <w:rPr>
          <w:u w:val="single"/>
        </w:rPr>
        <w:t xml:space="preserve"> </w:t>
      </w:r>
    </w:p>
    <w:p>
      <w:pPr>
        <w:jc w:val="both"/>
      </w:pPr>
      <w:r>
        <w:rPr>
          <w:b/>
        </w:rPr>
        <w:t>乙方：</w:t>
      </w:r>
      <w:r>
        <w:rPr>
          <w:b/>
        </w:rPr>
        <w:t xml:space="preserve"> </w:t>
      </w:r>
      <w:r>
        <w:rPr>
          <w:u w:val="single"/>
        </w:rPr>
        <w:t>　　　　　</w:t>
      </w:r>
      <w:r>
        <w:rPr>
          <w:u w:val="single"/>
        </w:rPr>
        <w:t xml:space="preserve"> </w:t>
      </w:r>
      <w:r>
        <w:rPr>
          <w:u w:val="single"/>
        </w:rPr>
        <w:t xml:space="preserve"> </w:t>
      </w:r>
    </w:p>
    <w:p>
      <w:pPr>
        <w:jc w:val="both"/>
      </w:pPr>
      <w:r>
        <w:rPr>
          <w:color w:val="222222"/>
          <w:sz w:val="27"/>
        </w:rPr>
        <w:t>电话：</w:t>
      </w:r>
      <w:r>
        <w:rPr>
          <w:color w:val="222222"/>
          <w:sz w:val="27"/>
        </w:rPr>
        <w:t xml:space="preserve"> </w:t>
      </w:r>
      <w:r>
        <w:rPr>
          <w:u w:val="single"/>
        </w:rPr>
        <w:t>　　　　</w:t>
      </w:r>
      <w:r>
        <w:rPr>
          <w:u w:val="single"/>
        </w:rPr>
        <w:t xml:space="preserve"> </w:t>
      </w:r>
      <w:r>
        <w:rPr>
          <w:u w:val="single"/>
        </w:rPr>
        <w:t xml:space="preserve"> </w:t>
      </w:r>
      <w:r>
        <w:rPr>
          <w:u w:val="single"/>
        </w:rPr>
        <w:t xml:space="preserve"> </w:t>
      </w:r>
      <w:r>
        <w:rPr>
          <w:color w:val="222222"/>
          <w:sz w:val="27"/>
        </w:rPr>
        <w:t>传真：</w:t>
      </w:r>
      <w:r>
        <w:rPr>
          <w:u w:val="single"/>
        </w:rPr>
        <w:t>　　　</w:t>
      </w:r>
      <w:r>
        <w:rPr>
          <w:u w:val="single"/>
        </w:rPr>
        <w:t xml:space="preserve"> </w:t>
      </w:r>
      <w:r>
        <w:rPr>
          <w:u w:val="single"/>
        </w:rPr>
        <w:t xml:space="preserve"> </w:t>
      </w:r>
      <w:r>
        <w:rPr>
          <w:u w:val="single"/>
        </w:rPr>
        <w:t xml:space="preserve"> </w:t>
      </w:r>
      <w:r>
        <w:rPr>
          <w:color w:val="222222"/>
          <w:sz w:val="27"/>
        </w:rPr>
        <w:t>地址：</w:t>
      </w:r>
      <w:r>
        <w:rPr>
          <w:color w:val="222222"/>
          <w:sz w:val="27"/>
        </w:rPr>
        <w:t xml:space="preserve"> </w:t>
      </w:r>
      <w:r>
        <w:rPr>
          <w:u w:val="single"/>
        </w:rPr>
        <w:t>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both"/>
      </w:pPr>
      <w:r>
        <w:rPr>
          <w:color w:val="222222"/>
          <w:sz w:val="27"/>
        </w:rPr>
        <w:t xml:space="preserve"> </w:t>
      </w:r>
      <w:r>
        <w:rPr>
          <w:color w:val="222222"/>
          <w:sz w:val="27"/>
        </w:rPr>
        <w:t xml:space="preserve"> </w:t>
      </w:r>
    </w:p>
    <w:p>
      <w:r>
        <w:rPr/>
        <w:t>根据</w:t>
      </w:r>
      <w:r>
        <w:rPr>
          <w:u w:val="single"/>
        </w:rPr>
        <w:t xml:space="preserve"> 2022-2023年夏港街道饭堂肉菜配送服务  </w:t>
      </w:r>
      <w:r>
        <w:rPr/>
        <w:t>的采购结果，按照《中华人民共和国政府采购法》、《中华人民共和国政府采购法实施条例》、《中华人民共和国民法典》第三编　合同的规定，经双方协商，本着平等互利和诚实信用的原则，一致同意签订本合同如下。</w:t>
      </w:r>
    </w:p>
    <w:p>
      <w:r>
        <w:rPr>
          <w:b/>
        </w:rPr>
        <w:t>一、合同金额</w:t>
      </w:r>
    </w:p>
    <w:p>
      <w:r>
        <w:rPr/>
        <w:t>合同金额为（大写）：</w:t>
      </w:r>
      <w:r>
        <w:rPr>
          <w:u w:val="single"/>
        </w:rPr>
        <w:t xml:space="preserve">            </w:t>
      </w:r>
      <w:r>
        <w:rPr/>
        <w:t>元（￥</w:t>
      </w:r>
      <w:r>
        <w:rPr>
          <w:u w:val="single"/>
        </w:rPr>
        <w:t xml:space="preserve">           </w:t>
      </w:r>
      <w:r>
        <w:rPr/>
        <w:t xml:space="preserve"> 元）人民币。</w:t>
      </w:r>
    </w:p>
    <w:p>
      <w:r>
        <w:rPr/>
        <w:t>成交下浮率：</w:t>
      </w:r>
      <w:r>
        <w:rPr>
          <w:u w:val="single"/>
        </w:rPr>
        <w:t xml:space="preserve">              </w:t>
      </w:r>
      <w:r>
        <w:rPr/>
        <w:t xml:space="preserve"> %</w:t>
      </w:r>
    </w:p>
    <w:p>
      <w:r>
        <w:rPr>
          <w:b/>
        </w:rPr>
        <w:t>二、服务范围</w:t>
      </w:r>
    </w:p>
    <w:p>
      <w:r>
        <w:rPr/>
        <w:t>　　甲方聘请乙方提供夏港街道饭堂肉菜配送服务。</w:t>
      </w:r>
    </w:p>
    <w:p>
      <w:r>
        <w:rPr>
          <w:b/>
        </w:rPr>
        <w:t>三、甲方乙方的权利和义务</w:t>
      </w:r>
    </w:p>
    <w:p>
      <w:r>
        <w:rPr>
          <w:b/>
        </w:rPr>
        <w:t>1、交付验收标准依次序对照适用标准</w:t>
      </w:r>
    </w:p>
    <w:p>
      <w:r>
        <w:rPr/>
        <w:t>（1）符合中华人民共和国国家安全质量标准、环保标准或行业标准；</w:t>
      </w:r>
    </w:p>
    <w:p>
      <w:r>
        <w:rPr/>
        <w:t>（2）符合磋商文件和响应承诺中甲方认可的产品要求及质量；</w:t>
      </w:r>
    </w:p>
    <w:p>
      <w:r>
        <w:rPr>
          <w:b/>
        </w:rPr>
        <w:t>2、包装和运输</w:t>
      </w:r>
    </w:p>
    <w:p>
      <w:r>
        <w:rPr/>
        <w:t>（1）乙方应保证货品均为正规生产的新鲜、检验合格货品，符合国家有关卫生、质量、包装和保质标准。</w:t>
      </w:r>
    </w:p>
    <w:p>
      <w:r>
        <w:rPr/>
        <w:t>（2）包装、容器(框、箱、袋)要求：清洁、干燥、牢固、透气，无污染、无异味、无霉变现象。采购的食品不得存放在有害、有毒的容器内。食品包装上必须使用原产地标识，应注明：制造商名称和厂址、食品名称和重（容）量、生产日期和保质期限以及规格和SC认证等。</w:t>
      </w:r>
    </w:p>
    <w:p>
      <w:r>
        <w:rPr/>
        <w:t>（3）包装必须按《农产品包装和标识管理办法》贴标签，并标明产地、品种、净含量、生产单位及地址和采收日期。</w:t>
      </w:r>
    </w:p>
    <w:p>
      <w:r>
        <w:rPr>
          <w:b/>
        </w:rPr>
        <w:t>3、保险</w:t>
      </w:r>
    </w:p>
    <w:p>
      <w:r>
        <w:rPr/>
        <w:t>货物交付运输前，甲方已经支付部分或全部款项的，乙方应当办理以甲方为受益人的货物“一切险”，投保金额不少于甲方已经支付款项总额，保险保至项目最终交货地点。</w:t>
      </w:r>
    </w:p>
    <w:p>
      <w:r>
        <w:rPr>
          <w:b/>
        </w:rPr>
        <w:t>4、配送管理要求</w:t>
      </w:r>
    </w:p>
    <w:p>
      <w:r>
        <w:rPr/>
        <w:t>（1）本次配送服务采购主要为每天早、午、晚餐配送供应，如有特殊安排，乙方需按甲方安排执行。</w:t>
      </w:r>
    </w:p>
    <w:p>
      <w:r>
        <w:rPr/>
        <w:t>（2）乙方应至少安排1辆以上冷藏车辆负责为甲方送货及安排专职送货员，负责货物的运输、过秤，并协助甲方抽验货品，货品的品种和重量以甲方抽验的结果为准。</w:t>
      </w:r>
    </w:p>
    <w:p>
      <w:r>
        <w:rPr/>
        <w:t>（3）乙方必须遵守国家规定的卫生管理条例，严格执行《中华人民共和国食品安全法》，必须保证所供应肉类、干货、蔬菜、果品、主食及其它副食品等为新鲜、保质期内，且符合卫生标准；若发现所供应的食品存在腐烂变质、过期、有异味、不新鲜、发霉、破损、腐烂、包装、蔬菜类发黄等质量问题的，应当全部收回并销毁，立即采取补救措施重新供应配送，并承担由此产生的一切损失和费用。</w:t>
      </w:r>
    </w:p>
    <w:p>
      <w:r>
        <w:rPr/>
        <w:t>（4）乙方除不可抗力外，不得因其他任何理由延迟送货。因乙方原因延误交货日期的（甲方要求推迟的除外），甲方使用单位有权自行采购，并由乙方承担由此产生的一切损失和费用。</w:t>
      </w:r>
    </w:p>
    <w:p>
      <w:r>
        <w:rPr/>
        <w:t>（5）食品溯源要求。乙方对食品供应链进行明确 ，所有食品的来源必须清晰。</w:t>
      </w:r>
    </w:p>
    <w:p>
      <w:r>
        <w:rPr>
          <w:b/>
        </w:rPr>
        <w:t>5、配送运输要求</w:t>
      </w:r>
    </w:p>
    <w:p>
      <w:r>
        <w:rPr/>
        <w:t>（1）所有货物运输必须采用符合卫生标准的外包装和运载工具，并且要保持清洁和定期消毒。运输车厢的内仓，包括地面、墙面和顶，应使用抗腐蚀、防潮，易清洁消毒的材料，车厢内无不良气味、异味。</w:t>
      </w:r>
    </w:p>
    <w:p>
      <w:r>
        <w:rPr/>
        <w:t>（2）冷藏、冷冻食品必须专用冷藏、冷冻载具运输，应当有必要的保温设备并在整个运输过程中保持安全的冷藏、冷冻温度。特别对于长途运输的食品，保证食品在运输处于合适的温度范围。整个运输过程应科学合理，运输车辆应定期清洁，保持性能稳定，符合规定温度要求，使运输食品处于恒定的环境中。</w:t>
      </w:r>
    </w:p>
    <w:p>
      <w:r>
        <w:rPr/>
        <w:t>（3）送货车辆应保持清洁：食品堆放科学合理，避免造成食品的交叉污染；如对温度有要求的食品应确定食品的温度，记录送货车辆温度，并记录存档。</w:t>
      </w:r>
    </w:p>
    <w:p>
      <w:r>
        <w:rPr/>
        <w:t>（4）送货车辆实行一小时配送圈运作，目的地在一小时内的用保温车配送，一小时以外的用制冷车配送，保证运输过程冷链不中断。保证冷冻肉类中心温度控制在-2-7℃的范围之内，保证运输过程冷链不中断。商品到达目的地时外包装箱干爽,无软化现象。</w:t>
      </w:r>
    </w:p>
    <w:p>
      <w:r>
        <w:rPr/>
        <w:t>（5）在配送卸货环节中应保证冷藏食品脱离冷链时间不得超过20分钟。</w:t>
      </w:r>
    </w:p>
    <w:p>
      <w:r>
        <w:rPr/>
        <w:t>（6）抽查发现食品安全质量问题的处理：</w:t>
      </w:r>
    </w:p>
    <w:p>
      <w:r>
        <w:rPr/>
        <w:t>6.1抽查检测过程中，如发现乙方所配送的肉类、蔬菜等出现变质变味、过期；蔬菜瓜果类的农药含量超标、肉制品无检验标志、干货有发霉或添加剂超标、家禽鱼类有病毒危害，甲方有权拒收，并视情况追究法律及经济责任。</w:t>
      </w:r>
    </w:p>
    <w:p>
      <w:r>
        <w:rPr/>
        <w:t>6.2对危及人身安全的食品质量问题采取零容忍措施，一经发现，当日所送同批次所有种类产品全部退货，乙方按食堂规定时间，要求的数量、质量、规格重新送货。乙方应同时向甲方支付人民币10,000元的违约金，因此出现3次以上退货情况的，甲方有权单方面终止供货合同。</w:t>
      </w:r>
    </w:p>
    <w:p>
      <w:r>
        <w:rPr/>
        <w:t>6.3若抽查未发现问题，而在加工食用前发现部分产品质量问题，甲方有权将问题产品退货处理。</w:t>
      </w:r>
    </w:p>
    <w:p>
      <w:r>
        <w:rPr/>
        <w:t>（7）甲方发现货物出现损坏（包括表面损坏），或出现水渍、变味、受潮等导致货物性质改变的，乙方必须无条件退货或更换商品，并承担相应损失。</w:t>
      </w:r>
    </w:p>
    <w:p>
      <w:r>
        <w:rPr/>
        <w:t>（8）对甲方临时的供货要求，需随订随送，最迟在1个小时内送到。</w:t>
      </w:r>
    </w:p>
    <w:p>
      <w:r>
        <w:rPr>
          <w:b/>
        </w:rPr>
        <w:t>6、扶贫产品要求</w:t>
      </w:r>
    </w:p>
    <w:p>
      <w:r>
        <w:rPr/>
        <w:t>乙方须配合甲方按《关于落实运用政府采购政策支持乡村产业振兴有关工作的通知》（粤财采购〔2021〕6号）的相关要求规定落实政府采购脱贫地区农副产品工作。须预留合同金额的30%投入至“脱贫地区农副产品网络销售平台（https://www.fupin832.com/）”中通过该平台账号进行农副产品采购，产生的费用包含在采购预算内（含税），甲方不再额外支付其他费用或者税费。</w:t>
      </w:r>
    </w:p>
    <w:p>
      <w:r>
        <w:rPr>
          <w:b/>
        </w:rPr>
        <w:t>7、其他</w:t>
      </w:r>
    </w:p>
    <w:p>
      <w:r>
        <w:rPr/>
        <w:t>在合同履行期间，甲方有权利要求乙方采购脱贫地区农副产品网络销售平台（https://www.fupin832.com/）以外的扶贫产品和指定食材，乙方需无条件配合甲方进行采购，该部分金额不超过采购预算的8%。由此所产生的费用包含在采购预算内（含税），甲方不再额外支付其他费用或者税费。</w:t>
      </w:r>
    </w:p>
    <w:p>
      <w:r>
        <w:rPr>
          <w:b/>
        </w:rPr>
        <w:t>8、定价方式</w:t>
      </w:r>
    </w:p>
    <w:p>
      <w:r>
        <w:rPr/>
        <w:t>（1）本合同约定供应食材价格均以【广州市发展和改革委员会网http://www.gzplan.gov.cn/中（广州菜篮子价格：全市菜篮子平均零售价、米袋子行情价格）】为基准。</w:t>
      </w:r>
    </w:p>
    <w:p>
      <w:r>
        <w:rPr/>
        <w:t>（2）【广州市发展和改革委员会网http://fgw.gz.gov.cn/中（广州菜篮子价格：全市菜篮子平价零售价、米袋子行情价格）】公布的品种在今后的供应中以乙方投标报价的下浮率为执行标准。其定价时间以15天为周期（1日、16日），每期根据【广州市发展和改革委员会网http://fgw.gz.gov.cn/中（广州菜篮子价格：全市菜篮子平价零售价、米袋子行情价格）】变动而变动。结算公式：结算价格=全市菜篮子平价零售价或米袋子行情价格（15天为周期）*（1-成交下浮率）*实际供货数量。</w:t>
      </w:r>
    </w:p>
    <w:p>
      <w:r>
        <w:rPr/>
        <w:t>（3）【广州市发展和改革委员会网http://www.gzplan.gov.cn/中（广州菜篮子价格：全市菜篮子平价零售价、米袋子行情价格）】未公布的品种，则参考黄埔辖区内的华润万家、百佳超市、沃尔玛三家超市网上价格的平均价为定价基准并经甲方确认后执行，定价时间以15天为周期（1日、16日），结算价=周边零售市场价平均价（以15天为周期）*（1-成交下浮率）*实际供货数量。</w:t>
      </w:r>
    </w:p>
    <w:p>
      <w:r>
        <w:rPr/>
        <w:t>（4）【广州市发展和改革委员会网http://www.gzplan.gov.cn/中（广州菜篮子价格：全市菜篮子平价零售价、米袋子行情价格）】以及上述超市未公布的品种（如需要去皮的莲藕、土豆、莴笋等食材，去皮加工费每斤不超过1元），以周边农贸市场的平均零售价为定价基准并经甲方确认后执行，结算价=周边农贸市场价平均价（以15天为周期）*（1-成交下浮率）*实际供货数量。</w:t>
      </w:r>
    </w:p>
    <w:p>
      <w:r>
        <w:rPr>
          <w:b/>
        </w:rPr>
        <w:t>四、验收要求</w:t>
      </w:r>
    </w:p>
    <w:p>
      <w:r>
        <w:rPr>
          <w:b/>
        </w:rPr>
        <w:t>（一）检验流程</w:t>
      </w:r>
    </w:p>
    <w:p>
      <w:r>
        <w:rPr/>
        <w:t>1、要作好卸货前的检查。验收人员卸货前应对场地和验收设备做好准备，并对商品的外观质量进行初步了解。</w:t>
      </w:r>
    </w:p>
    <w:p>
      <w:r>
        <w:rPr/>
        <w:t>2、应采取当场验收的方式，验收人必须认真检验食品的质量要求，按索证→过磅→入库的程序完成验收，乙方可提供原件留存的则留存原件，如原件只有一份时无法提供给甲方的，甲方查验原件后将对原件复印件进行留存。</w:t>
      </w:r>
    </w:p>
    <w:p>
      <w:r>
        <w:rPr/>
        <w:t>3、每批次每种货物均需进行抽查验收。</w:t>
      </w:r>
    </w:p>
    <w:p>
      <w:r>
        <w:rPr/>
        <w:t>4、验收工作人员按磋商文件产品质量要求对货物质量进行抽查，比对相关文件，以确保食品品种符合要求。如发现食品有损坏的情况，应在相关单据上记录所有损坏情况。对货物损坏情况进行拍照并存档。对于食品验收的全部信息数据，甲方使用单位验收人员应和乙方人员一起确认，并保留双方签字单据。</w:t>
      </w:r>
    </w:p>
    <w:p>
      <w:r>
        <w:rPr>
          <w:b/>
        </w:rPr>
        <w:t>（二）退（补）货流程</w:t>
      </w:r>
    </w:p>
    <w:p>
      <w:r>
        <w:rPr/>
        <w:t>对不符合质量要求的食品由甲方验收人员提出清退，对数量不足或部分退货的，乙方必须按甲方食堂规定的时间，要求的数量、质量、规格重新送货。</w:t>
      </w:r>
    </w:p>
    <w:p>
      <w:r>
        <w:rPr>
          <w:b/>
        </w:rPr>
        <w:t>（三）</w:t>
      </w:r>
      <w:r>
        <w:rPr/>
        <w:t>验收记录每次采购的食品都要登记记录，注明名称、数量等事项并在采购登记记录上签明意见和验收人的名字及日期。验收完毕后，双方必须在货物收货清单上确认签名，货物收货清单作为甲方支付货款的依据之一。</w:t>
      </w:r>
    </w:p>
    <w:p>
      <w:r>
        <w:rPr>
          <w:b/>
        </w:rPr>
        <w:t>（四）验收要求</w:t>
      </w:r>
    </w:p>
    <w:p>
      <w:r>
        <w:rPr/>
        <w:t>1、验收发现食品安全有质量、数量、规格问题的处理：对危及人身安全的食品质量问题采取零容忍措施，如发现腐败变质异味、污染变质等，一经发现，当日所送同批次产品全部退货。送货数量与订单不符时：多送部分甲方有权拒收，少送部分必须在 1 小时内补货送到。</w:t>
      </w:r>
    </w:p>
    <w:p>
      <w:r>
        <w:rPr/>
        <w:t>2、畜禽冻肉类整批产品无政府部门出具的动植物检疫合格证明的食品全部退货，并按甲方食堂的要求按时按质按量重新配送。</w:t>
      </w:r>
    </w:p>
    <w:p>
      <w:r>
        <w:rPr>
          <w:b/>
        </w:rPr>
        <w:t>五、服务期间（项目完成期限）</w:t>
      </w:r>
    </w:p>
    <w:p>
      <w:r>
        <w:rPr/>
        <w:t>委托服务期间自______年______月至______年______月止。</w:t>
      </w:r>
    </w:p>
    <w:p>
      <w:r>
        <w:rPr>
          <w:b/>
        </w:rPr>
        <w:t>六、付款方式</w:t>
      </w:r>
    </w:p>
    <w:p>
      <w:r>
        <w:rPr/>
        <w:t>（一）乙方应按月在每月15号前（如遇法定节假日，将顺延至下一个工作日）向甲方提交上个月份送货报表，甲方在收到上月送货报表后10个工作日内进行书面签章确认（不包括年初政府财政资金用款额度未下达时间）。</w:t>
      </w:r>
    </w:p>
    <w:p>
      <w:r>
        <w:rPr/>
        <w:t>（二）乙方在收回书面签章确认后的送货报表即可开具有效发票，甲方在收到发票后5个工作日内通过银行转账方式付款至与乙方签订合同上所载的乙方指定公司开户银行账户。</w:t>
      </w:r>
    </w:p>
    <w:p>
      <w:r>
        <w:rPr/>
        <w:t>（三）未经乙方书面授权通知，甲方不应单方面变更乙方的收款银行账户，且不得将款项支付至任何个人账户。</w:t>
      </w:r>
    </w:p>
    <w:p>
      <w:r>
        <w:rPr/>
        <w:t>（四）本次采购支付为政府财政支付，乙方已清楚了解政府采购财政拨款的流程，并无条件接受财政拨款付款程序，确认甲方在向财政部门请款后即视为已履行付款责任，不承担迟延支付的违约责任。</w:t>
      </w:r>
    </w:p>
    <w:p>
      <w:pPr>
        <w:jc w:val="both"/>
      </w:pPr>
      <w:r>
        <w:rPr>
          <w:b/>
        </w:rPr>
        <w:t>七、知识产权产权归属</w:t>
      </w:r>
    </w:p>
    <w:p>
      <w:r>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r>
        <w:rPr>
          <w:b/>
        </w:rPr>
        <w:t>八、保密</w:t>
      </w:r>
    </w:p>
    <w:p>
      <w:r>
        <w:rPr/>
        <w:t xml:space="preserve">项目实施过程中至乙方正式向甲方交付技术文档资料时止，乙方必须采取措施对本项目实施过程中的数据、技术文档等资料保密，否则，由于乙方过错导致的上述资料泄密的，乙方必须承担一切责任。项目完成后，甲、乙双方均有责任对本项目的技术保密承担责任。  </w:t>
      </w:r>
    </w:p>
    <w:p>
      <w:r>
        <w:rPr/>
        <w:t>1）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r>
        <w:rPr/>
        <w:t>2）除了合同本身之外，上款所列举的任何物件均是甲方的财产。乙方应当在完成合同后应将这些物件及全部复制件还给甲方，甲方同意由乙方持有的除外。</w:t>
      </w:r>
    </w:p>
    <w:p>
      <w:r>
        <w:rPr>
          <w:b/>
        </w:rPr>
        <w:t>九、违约责任与赔偿损失</w:t>
      </w:r>
    </w:p>
    <w:p>
      <w:r>
        <w:rPr/>
        <w:t>1) 乙方提供的服务不符合采购文件、投标文件或本合同规定的，甲方有权拒收，并且乙方须向甲方方支付本合同总价5%的违约金。</w:t>
      </w:r>
    </w:p>
    <w:p>
      <w:r>
        <w:rPr/>
        <w:t>2) 乙方未能按本合同规定的交货时间提供服务，从逾期之日起每日按本合同总价3‰的数额向甲方支付违约金；逾期半个月以上的，甲方有权终止合同，由此造成的甲方经济损失由乙方承担。</w:t>
      </w:r>
    </w:p>
    <w:p>
      <w:r>
        <w:rPr/>
        <w:t>3) 甲方无正当理由拒收接受服务，到期拒付服务款项的，甲方向乙方偿付本合同总的5%的违约金。甲方逾期付款，则每日按本合同总价的3‰向乙方偿付违约金。</w:t>
      </w:r>
    </w:p>
    <w:p>
      <w:r>
        <w:rPr/>
        <w:t>4) 其它违约责任按《中华人民共和国民法典》第三编　合同处理。</w:t>
      </w:r>
    </w:p>
    <w:p>
      <w:r>
        <w:rPr>
          <w:b/>
        </w:rPr>
        <w:t>十、争端的解决</w:t>
      </w:r>
    </w:p>
    <w:p>
      <w:r>
        <w:rPr/>
        <w:t>合同执行过程中发生的任何争议，如双方不能通过友好协商解决，按相关法律法规处理。</w:t>
      </w:r>
    </w:p>
    <w:p>
      <w:pPr>
        <w:jc w:val="both"/>
      </w:pPr>
      <w:r>
        <w:rPr>
          <w:b/>
        </w:rPr>
        <w:t>十一、不可抗力</w:t>
      </w:r>
    </w:p>
    <w:p>
      <w:r>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b/>
        </w:rPr>
        <w:t>十二、税费</w:t>
      </w:r>
    </w:p>
    <w:p>
      <w:r>
        <w:rPr/>
        <w:t>在中国境内、外发生的与本合同执行有关的一切税费均由乙方负担。</w:t>
      </w:r>
    </w:p>
    <w:p>
      <w:r>
        <w:rPr>
          <w:b/>
        </w:rPr>
        <w:t>十三、其它</w:t>
      </w:r>
    </w:p>
    <w:p>
      <w:r>
        <w:rPr/>
        <w:t>1) 本合同所有附件、采购文件、投标文件、中标通知书通知书均为合同的有效组成部分，与本合同具有同等法律效力。</w:t>
      </w:r>
    </w:p>
    <w:p>
      <w:r>
        <w:rPr/>
        <w:t>2) 在执行本合同的过程中，所有经双方签署确认的文件（包括会议纪要、补充协议、往来信函）即成为本合同的有效组成部分。</w:t>
      </w:r>
    </w:p>
    <w:p>
      <w:r>
        <w:rPr/>
        <w:t>3) 如一方地址、电话、传真号码有变更，应在变更当日内书面通知对方，否则，应承担相应责任。</w:t>
      </w:r>
    </w:p>
    <w:p>
      <w:r>
        <w:rPr/>
        <w:t>4) 除甲方事先书面同意外，乙方不得部分或全部转让其应履行的合同项下的义务。</w:t>
      </w:r>
    </w:p>
    <w:p>
      <w:r>
        <w:rPr>
          <w:b/>
        </w:rPr>
        <w:t>十四、合同生效</w:t>
      </w:r>
    </w:p>
    <w:p>
      <w:r>
        <w:rPr/>
        <w:t>1）本合同在甲乙双方法人代表或其授权代表签字盖章后生效。</w:t>
      </w:r>
    </w:p>
    <w:p>
      <w:r>
        <w:rPr/>
        <w:t>2）合同一式</w:t>
      </w:r>
      <w:r>
        <w:rPr>
          <w:u w:val="single"/>
        </w:rPr>
        <w:t xml:space="preserve">   </w:t>
      </w:r>
      <w:r>
        <w:rPr/>
        <w:t>份，其中甲方</w:t>
      </w:r>
      <w:r>
        <w:rPr>
          <w:u w:val="single"/>
        </w:rPr>
        <w:t xml:space="preserve">   </w:t>
      </w:r>
      <w:r>
        <w:rPr/>
        <w:t>份，乙方</w:t>
      </w:r>
      <w:r>
        <w:rPr>
          <w:u w:val="single"/>
        </w:rPr>
        <w:t xml:space="preserve">   </w:t>
      </w:r>
      <w:r>
        <w:rPr/>
        <w:t>份，监管部门壹份，采购代理机构壹份。</w:t>
      </w:r>
    </w:p>
    <w:p>
      <w:pPr>
        <w:jc w:val="both"/>
      </w:pPr>
    </w:p>
    <w:p>
      <w:pPr>
        <w:jc w:val="both"/>
      </w:pPr>
      <w:r>
        <w:rPr>
          <w:color w:val="222222"/>
          <w:sz w:val="27"/>
        </w:rPr>
        <w:t xml:space="preserve"> </w:t>
      </w:r>
    </w:p>
    <w:p>
      <w:pPr>
        <w:jc w:val="both"/>
      </w:pPr>
      <w:r>
        <w:rPr>
          <w:b/>
        </w:rPr>
        <w:t>甲方（盖章）：</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乙方（盖章）：</w:t>
      </w:r>
    </w:p>
    <w:p>
      <w:pPr>
        <w:jc w:val="both"/>
      </w:pPr>
      <w:r>
        <w:rPr>
          <w:b/>
        </w:rPr>
        <w:t>代表：</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代表：</w:t>
      </w:r>
    </w:p>
    <w:p>
      <w:pPr>
        <w:jc w:val="both"/>
      </w:pPr>
      <w:r>
        <w:rPr>
          <w:color w:val="222222"/>
          <w:sz w:val="27"/>
        </w:rPr>
        <w:t>签订地点：</w:t>
      </w:r>
    </w:p>
    <w:p>
      <w:pPr>
        <w:jc w:val="both"/>
      </w:pPr>
      <w:r>
        <w:rPr>
          <w:color w:val="222222"/>
          <w:sz w:val="27"/>
        </w:rPr>
        <w:t>签订日期：　　　年　　月　　日</w:t>
      </w:r>
      <w:r>
        <w:rPr>
          <w:color w:val="222222"/>
          <w:sz w:val="27"/>
        </w:rPr>
        <w:t xml:space="preserve"> </w:t>
      </w:r>
      <w:r>
        <w:rPr>
          <w:color w:val="222222"/>
          <w:sz w:val="27"/>
        </w:rPr>
        <w:t>签订日期：　　　年　　月　　日</w:t>
      </w:r>
    </w:p>
    <w:p>
      <w:pPr>
        <w:jc w:val="both"/>
      </w:pPr>
      <w:r>
        <w:rPr>
          <w:color w:val="222222"/>
          <w:sz w:val="27"/>
        </w:rPr>
        <w:t>开户名称：</w:t>
      </w:r>
    </w:p>
    <w:p>
      <w:pPr>
        <w:jc w:val="both"/>
      </w:pPr>
      <w:r>
        <w:rPr>
          <w:color w:val="222222"/>
          <w:sz w:val="27"/>
        </w:rPr>
        <w:t>银行帐号：</w:t>
      </w:r>
    </w:p>
    <w:p>
      <w:pPr>
        <w:jc w:val="both"/>
      </w:pPr>
      <w:r>
        <w:rPr>
          <w:color w:val="222222"/>
          <w:sz w:val="27"/>
        </w:rPr>
        <w:t>开 户 行：</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440112-2022-07513</w:t>
      </w:r>
    </w:p>
    <w:p>
      <w:pPr>
        <w:jc w:val="center"/>
      </w:pPr>
      <w:r>
        <w:rPr>
          <w:b/>
          <w:sz w:val="24"/>
        </w:rPr>
        <w:t>采购项目编号：</w:t>
      </w:r>
      <w:r>
        <w:rPr>
          <w:b/>
          <w:sz w:val="24"/>
        </w:rPr>
        <w:t>440112-2022-07513</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十三、联合体共同响应协议书</w:t>
      </w:r>
    </w:p>
    <w:p>
      <w:pPr>
        <w:ind w:firstLine="480"/>
      </w:pPr>
      <w:r>
        <w:rPr/>
        <w:t>十四、供应商业绩情况表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广东志正招标有限公司</w:t>
      </w:r>
    </w:p>
    <w:p>
      <w:pPr>
        <w:ind w:firstLine="480"/>
      </w:pPr>
      <w:r>
        <w:rPr/>
        <w:t>你方组织的</w:t>
      </w:r>
      <w:r>
        <w:rPr>
          <w:u w:val="single"/>
        </w:rPr>
        <w:t>“</w:t>
      </w:r>
      <w:r>
        <w:rPr>
          <w:u w:val="single"/>
        </w:rPr>
        <w:t>2022-2023年夏港街道饭堂肉菜配送服务</w:t>
      </w:r>
      <w:r>
        <w:rPr>
          <w:u w:val="single"/>
        </w:rPr>
        <w:t>”</w:t>
      </w:r>
      <w:r>
        <w:rPr/>
        <w:t>项目的竞争性磋商[采购项目编号为：</w:t>
      </w:r>
      <w:r>
        <w:rPr>
          <w:u w:val="single"/>
        </w:rPr>
        <w:t>440112-2022-07513</w:t>
      </w:r>
      <w:r>
        <w:rPr/>
        <w:t>]，我方愿参与响应。</w:t>
      </w:r>
    </w:p>
    <w:p>
      <w:pPr>
        <w:ind w:firstLine="480"/>
      </w:pPr>
      <w:r>
        <w:rPr/>
        <w:t>我方确认收到贵方提供的</w:t>
      </w:r>
      <w:r>
        <w:rPr>
          <w:u w:val="single"/>
        </w:rPr>
        <w:t>“</w:t>
      </w:r>
      <w:r>
        <w:rPr>
          <w:u w:val="single"/>
        </w:rPr>
        <w:t>2022-2023年夏港街道饭堂肉菜配送服务</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（四）我方理解贵方不一定接受最低磋商价或任何贵方可能收到的响应。</w:t>
      </w:r>
    </w:p>
    <w:p>
      <w:pPr>
        <w:ind w:firstLine="480"/>
      </w:pPr>
      <w:r>
        <w:rPr/>
        <w:t>（五）我方如果成交，将保证履行磋商文件及其澄清、修改文件（如果有）中的全部责任和义务，按质、按量、按期完成《采购需求》及《合同书》中的全部任务。</w:t>
      </w:r>
    </w:p>
    <w:p>
      <w:pPr>
        <w:ind w:firstLine="480"/>
      </w:pPr>
      <w:r>
        <w:rPr/>
        <w:t>（六）我方作为法律、财务和运作上独立于采购人、采购代理机构的供应商，在此保证所提交的所有文件和全部说明是真实的和正确的。</w:t>
      </w:r>
    </w:p>
    <w:p>
      <w:pPr>
        <w:ind w:firstLine="480"/>
      </w:pPr>
      <w:r>
        <w:rPr/>
        <w:t>（七）我方磋商报价已包含应向知识产权所有权人支付的所有相关税费，并保证采购人在中国使用我方提供的货物或服务时，如有第三方提出侵犯其知识产权主张的，责任由我方承担。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（八）我方接受采购人委托向贵方支付代理服务费，项目总报价已包含代理服务费，如果被确定为成交供应商，承诺向贵方足额支付。（若采购人支付代理服务费，则此条不适用）</w:t>
      </w:r>
    </w:p>
    <w:p>
      <w:pPr>
        <w:ind w:firstLine="480"/>
      </w:pPr>
      <w:r>
        <w:rPr/>
        <w:t>（九）我方与其他供应商不存在法定代表人或单位负责人为同一人或者存在直接控股、管理关系。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（十三）我方对在本函及响应文件中所作的所有承诺承担法律责任。</w:t>
      </w:r>
    </w:p>
    <w:p>
      <w:pPr>
        <w:ind w:firstLine="480"/>
      </w:pPr>
      <w:r>
        <w:rPr/>
        <w:t>（十四）所有与本磋商有关的函件请发往下列地址：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jc w:val="center"/>
      </w:pPr>
      <w:r>
        <w:rPr>
          <w:b/>
          <w:sz w:val="15"/>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现任我单位_____________职务_____________为法定代表人，特此证明。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广东志正招标有限公司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2022-2023年夏港街道饭堂肉菜配送服务</w:t>
      </w:r>
      <w:r>
        <w:rPr/>
        <w:t>”项目采购[采购项目编号为</w:t>
      </w:r>
      <w:r>
        <w:rPr/>
        <w:t>440112-2022-07513</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一、提供以下相关证照的扫描件之一：1.企业法人提供企业法人营业执照；2.事业法人提供事业法人登记证；3.其他组织提供其他组织的营业执照或执业许可证；4.自然人提供居民身份证等；</w:t>
      </w:r>
    </w:p>
    <w:p>
      <w:pPr>
        <w:ind w:firstLine="480"/>
      </w:pPr>
      <w:r>
        <w:rPr/>
        <w:t>二、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投标的，还须提供分公司或中心支公司的保险机构的营业执照。）</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广州市黄埔区人民政府夏港街道办事处</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或照搬照抄采购文件参数、不注明实际数值者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格式十九：</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广东志正招标有限公司</w:t>
      </w:r>
    </w:p>
    <w:p>
      <w:pPr>
        <w:ind w:firstLine="480"/>
      </w:pPr>
      <w:r>
        <w:rPr/>
        <w:t>我单位参加贵公司组织的</w:t>
      </w:r>
      <w:r>
        <w:rPr/>
        <w:t>2022-2023年夏港街道饭堂肉菜配送服务</w:t>
      </w:r>
      <w:r>
        <w:rPr/>
        <w:t>（采购项目编号：</w:t>
      </w:r>
      <w:r>
        <w:rPr/>
        <w:t>440112-2022-07513</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格式二十一：</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