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440001-2022-58126</w:t>
      </w:r>
    </w:p>
    <w:p>
      <w:pPr>
        <w:jc w:val="center"/>
      </w:pPr>
      <w:r>
        <w:rPr>
          <w:b/>
          <w:sz w:val="24"/>
        </w:rPr>
        <w:t>采购项目编号：</w:t>
      </w:r>
      <w:r>
        <w:rPr>
          <w:b/>
          <w:sz w:val="24"/>
        </w:rPr>
        <w:t>440001-2022-58126</w:t>
      </w:r>
    </w:p>
    <w:p>
      <w:pPr>
        <w:jc w:val="center"/>
      </w:pPr>
      <w:r>
        <w:rPr>
          <w:b/>
          <w:sz w:val="24"/>
        </w:rPr>
        <w:t>项目名称：</w:t>
      </w:r>
      <w:r>
        <w:rPr>
          <w:b/>
          <w:sz w:val="24"/>
        </w:rPr>
        <w:t>广东技术师范大学校园网和校园卡平台升级及图书馆配套项目</w:t>
      </w:r>
    </w:p>
    <w:p>
      <w:pPr>
        <w:jc w:val="center"/>
      </w:pPr>
      <w:r>
        <w:rPr>
          <w:b/>
          <w:sz w:val="24"/>
        </w:rPr>
        <w:t>采购人：</w:t>
      </w:r>
      <w:r>
        <w:rPr>
          <w:b/>
          <w:sz w:val="24"/>
        </w:rPr>
        <w:t>广东技术师范大学</w:t>
      </w:r>
    </w:p>
    <w:p>
      <w:pPr>
        <w:jc w:val="center"/>
      </w:pPr>
      <w:r>
        <w:rPr>
          <w:b/>
          <w:sz w:val="24"/>
        </w:rPr>
        <w:t>采购代理机构：</w:t>
      </w:r>
      <w:r>
        <w:rPr>
          <w:b/>
          <w:sz w:val="24"/>
        </w:rPr>
        <w:t>广东志正招标有限公司</w:t>
      </w:r>
    </w:p>
    <w:p>
      <w:pPr>
        <w:ind w:firstLine="480"/>
      </w:pPr>
    </w:p>
    <w:p>
      <w:r>
        <w:rPr/>
        <w:t xml:space="preserve"> </w:t>
      </w:r>
    </w:p>
    <w:p/>
    <w:p>
      <w:pPr>
        <w:jc w:val="center"/>
      </w:pPr>
      <w:r>
        <w:rPr>
          <w:b/>
          <w:sz w:val="36"/>
        </w:rPr>
        <w:t>第一章投标邀请</w:t>
      </w:r>
    </w:p>
    <w:p>
      <w:pPr>
        <w:ind w:firstLine="480"/>
      </w:pPr>
      <w:r>
        <w:rPr/>
        <w:t>广东志正招标有限公司</w:t>
      </w:r>
      <w:r>
        <w:rPr/>
        <w:t>受</w:t>
      </w:r>
      <w:r>
        <w:rPr/>
        <w:t>广东技术师范大学</w:t>
      </w:r>
      <w:r>
        <w:rPr/>
        <w:t>的委托，采用</w:t>
      </w:r>
      <w:r>
        <w:rPr/>
        <w:t>公开招标</w:t>
      </w:r>
      <w:r>
        <w:rPr/>
        <w:t>方式组织采购</w:t>
      </w:r>
      <w:r>
        <w:rPr/>
        <w:t>广东技术师范大学校园网和校园卡平台升级及图书馆配套项目</w:t>
      </w:r>
      <w:r>
        <w:rPr/>
        <w:t>。欢迎符合资格条件的国内供应商参加投标。</w:t>
      </w:r>
    </w:p>
    <w:p>
      <w:r>
        <w:rPr>
          <w:b/>
          <w:sz w:val="28"/>
        </w:rPr>
        <w:t>一.项目概述</w:t>
      </w:r>
    </w:p>
    <w:p>
      <w:r>
        <w:rPr>
          <w:b/>
          <w:sz w:val="24"/>
        </w:rPr>
        <w:t>1.名称与编号</w:t>
      </w:r>
    </w:p>
    <w:p>
      <w:pPr>
        <w:ind w:firstLine="480"/>
      </w:pPr>
      <w:r>
        <w:rPr/>
        <w:t>项目名称：</w:t>
      </w:r>
      <w:r>
        <w:rPr/>
        <w:t>广东技术师范大学校园网和校园卡平台升级及图书馆配套项目</w:t>
      </w:r>
    </w:p>
    <w:p>
      <w:pPr>
        <w:ind w:firstLine="480"/>
      </w:pPr>
      <w:r>
        <w:rPr/>
        <w:t>采购计划编号：</w:t>
      </w:r>
      <w:r>
        <w:rPr/>
        <w:t>440001-2022-58126</w:t>
      </w:r>
    </w:p>
    <w:p>
      <w:pPr>
        <w:ind w:firstLine="480"/>
      </w:pPr>
      <w:r>
        <w:rPr/>
        <w:t>采购项目编号：</w:t>
      </w:r>
      <w:r>
        <w:rPr/>
        <w:t>440001-2022-58126</w:t>
      </w:r>
    </w:p>
    <w:p>
      <w:pPr>
        <w:ind w:firstLine="480"/>
      </w:pPr>
      <w:r>
        <w:rPr/>
        <w:t>采购方式：</w:t>
      </w:r>
      <w:r>
        <w:rPr/>
        <w:t>公开招标</w:t>
      </w:r>
    </w:p>
    <w:p>
      <w:pPr>
        <w:ind w:firstLine="480"/>
      </w:pPr>
      <w:r>
        <w:rPr/>
        <w:t>预算金额：</w:t>
      </w:r>
      <w:r>
        <w:rPr/>
        <w:t>6,355,000.00</w:t>
      </w:r>
      <w:r>
        <w:rPr/>
        <w:t>元</w:t>
      </w:r>
    </w:p>
    <w:p>
      <w:r>
        <w:rPr>
          <w:b/>
          <w:sz w:val="24"/>
        </w:rPr>
        <w:t>2.项目内容及需求情况（采购项目技术规格、参数及要求）</w:t>
      </w:r>
    </w:p>
    <w:p>
      <w:pPr>
        <w:ind w:firstLine="480"/>
      </w:pPr>
    </w:p>
    <w:p/>
    <w:p>
      <w:r>
        <w:rPr/>
        <w:t>采购包1(校园网核心和数据中心核心设备):</w:t>
      </w:r>
    </w:p>
    <w:p>
      <w:r>
        <w:rPr/>
        <w:t>采购包预算金额：1,520,000.00元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其他网络控制设备</w:t>
            </w:r>
          </w:p>
        </w:tc>
        <w:tc>
          <w:tcPr>
            <w:tcW w:type="dxa" w:w="2136"/>
          </w:tcPr>
          <w:p>
            <w:r>
              <w:rPr/>
              <w:t>数据中心核心设备</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其他网络控制设备</w:t>
            </w:r>
          </w:p>
        </w:tc>
        <w:tc>
          <w:tcPr>
            <w:tcW w:type="dxa" w:w="2136"/>
          </w:tcPr>
          <w:p>
            <w:r>
              <w:rPr/>
              <w:t>互联核心设备</w:t>
            </w:r>
          </w:p>
        </w:tc>
        <w:tc>
          <w:tcPr>
            <w:tcW w:type="dxa" w:w="1187"/>
          </w:tcPr>
          <w:p>
            <w:r>
              <w:rPr/>
              <w:t>1.0000(台)</w:t>
            </w:r>
          </w:p>
        </w:tc>
        <w:tc>
          <w:tcPr>
            <w:tcW w:type="dxa" w:w="1187"/>
          </w:tcPr>
          <w:p>
            <w:r>
              <w:rPr/>
              <w:t>详见第二章</w:t>
            </w:r>
          </w:p>
        </w:tc>
        <w:tc>
          <w:tcPr>
            <w:tcW w:type="dxa" w:w="1187"/>
          </w:tcPr>
          <w:p>
            <w:r>
              <w:rPr/>
              <w:t>否</w:t>
            </w:r>
          </w:p>
        </w:tc>
      </w:tr>
    </w:tbl>
    <w:p/>
    <w:p>
      <w:r>
        <w:rPr/>
        <w:t>本采购包不接受联合体投标</w:t>
      </w:r>
    </w:p>
    <w:p/>
    <w:p>
      <w:r>
        <w:rPr/>
        <w:t>合同履行期限：合同签署之日起，45天完成所有货物的送达、安装和调试。</w:t>
      </w:r>
    </w:p>
    <w:p/>
    <w:p>
      <w:r>
        <w:rPr/>
        <w:t>采购包2(校园卡移动支付平台升级):</w:t>
      </w:r>
    </w:p>
    <w:p>
      <w:r>
        <w:rPr/>
        <w:t>采购包预算金额：550,000.00元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其他网络设备</w:t>
            </w:r>
          </w:p>
        </w:tc>
        <w:tc>
          <w:tcPr>
            <w:tcW w:type="dxa" w:w="2136"/>
          </w:tcPr>
          <w:p>
            <w:r>
              <w:rPr/>
              <w:t>统一支付平台</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2-2</w:t>
            </w:r>
          </w:p>
        </w:tc>
        <w:tc>
          <w:tcPr>
            <w:tcW w:type="dxa" w:w="1424"/>
          </w:tcPr>
          <w:p>
            <w:r>
              <w:rPr/>
              <w:t>其他网络设备</w:t>
            </w:r>
          </w:p>
        </w:tc>
        <w:tc>
          <w:tcPr>
            <w:tcW w:type="dxa" w:w="2136"/>
          </w:tcPr>
          <w:p>
            <w:r>
              <w:rPr/>
              <w:t>移动服务平台系统</w:t>
            </w:r>
          </w:p>
        </w:tc>
        <w:tc>
          <w:tcPr>
            <w:tcW w:type="dxa" w:w="1187"/>
          </w:tcPr>
          <w:p>
            <w:r>
              <w:rPr/>
              <w:t>1.0000(套)</w:t>
            </w:r>
          </w:p>
        </w:tc>
        <w:tc>
          <w:tcPr>
            <w:tcW w:type="dxa" w:w="1187"/>
          </w:tcPr>
          <w:p>
            <w:r>
              <w:rPr/>
              <w:t>详见第二章</w:t>
            </w:r>
          </w:p>
        </w:tc>
        <w:tc>
          <w:tcPr>
            <w:tcW w:type="dxa" w:w="1187"/>
          </w:tcPr>
          <w:p>
            <w:r>
              <w:rPr/>
              <w:t>否</w:t>
            </w:r>
          </w:p>
        </w:tc>
      </w:tr>
    </w:tbl>
    <w:p/>
    <w:p>
      <w:r>
        <w:rPr/>
        <w:t>本采购包不接受联合体投标</w:t>
      </w:r>
    </w:p>
    <w:p/>
    <w:p>
      <w:r>
        <w:rPr/>
        <w:t>合同履行期限：合同签署之日起，45天完成所有货物的送达、安装和调试。</w:t>
      </w:r>
    </w:p>
    <w:p/>
    <w:p>
      <w:r>
        <w:rPr/>
        <w:t>采购包3(白云校区图书馆监控及门禁系统补充建设采购):</w:t>
      </w:r>
    </w:p>
    <w:p>
      <w:r>
        <w:rPr/>
        <w:t>采购包预算金额：625,000.00元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3-1</w:t>
            </w:r>
          </w:p>
        </w:tc>
        <w:tc>
          <w:tcPr>
            <w:tcW w:type="dxa" w:w="1424"/>
          </w:tcPr>
          <w:p>
            <w:r>
              <w:rPr/>
              <w:t>其他网络设备</w:t>
            </w:r>
          </w:p>
        </w:tc>
        <w:tc>
          <w:tcPr>
            <w:tcW w:type="dxa" w:w="2136"/>
          </w:tcPr>
          <w:p>
            <w:r>
              <w:rPr/>
              <w:t>室内彩色半球摄像机（电梯轿厢用）等设备</w:t>
            </w:r>
          </w:p>
        </w:tc>
        <w:tc>
          <w:tcPr>
            <w:tcW w:type="dxa" w:w="1187"/>
          </w:tcPr>
          <w:p>
            <w:r>
              <w:rPr/>
              <w:t>1.0000(批)</w:t>
            </w:r>
          </w:p>
        </w:tc>
        <w:tc>
          <w:tcPr>
            <w:tcW w:type="dxa" w:w="1187"/>
          </w:tcPr>
          <w:p>
            <w:r>
              <w:rPr/>
              <w:t>详见第二章</w:t>
            </w:r>
          </w:p>
        </w:tc>
        <w:tc>
          <w:tcPr>
            <w:tcW w:type="dxa" w:w="1187"/>
          </w:tcPr>
          <w:p>
            <w:r>
              <w:rPr/>
              <w:t>否</w:t>
            </w:r>
          </w:p>
        </w:tc>
      </w:tr>
      <w:tr>
        <w:tc>
          <w:tcPr>
            <w:tcW w:type="dxa" w:w="1187"/>
          </w:tcPr>
          <w:p>
            <w:r>
              <w:rPr/>
              <w:t>3-2</w:t>
            </w:r>
          </w:p>
        </w:tc>
        <w:tc>
          <w:tcPr>
            <w:tcW w:type="dxa" w:w="1424"/>
          </w:tcPr>
          <w:p>
            <w:r>
              <w:rPr/>
              <w:t>其他网络设备</w:t>
            </w:r>
          </w:p>
        </w:tc>
        <w:tc>
          <w:tcPr>
            <w:tcW w:type="dxa" w:w="2136"/>
          </w:tcPr>
          <w:p>
            <w:r>
              <w:rPr/>
              <w:t>室内彩色半球摄像机</w:t>
            </w:r>
          </w:p>
        </w:tc>
        <w:tc>
          <w:tcPr>
            <w:tcW w:type="dxa" w:w="1187"/>
          </w:tcPr>
          <w:p>
            <w:r>
              <w:rPr/>
              <w:t>253.0000(个)</w:t>
            </w:r>
          </w:p>
        </w:tc>
        <w:tc>
          <w:tcPr>
            <w:tcW w:type="dxa" w:w="1187"/>
          </w:tcPr>
          <w:p>
            <w:r>
              <w:rPr/>
              <w:t>详见第二章</w:t>
            </w:r>
          </w:p>
        </w:tc>
        <w:tc>
          <w:tcPr>
            <w:tcW w:type="dxa" w:w="1187"/>
          </w:tcPr>
          <w:p>
            <w:r>
              <w:rPr/>
              <w:t>否</w:t>
            </w:r>
          </w:p>
        </w:tc>
      </w:tr>
    </w:tbl>
    <w:p/>
    <w:p>
      <w:r>
        <w:rPr/>
        <w:t>本采购包不接受联合体投标</w:t>
      </w:r>
    </w:p>
    <w:p/>
    <w:p>
      <w:r>
        <w:rPr/>
        <w:t>合同履行期限：合同签署之日起，45天完成所有货物的送达、安装和调试。</w:t>
      </w:r>
    </w:p>
    <w:p/>
    <w:p>
      <w:r>
        <w:rPr/>
        <w:t>采购包4(白云校区数据中心二期模块化机房(设备)采购):</w:t>
      </w:r>
    </w:p>
    <w:p>
      <w:r>
        <w:rPr/>
        <w:t>采购包预算金额：3,660,000.00元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4-1</w:t>
            </w:r>
          </w:p>
        </w:tc>
        <w:tc>
          <w:tcPr>
            <w:tcW w:type="dxa" w:w="1424"/>
          </w:tcPr>
          <w:p>
            <w:r>
              <w:rPr/>
              <w:t>其他网络设备</w:t>
            </w:r>
          </w:p>
        </w:tc>
        <w:tc>
          <w:tcPr>
            <w:tcW w:type="dxa" w:w="2136"/>
          </w:tcPr>
          <w:p>
            <w:r>
              <w:rPr/>
              <w:t>市电PDU等设备</w:t>
            </w:r>
          </w:p>
        </w:tc>
        <w:tc>
          <w:tcPr>
            <w:tcW w:type="dxa" w:w="1187"/>
          </w:tcPr>
          <w:p>
            <w:r>
              <w:rPr/>
              <w:t>1.0000(批)</w:t>
            </w:r>
          </w:p>
        </w:tc>
        <w:tc>
          <w:tcPr>
            <w:tcW w:type="dxa" w:w="1187"/>
          </w:tcPr>
          <w:p>
            <w:r>
              <w:rPr/>
              <w:t>详见第二章</w:t>
            </w:r>
          </w:p>
        </w:tc>
        <w:tc>
          <w:tcPr>
            <w:tcW w:type="dxa" w:w="1187"/>
          </w:tcPr>
          <w:p>
            <w:r>
              <w:rPr/>
              <w:t>否</w:t>
            </w:r>
          </w:p>
        </w:tc>
      </w:tr>
      <w:tr>
        <w:tc>
          <w:tcPr>
            <w:tcW w:type="dxa" w:w="1187"/>
          </w:tcPr>
          <w:p>
            <w:r>
              <w:rPr/>
              <w:t>4-2</w:t>
            </w:r>
          </w:p>
        </w:tc>
        <w:tc>
          <w:tcPr>
            <w:tcW w:type="dxa" w:w="1424"/>
          </w:tcPr>
          <w:p>
            <w:r>
              <w:rPr/>
              <w:t>其他网络设备</w:t>
            </w:r>
          </w:p>
        </w:tc>
        <w:tc>
          <w:tcPr>
            <w:tcW w:type="dxa" w:w="2136"/>
          </w:tcPr>
          <w:p>
            <w:r>
              <w:rPr/>
              <w:t>管理主机</w:t>
            </w:r>
          </w:p>
        </w:tc>
        <w:tc>
          <w:tcPr>
            <w:tcW w:type="dxa" w:w="1187"/>
          </w:tcPr>
          <w:p>
            <w:r>
              <w:rPr/>
              <w:t>1.0000(套)</w:t>
            </w:r>
          </w:p>
        </w:tc>
        <w:tc>
          <w:tcPr>
            <w:tcW w:type="dxa" w:w="1187"/>
          </w:tcPr>
          <w:p>
            <w:r>
              <w:rPr/>
              <w:t>详见第二章</w:t>
            </w:r>
          </w:p>
        </w:tc>
        <w:tc>
          <w:tcPr>
            <w:tcW w:type="dxa" w:w="1187"/>
          </w:tcPr>
          <w:p>
            <w:r>
              <w:rPr/>
              <w:t>否</w:t>
            </w:r>
          </w:p>
        </w:tc>
      </w:tr>
    </w:tbl>
    <w:p/>
    <w:p>
      <w:r>
        <w:rPr/>
        <w:t>本采购包不接受联合体投标</w:t>
      </w:r>
    </w:p>
    <w:p/>
    <w:p>
      <w:r>
        <w:rPr/>
        <w:t>合同履行期限：合同签署之日起，45天完成所有货物的送达、安装和调试。</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p>
      <w:pPr>
        <w:jc w:val="left"/>
      </w:pPr>
    </w:p>
    <w:p/>
    <w:p>
      <w:pPr>
        <w:jc w:val="left"/>
      </w:pPr>
    </w:p>
    <w:p/>
    <w:p>
      <w:pPr>
        <w:jc w:val="left"/>
      </w:pPr>
    </w:p>
    <w:p/>
    <w:p/>
    <w:p>
      <w:r>
        <w:rPr>
          <w:b/>
          <w:sz w:val="24"/>
        </w:rPr>
        <w:t>3.本项目特定的资格要求：</w:t>
      </w:r>
    </w:p>
    <w:p>
      <w:pPr>
        <w:ind w:firstLine="480"/>
      </w:pPr>
    </w:p>
    <w:p/>
    <w:p>
      <w:r>
        <w:rPr/>
        <w:t>采购包1（校园网核心和数据中心核心设备）：</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采购包2（校园卡移动支付平台升级）：</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采购包3（白云校区图书馆监控及门禁系统补充建设采购）：</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采购包4（白云校区数据中心二期模块化机房(设备)采购）：</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广东志正招标有限公司（https://www.zztender.com/）</w:t>
      </w:r>
    </w:p>
    <w:p>
      <w:r>
        <w:rPr>
          <w:b/>
          <w:sz w:val="28"/>
        </w:rPr>
        <w:t>六.本项目联系方式：</w:t>
      </w:r>
    </w:p>
    <w:p>
      <w:r>
        <w:rPr>
          <w:b/>
          <w:sz w:val="24"/>
        </w:rPr>
        <w:t>1.采购人信息</w:t>
      </w:r>
    </w:p>
    <w:p>
      <w:pPr>
        <w:ind w:firstLine="480"/>
      </w:pPr>
      <w:r>
        <w:rPr/>
        <w:t>名称：</w:t>
      </w:r>
      <w:r>
        <w:rPr/>
        <w:t>广东技术师范大学</w:t>
      </w:r>
    </w:p>
    <w:p>
      <w:pPr>
        <w:ind w:firstLine="480"/>
      </w:pPr>
      <w:r>
        <w:rPr/>
        <w:t>地址：</w:t>
      </w:r>
      <w:r>
        <w:rPr/>
        <w:t>广州市天河区中山大道西293号</w:t>
      </w:r>
    </w:p>
    <w:p>
      <w:pPr>
        <w:ind w:firstLine="480"/>
      </w:pPr>
      <w:r>
        <w:rPr/>
        <w:t>联系方式：</w:t>
      </w:r>
      <w:r>
        <w:rPr/>
        <w:t>020-38256121</w:t>
      </w:r>
    </w:p>
    <w:p>
      <w:r>
        <w:rPr>
          <w:b/>
          <w:sz w:val="24"/>
        </w:rPr>
        <w:t>2.采购代理机构信息</w:t>
      </w:r>
    </w:p>
    <w:p>
      <w:pPr>
        <w:ind w:firstLine="480"/>
      </w:pPr>
      <w:r>
        <w:rPr/>
        <w:t>名称：</w:t>
      </w:r>
      <w:r>
        <w:rPr/>
        <w:t>广东志正招标有限公司</w:t>
      </w:r>
    </w:p>
    <w:p>
      <w:pPr>
        <w:ind w:firstLine="480"/>
      </w:pPr>
      <w:r>
        <w:rPr/>
        <w:t>地址：</w:t>
      </w:r>
      <w:r>
        <w:rPr/>
        <w:t>广东省广州市天河区龙怡路117号501、503、504、505、506房</w:t>
      </w:r>
    </w:p>
    <w:p>
      <w:pPr>
        <w:ind w:firstLine="480"/>
      </w:pPr>
      <w:r>
        <w:rPr/>
        <w:t>联系方式：</w:t>
      </w:r>
      <w:r>
        <w:rPr/>
        <w:t>020-87554618</w:t>
      </w:r>
    </w:p>
    <w:p>
      <w:r>
        <w:rPr>
          <w:b/>
          <w:sz w:val="24"/>
        </w:rPr>
        <w:t>3.项目联系方式</w:t>
      </w:r>
    </w:p>
    <w:p>
      <w:pPr>
        <w:ind w:firstLine="480"/>
      </w:pPr>
      <w:r>
        <w:rPr/>
        <w:t>项目联系人：</w:t>
      </w:r>
      <w:r>
        <w:rPr/>
        <w:t>李先生、吴小姐</w:t>
      </w:r>
    </w:p>
    <w:p>
      <w:pPr>
        <w:ind w:firstLine="480"/>
      </w:pPr>
      <w:r>
        <w:rPr/>
        <w:t>电话：</w:t>
      </w:r>
      <w:r>
        <w:rPr/>
        <w:t>020-87554618</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广东志正招标有限公司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说明：</w:t>
      </w:r>
      <w:r>
        <w:br/>
      </w:r>
      <w:r>
        <w:rPr>
          <w:sz w:val="21"/>
        </w:rPr>
        <w:t>1.投标人须对本项目为单位（有划分包组的，则以包组为单位）的所有标的物进行整体投标，任何只对其中一部分内容进行的投标都被视为无效投标。</w:t>
      </w:r>
      <w:r>
        <w:br/>
      </w:r>
      <w:r>
        <w:rPr>
          <w:sz w:val="21"/>
        </w:rPr>
        <w:t>2.本招标文件中，凡标有“★”的地方，投标人要特别加以注意，必须对此作出一一响应。若有一项带“★”的指标未响应或不满足，将导致其废标或投标无效。</w:t>
      </w:r>
      <w:r>
        <w:br/>
      </w:r>
      <w:r>
        <w:rPr>
          <w:sz w:val="21"/>
        </w:rPr>
        <w:t>3.</w:t>
      </w:r>
      <w:r>
        <w:rPr>
          <w:b/>
          <w:sz w:val="21"/>
        </w:rPr>
        <w:t>本项目采购包</w:t>
      </w:r>
      <w:r>
        <w:rPr>
          <w:b/>
          <w:sz w:val="21"/>
        </w:rPr>
        <w:t>1核心产品为：数据中心核心设备；采购包2核心产品为：移动服务平台系统；采购包3核心产品为：室内彩色半球摄像机；采购包4核心产品为：管理主机。</w:t>
      </w:r>
    </w:p>
    <w:p>
      <w:pPr>
        <w:jc w:val="both"/>
      </w:pPr>
      <w:r>
        <w:rPr>
          <w:sz w:val="21"/>
        </w:rPr>
        <w:t>注：若存在多项核心产品，当不同供应商提供的任意一项核心产品的品牌相同，则视同其是所响应核心产品品牌相同供应商。</w:t>
      </w:r>
      <w:r>
        <w:br/>
      </w:r>
      <w:r>
        <w:rPr>
          <w:sz w:val="21"/>
        </w:rPr>
        <w:t>4.中小企业声明函中，本项目</w:t>
      </w:r>
      <w:r>
        <w:rPr>
          <w:sz w:val="21"/>
          <w:u w:val="single"/>
        </w:rPr>
        <w:t>广东技术师范大学校园网和校园卡平台升级及图书馆配套项目</w:t>
      </w:r>
      <w:r>
        <w:rPr>
          <w:b/>
          <w:sz w:val="21"/>
        </w:rPr>
        <w:t>属于工业。</w:t>
      </w:r>
      <w:r>
        <w:br/>
      </w:r>
      <w:r>
        <w:br/>
      </w:r>
      <w:r>
        <w:br/>
      </w:r>
      <w:r>
        <w:rPr>
          <w:b/>
          <w:sz w:val="21"/>
        </w:rPr>
        <w:t>采购包</w:t>
      </w:r>
      <w:r>
        <w:rPr>
          <w:b/>
          <w:sz w:val="21"/>
        </w:rPr>
        <w:t>1</w:t>
      </w:r>
      <w:r>
        <w:rPr>
          <w:b/>
          <w:sz w:val="21"/>
        </w:rPr>
        <w:t>概况</w:t>
      </w:r>
      <w:r>
        <w:rPr>
          <w:b/>
          <w:sz w:val="21"/>
        </w:rPr>
        <w:t>：</w:t>
      </w:r>
      <w:r>
        <w:br/>
      </w:r>
      <w:r>
        <w:rPr>
          <w:b/>
          <w:sz w:val="24"/>
        </w:rPr>
        <w:t xml:space="preserve">    </w:t>
      </w:r>
      <w:r>
        <w:rPr>
          <w:sz w:val="21"/>
        </w:rPr>
        <w:t>广东技术师范大学校园网校区互联区域和数据中心流量日益增长，老旧设备性能较低，使用年限久，端口和表项等均无法满足使用需求。此次升级主要解决以下问题：</w:t>
      </w:r>
    </w:p>
    <w:p>
      <w:pPr>
        <w:jc w:val="both"/>
      </w:pPr>
      <w:r>
        <w:rPr>
          <w:sz w:val="21"/>
        </w:rPr>
        <w:t>1、性能问题：随着学校师生人数规模增加，各类业务增多，目前校区互联流量高峰期已达到50G带宽以上，数据中心流量也日益增大，现有核心设备无法保障大流量规模的使用。</w:t>
      </w:r>
    </w:p>
    <w:p>
      <w:pPr>
        <w:jc w:val="both"/>
      </w:pPr>
      <w:r>
        <w:rPr>
          <w:sz w:val="21"/>
        </w:rPr>
        <w:t>2、扩展问题：由于现有的互联核心交换机和数据中心核心交换机已达到10年使用年限，设备老化问题对网络的稳定运行造成隐患，同时设备的大部分引擎板卡、接口板卡均已停产，造成端口、链路升级困难，无后续升级版本等问题。</w:t>
      </w:r>
    </w:p>
    <w:p>
      <w:pPr>
        <w:jc w:val="both"/>
      </w:pPr>
      <w:r>
        <w:rPr>
          <w:sz w:val="21"/>
        </w:rPr>
        <w:t>3、性能问题：目前现有的互联核心交换机和数据中心核心交换机较老旧，年限久，无法支持IPv6的部分特性（如SAVI功能），无法支持整网IPv6升级，在安全可控方面支持较弱。</w:t>
      </w:r>
      <w:r>
        <w:br/>
      </w:r>
      <w:r>
        <w:br/>
      </w:r>
      <w:r>
        <w:rPr>
          <w:b/>
          <w:sz w:val="21"/>
        </w:rPr>
        <w:t>采购包</w:t>
      </w:r>
      <w:r>
        <w:rPr>
          <w:b/>
          <w:sz w:val="21"/>
        </w:rPr>
        <w:t>2</w:t>
      </w:r>
      <w:r>
        <w:rPr>
          <w:b/>
          <w:sz w:val="21"/>
        </w:rPr>
        <w:t>概况</w:t>
      </w:r>
      <w:r>
        <w:rPr>
          <w:b/>
          <w:sz w:val="21"/>
        </w:rPr>
        <w:t>：</w:t>
      </w:r>
      <w:r>
        <w:br/>
      </w:r>
      <w:r>
        <w:rPr>
          <w:b/>
          <w:sz w:val="24"/>
        </w:rPr>
        <w:t xml:space="preserve">  </w:t>
      </w:r>
      <w:r>
        <w:rPr>
          <w:sz w:val="21"/>
        </w:rPr>
        <w:t>（一）广东技术师范大学校园一卡通系统需采用</w:t>
      </w:r>
      <w:r>
        <w:rPr>
          <w:sz w:val="21"/>
        </w:rPr>
        <w:t>“集中式+分布式”的融合式技术架构，需采用融合微服务架构、容器化部署，保障校园一卡通系统的牢固性与移动互联网服务的伸缩性，并且保证系统安全、可靠的同时，保证系统的高并发性，并采购一年的一卡通系统的驻场服务。</w:t>
      </w:r>
    </w:p>
    <w:p>
      <w:pPr>
        <w:jc w:val="both"/>
      </w:pPr>
      <w:r>
        <w:rPr>
          <w:sz w:val="21"/>
        </w:rPr>
        <w:t>此次建设主要解决以下问题：</w:t>
      </w:r>
    </w:p>
    <w:p>
      <w:pPr>
        <w:jc w:val="both"/>
      </w:pPr>
      <w:r>
        <w:rPr>
          <w:sz w:val="21"/>
        </w:rPr>
        <w:t>1.便捷性问题：基于现有校园一卡通系统升级后，用户可通过</w:t>
      </w:r>
      <w:r>
        <w:rPr>
          <w:sz w:val="21"/>
        </w:rPr>
        <w:t>微信</w:t>
      </w:r>
      <w:r>
        <w:rPr>
          <w:sz w:val="21"/>
        </w:rPr>
        <w:t>或支付宝</w:t>
      </w:r>
      <w:r>
        <w:rPr>
          <w:sz w:val="21"/>
        </w:rPr>
        <w:t>客户端</w:t>
      </w:r>
      <w:r>
        <w:rPr>
          <w:sz w:val="21"/>
        </w:rPr>
        <w:t>快速虚拟校园卡应用或校园码界面，提升用户体验；</w:t>
      </w:r>
    </w:p>
    <w:p>
      <w:pPr>
        <w:jc w:val="both"/>
      </w:pPr>
      <w:r>
        <w:rPr>
          <w:sz w:val="21"/>
        </w:rPr>
        <w:t>2.可用性问题：一卡通移动支付实现脱机消费功能，避免移动支付过度依赖网络产生支付过程中各种问题，保证一卡通系统的稳定性。</w:t>
      </w:r>
    </w:p>
    <w:p>
      <w:pPr>
        <w:jc w:val="left"/>
      </w:pPr>
      <w:r>
        <w:rPr>
          <w:sz w:val="21"/>
        </w:rPr>
        <w:t>3.多支付性问题：</w:t>
      </w:r>
      <w:r>
        <w:rPr>
          <w:sz w:val="21"/>
        </w:rPr>
        <w:t>基于现有校园一卡通系统基础上进行扩展，实现微信或支付宝代扣，支持刷校园码扣微信钱包或支付宝余额。</w:t>
      </w:r>
      <w:r>
        <w:br/>
      </w:r>
      <w:r>
        <w:rPr>
          <w:b/>
          <w:sz w:val="21"/>
        </w:rPr>
        <w:t>（二）</w:t>
      </w:r>
      <w:r>
        <w:rPr>
          <w:b/>
          <w:sz w:val="21"/>
        </w:rPr>
        <w:t>采购包</w:t>
      </w:r>
      <w:r>
        <w:rPr>
          <w:b/>
          <w:sz w:val="21"/>
        </w:rPr>
        <w:t>2</w:t>
      </w:r>
      <w:r>
        <w:rPr>
          <w:b/>
          <w:color w:val="000000"/>
          <w:sz w:val="21"/>
        </w:rPr>
        <w:t>人员驻点及维保服务</w:t>
      </w:r>
      <w:r>
        <w:br/>
      </w:r>
      <w:r>
        <w:rPr>
          <w:b/>
          <w:sz w:val="24"/>
        </w:rPr>
        <w:t xml:space="preserve">  </w:t>
      </w:r>
      <w:r>
        <w:rPr>
          <w:color w:val="000000"/>
          <w:sz w:val="21"/>
        </w:rPr>
        <w:t xml:space="preserve"> </w:t>
      </w:r>
      <w:r>
        <w:rPr>
          <w:color w:val="000000"/>
          <w:sz w:val="21"/>
        </w:rPr>
        <w:t>1.★投标人需提供1名经验丰富的技术人员驻场学校一年，提供</w:t>
      </w:r>
      <w:r>
        <w:rPr>
          <w:color w:val="000000"/>
          <w:sz w:val="21"/>
        </w:rPr>
        <w:t>5</w:t>
      </w:r>
      <w:r>
        <w:rPr>
          <w:color w:val="000000"/>
          <w:sz w:val="21"/>
        </w:rPr>
        <w:t>天</w:t>
      </w:r>
      <w:r>
        <w:rPr>
          <w:color w:val="000000"/>
          <w:sz w:val="21"/>
        </w:rPr>
        <w:t>*8小时的响应服务，并需要负责学校所有校区的现有校园一卡通系统软硬件设备的维护服务，包括一卡通数据中心、虚拟校园卡系统、聚合支付平台、卡务中心系统、消费系统、银行圈存系统、收款机、圈存机、一卡通服务大厅系统、一卡通监控系统等；须熟悉学校现有一卡通系统软硬件，能提供故障修复、系统升级、硬件维修等服务。维保期间，无条件更换出现故障设备的相关配件，包含商务网关、POS机、圈存机、电控管理机、电表、水表的所有配件。</w:t>
      </w:r>
    </w:p>
    <w:p>
      <w:pPr>
        <w:ind w:firstLine="420"/>
        <w:jc w:val="left"/>
      </w:pPr>
      <w:r>
        <w:rPr>
          <w:color w:val="000000"/>
          <w:sz w:val="21"/>
        </w:rPr>
        <w:t>2.服务要求：特大故障：整个一卡通系统瘫痪、功能失效为特大故障。特大故障在接报后24小时内系统恢复正常；重大故障：系统局部出现不正常的问题，对局部有严重的影响为重大故障。重大故障在接报后12小时内系统恢复正常；一般故障：系统性能受影响，但用户大部分业务运作仍可正常工作。因设备故障等原因导致该系统不能正常使用或性能不稳定，应在接报后4小时内系统恢复正常；轻微故障：影响个别用户使用、或不影响正常使用的情况。接报后3天内修复；软件故障或异常：接报后应在24小时内恢复系统正常运行，提供解决方案或措施，并向学校提交切实可行的解决方案和时间表；同类故障在30天内连续出现2次以上，向学校管理部门提交故障评估报告和整改方案；以上如不能在约定时间修复的，在约定期内提出书面报告，确定最终修复期限。</w:t>
      </w:r>
    </w:p>
    <w:p>
      <w:pPr>
        <w:ind w:firstLine="420"/>
        <w:jc w:val="left"/>
      </w:pPr>
      <w:r>
        <w:rPr>
          <w:color w:val="000000"/>
          <w:sz w:val="21"/>
        </w:rPr>
        <w:t>3.维修质量：原则上必须更换同品牌、型号。如为替代品必须不低于原有的设备技术参数，不影响系统的正常使用功能，单价不高于原报价，且必须经过广东技术师范大学相关部门确认；原件交广东技术师范大学回收；功能性维修(配件更换维修)后设备运转正常，对其它非维修的零配件或系 统整体性能、运行寿命没有影响；维修施工工艺符合行业标准，外观良好；软件功能正常、运行稳定，速度无明显异常。</w:t>
      </w:r>
      <w:r>
        <w:br/>
      </w:r>
      <w:r>
        <w:rPr>
          <w:b/>
          <w:color w:val="000000"/>
          <w:sz w:val="21"/>
        </w:rPr>
        <w:t>（三）对于移动服务平台系统与统一支付平台两项软件系统的采购要求</w:t>
      </w:r>
      <w:r>
        <w:br/>
      </w:r>
      <w:r>
        <w:rPr>
          <w:color w:val="000000"/>
          <w:sz w:val="21"/>
        </w:rPr>
        <w:t xml:space="preserve">   </w:t>
      </w:r>
      <w:r>
        <w:rPr>
          <w:color w:val="000000"/>
          <w:sz w:val="21"/>
        </w:rPr>
        <w:t>1.要求提供至少三年无条件质保服务，质保期内无条件提供软件升级，功能完善、性能提升和故障排除等售后服务。质保期内外系统存在安全缺陷、安全风险等，均需提供修补和消除服务。</w:t>
      </w:r>
    </w:p>
    <w:p>
      <w:pPr>
        <w:ind w:firstLine="420"/>
        <w:jc w:val="left"/>
      </w:pPr>
      <w:r>
        <w:rPr>
          <w:color w:val="000000"/>
          <w:sz w:val="21"/>
        </w:rPr>
        <w:t>2.在售后服务期内，无条件提供本项目中软件系统及与其相关的服务器操作系统、中间件、数据库的安全漏洞修复、版本升级服务，每年提供不少于两次的系统操作培训服务。</w:t>
      </w:r>
    </w:p>
    <w:p>
      <w:pPr>
        <w:ind w:firstLine="420"/>
        <w:jc w:val="left"/>
      </w:pPr>
      <w:r>
        <w:rPr>
          <w:color w:val="000000"/>
          <w:sz w:val="21"/>
        </w:rPr>
        <w:t>3.安全性要求</w:t>
      </w:r>
    </w:p>
    <w:p>
      <w:pPr>
        <w:ind w:firstLine="420"/>
        <w:jc w:val="left"/>
      </w:pPr>
      <w:r>
        <w:rPr>
          <w:color w:val="000000"/>
          <w:sz w:val="21"/>
        </w:rPr>
        <w:t>3.1本项目的软件系统应能达到国家信息系统安全等级保护二级或以上标准要求，系统正式验收前必须通过具备资质的第三方机构软件安全检测，提供安全检测报告,并且取得当地公安网监部门的定级备案证明证书。中标供应商须配合用户按国家信息系统等级保护要求完成系统的安全测评与整改的相关工作，本项相关费用由中标供应商承担；</w:t>
      </w:r>
    </w:p>
    <w:p>
      <w:pPr>
        <w:ind w:firstLine="420"/>
        <w:jc w:val="both"/>
      </w:pPr>
      <w:r>
        <w:rPr>
          <w:color w:val="000000"/>
          <w:sz w:val="21"/>
        </w:rPr>
        <w:t>3.2中标供应商需与学校签订《信息系统建设网络安全责任协议》和《信息系统建设信息安全保密协议》。</w:t>
      </w:r>
      <w:r>
        <w:br/>
      </w:r>
      <w:r>
        <w:br/>
      </w:r>
      <w:r>
        <w:rPr>
          <w:b/>
          <w:sz w:val="21"/>
        </w:rPr>
        <w:t>采购包</w:t>
      </w:r>
      <w:r>
        <w:rPr>
          <w:b/>
          <w:sz w:val="21"/>
        </w:rPr>
        <w:t>3</w:t>
      </w:r>
      <w:r>
        <w:rPr>
          <w:b/>
          <w:sz w:val="21"/>
        </w:rPr>
        <w:t>概况</w:t>
      </w:r>
      <w:r>
        <w:rPr>
          <w:b/>
          <w:sz w:val="21"/>
        </w:rPr>
        <w:t>：</w:t>
      </w:r>
      <w:r>
        <w:br/>
      </w:r>
      <w:r>
        <w:rPr>
          <w:b/>
          <w:sz w:val="24"/>
        </w:rPr>
        <w:t xml:space="preserve">    </w:t>
      </w:r>
      <w:r>
        <w:rPr>
          <w:sz w:val="21"/>
        </w:rPr>
        <w:t>本项目为广东技术师范大学白云校区图书馆信息化设计中图书馆的公共区域进行视频监控设计和门禁系统的建设。项目中监控摄像头</w:t>
      </w:r>
      <w:r>
        <w:rPr>
          <w:sz w:val="21"/>
        </w:rPr>
        <w:t>303个及门禁系统作为系统补充建设配套项目，主要解决以下问题：</w:t>
      </w:r>
    </w:p>
    <w:p>
      <w:pPr>
        <w:jc w:val="both"/>
      </w:pPr>
      <w:r>
        <w:rPr>
          <w:sz w:val="21"/>
        </w:rPr>
        <w:t>1.满足监控系统中的所需的摄像头设备303个，部署于走廊、楼梯及重要的监控区域等重要场景中。配置高清网络枪机、半球等网络设备，通过音视频编码技术，进行音视频数据的传输，实现对校园全方位、全天候的全面监控。</w:t>
      </w:r>
    </w:p>
    <w:p>
      <w:pPr>
        <w:jc w:val="both"/>
      </w:pPr>
      <w:r>
        <w:rPr>
          <w:sz w:val="21"/>
        </w:rPr>
        <w:t>2.满足本项目各视频监控接入点位，在满足接入端口的同时，要求传输网络有较好的性能，要求有较高的稳定性、较好的传输带宽，与现有学校监控的网络系统完全兼容，能统一管理等等。</w:t>
      </w:r>
    </w:p>
    <w:p>
      <w:pPr>
        <w:jc w:val="both"/>
      </w:pPr>
      <w:r>
        <w:rPr>
          <w:sz w:val="21"/>
        </w:rPr>
        <w:t>3.门禁系统的建设采用支持“卡、码、脸”开锁方式，支持使用师生的校园卡（新中新），支持对接学校现有人脸库平台（天津新泰基业电子股份有限公司产品）、统一身份认证平台（联奕科技股份有限公司）、企业微信以及将要建设的“一网通办”平台的公共资源预约系统。</w:t>
      </w:r>
      <w:r>
        <w:br/>
      </w:r>
      <w:r>
        <w:rPr>
          <w:b/>
          <w:sz w:val="21"/>
        </w:rPr>
        <w:t>采购包</w:t>
      </w:r>
      <w:r>
        <w:rPr>
          <w:b/>
          <w:sz w:val="21"/>
        </w:rPr>
        <w:t>4</w:t>
      </w:r>
      <w:r>
        <w:rPr>
          <w:b/>
          <w:sz w:val="21"/>
        </w:rPr>
        <w:t>概况</w:t>
      </w:r>
      <w:r>
        <w:rPr>
          <w:b/>
          <w:sz w:val="21"/>
        </w:rPr>
        <w:t>：</w:t>
      </w:r>
      <w:r>
        <w:br/>
      </w:r>
      <w:r>
        <w:rPr>
          <w:b/>
          <w:sz w:val="24"/>
        </w:rPr>
        <w:t xml:space="preserve">    </w:t>
      </w:r>
      <w:r>
        <w:rPr>
          <w:sz w:val="21"/>
        </w:rPr>
        <w:t>本项目白云校区现有数据中心（一期）机房建设年限已久（建于</w:t>
      </w:r>
      <w:r>
        <w:rPr>
          <w:sz w:val="21"/>
        </w:rPr>
        <w:t>2011年），机房基础设施设备使用周期长，基础环境设施设备陈旧，性能低下，设备能耗比较高，故障频发，基础强弱电线路老化，机房气体消防简陋老化，动力环境监控管理落后，不利于新设备的运营和不便于新设备的管理；同时机房面积规模偏小，功能区域规划不完善，更不能达到现行新标准GB50174--2017《数据中心设计规范》和GB/T 22239-2019《网络安全等级保护基本要求》。现有机房环境局限性不能顺应我校信息化的发展，已直接影响到设备系统的稳定性、可靠性，使用效率和寿命。</w:t>
      </w:r>
    </w:p>
    <w:p>
      <w:pPr>
        <w:jc w:val="both"/>
      </w:pPr>
      <w:r>
        <w:rPr>
          <w:sz w:val="21"/>
        </w:rPr>
        <w:t>随着我校信息与通信网络建设的飞速发展，需要大量数据的传输，需要保障各机房之间数据传输顺畅，需要保证数据中心的稳定性及数据的安全性。因此，我校需要建设白云数据中心二期模块化机房（设备），对数据的处理、存储进行集中，以提高稳定性并有效降低了运行及维护成本，并提高数据中心的安全可靠性。</w:t>
      </w:r>
    </w:p>
    <w:p/>
    <w:p>
      <w:pPr>
        <w:ind w:firstLine="480"/>
      </w:pPr>
    </w:p>
    <w:p/>
    <w:p>
      <w:r>
        <w:rPr/>
        <w:t>采购包1（校园网核心和数据中心核心设备）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合同签署之日起，45天完成所有货物的送达、安装和调试。</w:t>
            </w:r>
          </w:p>
        </w:tc>
      </w:tr>
      <w:tr>
        <w:tc>
          <w:tcPr>
            <w:tcW w:type="dxa" w:w="4153"/>
          </w:tcPr>
          <w:p>
            <w:r>
              <w:rPr/>
              <w:t>标的提供的地点</w:t>
            </w:r>
          </w:p>
        </w:tc>
        <w:tc>
          <w:tcPr>
            <w:tcW w:type="dxa" w:w="4153"/>
          </w:tcPr>
          <w:p/>
          <w:p>
            <w:r>
              <w:rPr/>
              <w:t>广东省广州市天河区中山大道293号</w:t>
            </w:r>
          </w:p>
        </w:tc>
      </w:tr>
      <w:tr>
        <w:tc>
          <w:tcPr>
            <w:tcW w:type="dxa" w:w="4153"/>
          </w:tcPr>
          <w:p>
            <w:r>
              <w:rPr/>
              <w:t>付款方式</w:t>
            </w:r>
          </w:p>
        </w:tc>
        <w:tc>
          <w:tcPr>
            <w:tcW w:type="dxa" w:w="4153"/>
          </w:tcPr>
          <w:p/>
          <w:p/>
          <w:p>
            <w:r>
              <w:rPr/>
              <w:t>1期：支付比例30%,1.投标人中标后，按采购人要求开立一个由采购人与中标人双方及银行三方监管的账户。 2.签订合同3个工作日内，中标人开具合同等额的增值税专用发票交采购人向银行申请资金，经银行审核同意后，采购人将合同金额的100%合同款支付至三方监管账户。（若中标人为中小企业，采购人按照政府采购相关规定支付合同金额的30%预付款，中标人可从三方监管账户转出该款项。）</w:t>
            </w:r>
          </w:p>
          <w:p/>
          <w:p>
            <w:r>
              <w:rPr/>
              <w:t>2期：支付比例70%,3.合同设备按采购人要求全部交付到指定地点、完成安装及验收合格后，凭加盖采购人公章的调试验收使用意见，中标人向采购人付合同金额的5%作为履约保证金后，采购人同意中标人转出三方监管账户全部资金。 4.5%的履约保证金在项目验收合格满一年后，由中标人提出申请，凭用户出具的无质量及违约问题的证明及保证金收据，采购人在十五个工作日内（寒暑假顺延）无息退还给中标人。</w:t>
            </w:r>
          </w:p>
        </w:tc>
      </w:tr>
      <w:tr>
        <w:tc>
          <w:tcPr>
            <w:tcW w:type="dxa" w:w="4153"/>
          </w:tcPr>
          <w:p>
            <w:r>
              <w:rPr/>
              <w:t>验收要求</w:t>
            </w:r>
          </w:p>
        </w:tc>
        <w:tc>
          <w:tcPr>
            <w:tcW w:type="dxa" w:w="4153"/>
          </w:tcPr>
          <w:p/>
          <w:p/>
          <w:p/>
          <w:p>
            <w:r>
              <w:rPr/>
              <w:t>1期：1.验收应在采购人和中标人双方共同参加下按国家有关的规定、规范进行。交付验收标准依次序对照适用标准为：①符合中华人民共和国国家安全质量标准、环保标准或行业标准；②符合招标文件和投标承诺中采购人认可的合理最佳配置、参数及各项要求；③货物来源国官方标准。 2.货物为原厂商未启封全新包装，据出厂合格证，序列号、包装箱号与出厂批号一致，并可追索查阅，所有随设备的附件必须齐全。如发现所交付的设备有短装、次品、损坏或其它不符合招标文件规定之情形者，采购人应做出详尽的现场记录，或由采购人和中标人双方签署备忘录。此现场记录或备忘录可用作补充、缺失和更换损坏部件的有效证据。由此产生的有关费用由中标人承担。 3.采购人按照合同规定的技术、服务、安全标准组织对中标人履约情况进行验收，并出具验收报告。验收报告应当包括每一项技术、服务、安全标准的履约情况。 4.中标人将货物的用户手册、保修手册、有关单证资料及备品备件、随机工具等交付给采购人，使用操作及安全须知等重要资料应附有中文说明。 5.货物验收所发生的检验费用由中标人负担。 6.采购人组成验收小组，按照采购合同规定的技术、服务、安全标准组织对中标人履约情况进行验收。因货物质量问题发生争议时，由采购人本地市场监督管理部门鉴定。货物符合质量技术标准的，鉴定费由采购人承担；否则鉴定费由中标人承担。 7.中标人提供的技术参数数据须是真实可靠的，如果采购人验收时设备达不到所承诺的技术指标，中标人须无条件退货并重新提供符合所承诺技术指标的设备。</w:t>
            </w:r>
          </w:p>
        </w:tc>
      </w:tr>
      <w:tr>
        <w:tc>
          <w:tcPr>
            <w:tcW w:type="dxa" w:w="4153"/>
          </w:tcPr>
          <w:p>
            <w:r>
              <w:rPr/>
              <w:t>履约保证金</w:t>
            </w:r>
          </w:p>
        </w:tc>
        <w:tc>
          <w:tcPr>
            <w:tcW w:type="dxa" w:w="4153"/>
          </w:tcPr>
          <w:p/>
          <w:p/>
          <w:p/>
          <w:p/>
          <w:p>
            <w:r>
              <w:rPr/>
              <w:t>收取比例：5%,说明：1.项目所有设备经采购人验收合格后，中标人在五个工作日内向采购人支付合同价款5%作为履约保证金； 2.验收满一年后，货物无质量问题，自中标人提交申请材料后，凭用户出具的无质量及违约问题的证明及保证金收据，在十五个工作日内（寒暑假顺延）无息退还中标人的5%履约保证金。</w:t>
            </w:r>
          </w:p>
        </w:tc>
      </w:tr>
      <w:tr>
        <w:tc>
          <w:tcPr>
            <w:tcW w:type="dxa" w:w="4153"/>
          </w:tcPr>
          <w:p>
            <w:r>
              <w:rPr/>
              <w:t>其他</w:t>
            </w:r>
          </w:p>
        </w:tc>
        <w:tc>
          <w:tcPr>
            <w:tcW w:type="dxa" w:w="4153"/>
          </w:tcPr>
          <w:p/>
          <w:p/>
          <w:p>
            <w:r>
              <w:rPr/>
              <w:t>风险提示，参与本项目竞争的供应商应充分考虑，项目因不可控因素影响，导致学校终止采购活动或者终止合同履行等情况，并做好风险防范。</w:t>
            </w:r>
          </w:p>
          <w:p/>
          <w:p>
            <w:r>
              <w:rPr/>
              <w:t>其他，1.服务要求 投标人对所投设备及软件系统提供至少三年的无条件保修及技术支持服务。（费用包含在投标报价中，采购人不额外支付任何费用。） 2.保修期 针对本项目所有设备和软件系统，应提供无条件至少三年售后服务。保修期内，中标人对所有设备提供7*24小时无条件上门维护服务，无条件提供人工、部件。（费用包含在投标报价中，采购人不额外支付任何费用。） 3.售后要求 （1）所有设备保修期均为整机无条件（人工+配件）上门保修至少三年。（费用包含在投标报价中，采购人不额外支付任何费用。） （2）在各设备或配件的保修期内发生故障，由中标人负责联系厂家进行维修或更换。 （3）保修期间采购人所购设备各部件发生非人为故障中标人应无条件上门更换同种品牌不低于原规格型号的新部件。对于不能明确是否是硬件出现故障时，中标人应尽力配合采购人进行检查，在必要时，能在上述响应时间内到达现场协助排除问题。 （4）保修期间，同一硬件一个月内连续2次出现同一故障，中标人须无偿更换不低于同一档次机器。 （5）投标人应提供交货地点厂家维修部的电话及联系人，采购人报修后，采购人所在地的厂家维修部，须在4个小时内响应，并在6个小时内派员上门现场维护，须在12个小时内解决问题。在12个小时内不能解决问题的机器，应在24小时内提供同档次的机器给采购人代用。投标人须在售后服务承诺中承诺维修人员到场维修的时间。 （6）中标人负责对采购人受训人员进行操作、维修培训，直至采购人能熟练操作为止。 4.培训要求 （1）中标人为采购人提供操作及维护培训，主要内容为设备的基本结构、性能、主要部件的构造及原理，日常使用操作、保养与管理，常见故障的排除，紧急情况的处理等，培训地点主要在设备安装现场或按双方协商.</w:t>
            </w:r>
          </w:p>
        </w:tc>
      </w:tr>
    </w:tbl>
    <w:p>
      <w:r>
        <w:rPr>
          <w:b/>
        </w:rPr>
        <w:t>2.技术标准与要求</w:t>
      </w:r>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其他网络控制设备</w:t>
            </w:r>
          </w:p>
        </w:tc>
        <w:tc>
          <w:tcPr>
            <w:tcW w:type="dxa" w:w="831"/>
          </w:tcPr>
          <w:p>
            <w:pPr>
              <w:jc w:val="left"/>
            </w:pPr>
            <w:r>
              <w:rPr/>
              <w:t>数据中心核心设备</w:t>
            </w:r>
          </w:p>
        </w:tc>
        <w:tc>
          <w:tcPr>
            <w:tcW w:type="dxa" w:w="831"/>
          </w:tcPr>
          <w:p>
            <w:pPr>
              <w:jc w:val="left"/>
            </w:pPr>
            <w:r>
              <w:rPr/>
              <w:t>台</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其他网络控制设备</w:t>
            </w:r>
          </w:p>
        </w:tc>
        <w:tc>
          <w:tcPr>
            <w:tcW w:type="dxa" w:w="831"/>
          </w:tcPr>
          <w:p>
            <w:pPr>
              <w:jc w:val="left"/>
            </w:pPr>
            <w:r>
              <w:rPr/>
              <w:t>互联核心设备</w:t>
            </w:r>
          </w:p>
        </w:tc>
        <w:tc>
          <w:tcPr>
            <w:tcW w:type="dxa" w:w="831"/>
          </w:tcPr>
          <w:p>
            <w:pPr>
              <w:jc w:val="left"/>
            </w:pPr>
            <w:r>
              <w:rPr/>
              <w:t>台</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w:t>
            </w:r>
          </w:p>
        </w:tc>
      </w:tr>
    </w:tbl>
    <w:p/>
    <w:p>
      <w:r>
        <w:rPr>
          <w:b/>
        </w:rPr>
        <w:t>附表</w:t>
      </w:r>
      <w:r>
        <w:rPr>
          <w:b/>
        </w:rPr>
        <w:t>一</w:t>
      </w:r>
      <w:r>
        <w:rPr>
          <w:b/>
        </w:rPr>
        <w:t>：</w:t>
      </w:r>
      <w:r>
        <w:rPr>
          <w:b/>
        </w:rPr>
        <w:t>数据中心核心设备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color w:val="000000"/>
                <w:sz w:val="21"/>
              </w:rPr>
              <w:t>1. 采用正交CLOS交换架构，交换网板与线卡成垂直90°正交连接且与主控引擎、业务板硬件分离；需提供产品清晰正、背面实物照片以展示各插槽分布。</w:t>
            </w:r>
          </w:p>
          <w:p>
            <w:pPr>
              <w:jc w:val="left"/>
            </w:pPr>
            <w:r>
              <w:rPr>
                <w:color w:val="000000"/>
                <w:sz w:val="21"/>
              </w:rPr>
              <w:t>2. 要求交换网板与主控引擎硬件槽位分离，独立主控引擎插槽≥2个，独立业务插槽≥8个，独立交换网板插槽≥4个。</w:t>
            </w:r>
          </w:p>
          <w:p>
            <w:pPr>
              <w:jc w:val="left"/>
            </w:pPr>
            <w:r>
              <w:rPr>
                <w:color w:val="000000"/>
                <w:sz w:val="21"/>
              </w:rPr>
              <w:t>3. 为提高可靠性和散热性能，支持模块化风扇框≥2，风扇框同物理尺寸规格，可任意框任意安装，支持风扇框1+1冗余，风扇框内部风扇采用串联设计，提供具有CMA或CAL或CNAS认证章的第三方机构检验报告证明。</w:t>
            </w:r>
          </w:p>
          <w:p>
            <w:pPr>
              <w:jc w:val="left"/>
            </w:pPr>
            <w:r>
              <w:rPr>
                <w:color w:val="000000"/>
                <w:sz w:val="21"/>
              </w:rPr>
              <w:t>4.★ 本期需实际配置≥12 个100G以太网光口接口，≥36个SFP+万兆接口，≥48个千兆电口，≥2个主控引擎，≥2个交换网板，≥2个电源模块，需实配</w:t>
            </w:r>
            <w:r>
              <w:rPr>
                <w:sz w:val="21"/>
              </w:rPr>
              <w:t>≥</w:t>
            </w:r>
            <w:r>
              <w:rPr>
                <w:color w:val="000000"/>
                <w:sz w:val="21"/>
              </w:rPr>
              <w:t>6个40G单模光模块，</w:t>
            </w:r>
            <w:r>
              <w:rPr>
                <w:sz w:val="21"/>
              </w:rPr>
              <w:t>≥</w:t>
            </w:r>
            <w:r>
              <w:rPr>
                <w:color w:val="000000"/>
                <w:sz w:val="21"/>
              </w:rPr>
              <w:t>10个10G单模光模块；</w:t>
            </w:r>
          </w:p>
          <w:p>
            <w:pPr>
              <w:jc w:val="left"/>
            </w:pPr>
            <w:r>
              <w:rPr>
                <w:color w:val="000000"/>
                <w:sz w:val="21"/>
              </w:rPr>
              <w:t>5.交换容量≥520T，包转发速率≥96000Mpps；</w:t>
            </w:r>
          </w:p>
          <w:p>
            <w:pPr>
              <w:jc w:val="left"/>
            </w:pPr>
            <w:r>
              <w:rPr>
                <w:color w:val="000000"/>
                <w:sz w:val="21"/>
              </w:rPr>
              <w:t>6.为提高设备面板空间利用率，提高整机扩展性，要求采用高密度端口设计，所投产品单张业务卡最大可用物理端口≥52个，整机转发业务物理端口≥416个；提供官网截图及链接证明。</w:t>
            </w:r>
          </w:p>
          <w:p>
            <w:pPr>
              <w:jc w:val="left"/>
            </w:pPr>
            <w:r>
              <w:rPr>
                <w:color w:val="000000"/>
                <w:sz w:val="21"/>
              </w:rPr>
              <w:t>7. 为了满足下一代数据中心建设要求，核心交换机100G端口在负载100%的情况下每端口功率需要≤10W，提供具有CMA或CAL或CNAS认证章的第三方机构检验报告证明。</w:t>
            </w:r>
          </w:p>
          <w:p>
            <w:pPr>
              <w:jc w:val="left"/>
            </w:pPr>
            <w:r>
              <w:rPr>
                <w:color w:val="000000"/>
                <w:sz w:val="21"/>
              </w:rPr>
              <w:t>8．为了满足下一代数据中心建设要求，核心交换机10G端口在负载100%的情况下每端口功率需要≤2.2W，提供具有CMA或CAL或CNAS认证章的第三方机构检验报告证明。</w:t>
            </w:r>
          </w:p>
          <w:p>
            <w:pPr>
              <w:jc w:val="left"/>
            </w:pPr>
            <w:r>
              <w:rPr>
                <w:color w:val="000000"/>
                <w:sz w:val="21"/>
              </w:rPr>
              <w:t>9.  N:1虚拟化：可将多台物理设备虚拟化为1台逻辑设备，虚拟组内设备具备统一的二层及三层转发表项，并可实现跨设备链路聚合；</w:t>
            </w:r>
          </w:p>
          <w:p>
            <w:pPr>
              <w:jc w:val="left"/>
            </w:pPr>
            <w:r>
              <w:rPr>
                <w:color w:val="000000"/>
                <w:sz w:val="21"/>
              </w:rPr>
              <w:t>10. 支持VXLAN桥模式，VXLAN路由模式，支持MP-BGP EVPN；</w:t>
            </w:r>
          </w:p>
          <w:p>
            <w:pPr>
              <w:jc w:val="left"/>
            </w:pPr>
            <w:r>
              <w:rPr>
                <w:color w:val="000000"/>
                <w:sz w:val="21"/>
              </w:rPr>
              <w:t>11．支持STP、 RSTP、 MSTP，支持端口聚合，支持一对一镜像、多对一镜像、一对多镜像，支持流镜像，支持SPAN、RSPAN远程镜像，支持VLAN镜像；</w:t>
            </w:r>
          </w:p>
          <w:p>
            <w:pPr>
              <w:jc w:val="left"/>
            </w:pPr>
            <w:r>
              <w:rPr>
                <w:color w:val="000000"/>
                <w:sz w:val="21"/>
              </w:rPr>
              <w:t>12. 支持静RIP、RIPng、OSPFv2、OSPFv3、BGP、BGP4+、ISIS、ISISv6，支持等价路由、策略路由。支持GR for OSPF/IS-IS/BGP，支持手动隧道，自动隧道，ISATAP，GRE隧道；</w:t>
            </w:r>
          </w:p>
          <w:p>
            <w:pPr>
              <w:jc w:val="left"/>
            </w:pPr>
            <w:r>
              <w:rPr>
                <w:color w:val="000000"/>
                <w:sz w:val="21"/>
              </w:rPr>
              <w:t>13. 支持MPLS功能，支持MPLS L3VPN，MPLS 6VPE。</w:t>
            </w:r>
          </w:p>
          <w:p>
            <w:pPr>
              <w:jc w:val="left"/>
            </w:pPr>
            <w:r>
              <w:rPr>
                <w:color w:val="000000"/>
                <w:sz w:val="21"/>
              </w:rPr>
              <w:t>14. 支持基于GRPC的Telemetry技术，实现对CPU、内存等信息的周期性采集。</w:t>
            </w:r>
          </w:p>
          <w:p>
            <w:pPr>
              <w:jc w:val="left"/>
            </w:pPr>
            <w:r>
              <w:rPr>
                <w:color w:val="000000"/>
                <w:sz w:val="21"/>
              </w:rPr>
              <w:t>15．支持光口保护电路设计，可监测光模块运行状态：即系统可即时识别光模块短路状态、并将故障模块隔离，确保其不影响其它端口和整机的正常运行；更换模块后该端口也可马上恢复正常工作状态。提供具有CMA或CAL或CNAS认证章的第三方机构检验报告证明。</w:t>
            </w:r>
          </w:p>
          <w:p>
            <w:pPr>
              <w:jc w:val="left"/>
            </w:pPr>
            <w:r>
              <w:rPr>
                <w:color w:val="000000"/>
                <w:sz w:val="21"/>
              </w:rPr>
              <w:t>16. 为提供设备冗余度和芯片可靠性，要求支持硬件层级双boot，采用两个FLASH芯片存储boot软件（系统引导程序），实现硬件级boot冗余备份，避免因FLASH芯片故障导致交换机无法启动；提供具有CMA或CAL或CNAS认证章的第三方机构检验报告证明。</w:t>
            </w:r>
          </w:p>
          <w:p>
            <w:pPr>
              <w:jc w:val="left"/>
            </w:pPr>
            <w:r>
              <w:rPr>
                <w:color w:val="000000"/>
                <w:sz w:val="21"/>
              </w:rPr>
              <w:t>17. ▲支持全解耦的组件化操作系统，支持组件在线安装升级，组件间出现问题互相不影响；提供具有CMA或CAL或CNAS认证章的第三方机构检验报告证明。</w:t>
            </w:r>
          </w:p>
          <w:p>
            <w:pPr>
              <w:jc w:val="left"/>
            </w:pPr>
            <w:r>
              <w:rPr>
                <w:color w:val="000000"/>
                <w:sz w:val="21"/>
              </w:rPr>
              <w:t>18. 支持业务逻辑与状态分离，业务状态持久化处理，业务级异常从持久化状态中秒级恢复；提供具有CMA或CAL或CNAS认证章的第三方机构检验报告证明。</w:t>
            </w:r>
          </w:p>
          <w:p>
            <w:pPr>
              <w:jc w:val="left"/>
            </w:pPr>
            <w:r>
              <w:rPr>
                <w:color w:val="000000"/>
                <w:sz w:val="21"/>
              </w:rPr>
              <w:t>19. ▲为提高部署效率，要求设备出厂预置管理软件，可实现即插即用和零配置上线；出厂预置业务模板，可通过excel批量导入或通过楼栋交换机，绑定设备区域位置，完成交换机自动上线获取正确的配置；支持自适应不同接入设备替换，同时支持端口盲插，可自适应端口接错线，端口配置自动跟随业务走；提供具有CMA或CAL或CNAS认证章的第三方机构检验报告证明。</w:t>
            </w:r>
          </w:p>
          <w:p>
            <w:pPr>
              <w:jc w:val="left"/>
            </w:pPr>
            <w:r>
              <w:rPr>
                <w:color w:val="000000"/>
                <w:sz w:val="21"/>
              </w:rPr>
              <w:t>20.</w:t>
            </w:r>
            <w:r>
              <w:rPr>
                <w:sz w:val="21"/>
              </w:rPr>
              <w:t>提供网络关键设备安全检测证书。</w:t>
            </w:r>
          </w:p>
          <w:p>
            <w:pPr>
              <w:jc w:val="left"/>
            </w:pPr>
            <w:r>
              <w:rPr>
                <w:color w:val="000000"/>
                <w:sz w:val="21"/>
              </w:rPr>
              <w:t>21.为保证IPv6的可部署性和应用性，核心交换机需具备IPv6 Ready Phase2认证证书，要求投标产品型号与获证产品型号一致，提供检测证书以及证书查询链接和截图。</w:t>
            </w:r>
          </w:p>
          <w:p>
            <w:pPr>
              <w:jc w:val="both"/>
            </w:pPr>
            <w:r>
              <w:rPr>
                <w:color w:val="000000"/>
                <w:sz w:val="21"/>
              </w:rPr>
              <w:t>22. ▲要求与学校现有的安全认证计费系统（RG-SAM+）无缝对接，支持构建大二层统一认证组网，为满足实际需求，如需要进行测试、接口开发、追加设备所产生的任何额外费用由投标人承担，须提供兼容性承诺或声明。</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互联核心设备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1．采用正交CLOS交换架构，交换网板与线卡成垂直90°正交连接且与主控引擎、业务板硬件分离；需提供产品清晰正、背面实物照片以展示各插槽分布。</w:t>
            </w:r>
          </w:p>
          <w:p>
            <w:pPr>
              <w:jc w:val="both"/>
            </w:pPr>
            <w:r>
              <w:rPr>
                <w:sz w:val="21"/>
              </w:rPr>
              <w:t>2．要求交换网板与主控引擎硬件槽位分离，独立主控引擎插槽≥2个，独立业务插槽≥12个，独立交换网板插槽≥4个。</w:t>
            </w:r>
          </w:p>
          <w:p>
            <w:pPr>
              <w:jc w:val="both"/>
            </w:pPr>
            <w:r>
              <w:rPr>
                <w:sz w:val="21"/>
              </w:rPr>
              <w:t>3．▲为提高可靠性和散热性能，要求设备支持模块化风扇框≥2，风扇框同物理尺寸规格，可任意框任意安装，支持风扇框1+1冗余；风扇框内部风扇采用串联设计。提供具有CMA或CAL或CNAS认证章的第三方机构检验报告证明。</w:t>
            </w:r>
          </w:p>
          <w:p>
            <w:pPr>
              <w:jc w:val="both"/>
            </w:pPr>
            <w:r>
              <w:rPr>
                <w:sz w:val="21"/>
              </w:rPr>
              <w:t>4．本期需实际配置≥12 个100G以太网光口，≥32个SFP+万兆接口，≥2 个主控引擎，≥2个交换网板，≥2个电源模块，需实配≥8个40G单模光模块，≥10个10G单模光模块。</w:t>
            </w:r>
          </w:p>
          <w:p>
            <w:pPr>
              <w:jc w:val="both"/>
            </w:pPr>
            <w:r>
              <w:rPr>
                <w:sz w:val="21"/>
              </w:rPr>
              <w:t>5．交换容量≥1040T，包转发速率≥192,000Mpps</w:t>
            </w:r>
          </w:p>
          <w:p>
            <w:pPr>
              <w:jc w:val="both"/>
            </w:pPr>
            <w:r>
              <w:rPr>
                <w:sz w:val="21"/>
              </w:rPr>
              <w:t>6．为提高设备面板空间利用率，提高整机扩展性，要求采用高密度端口设计，单张业务卡最大可用物理端口≥52个，整机转发业务物理端口≥624个；提供官网截图及链接证明。</w:t>
            </w:r>
          </w:p>
          <w:p>
            <w:pPr>
              <w:jc w:val="both"/>
            </w:pPr>
            <w:r>
              <w:rPr>
                <w:sz w:val="21"/>
              </w:rPr>
              <w:t>7. 为了满足下一代校园网节能与可靠性建设要求，核心交换机100G端口在负载100%的情况下每端口功率需要≤10W，提供具有CMA或CAL或CNAS认证章的第三方机构检验报告证明。</w:t>
            </w:r>
          </w:p>
          <w:p>
            <w:pPr>
              <w:jc w:val="both"/>
            </w:pPr>
            <w:r>
              <w:rPr>
                <w:sz w:val="21"/>
              </w:rPr>
              <w:t>8．为了满足下一代校园网节能与可靠性建设要求，核心交换机10G端口在负载100%的情况下每端口功率需要≤2.2W，提供具有CMA或CAL或CNAS认证章的第三方机构检验报告证明。</w:t>
            </w:r>
          </w:p>
          <w:p>
            <w:pPr>
              <w:jc w:val="both"/>
            </w:pPr>
            <w:r>
              <w:rPr>
                <w:sz w:val="21"/>
              </w:rPr>
              <w:t>9. N:1虚拟化：可将多台物理设备虚拟化为1台逻辑设备，虚拟组内设备具备统一的二层及三层转发表项，并可实现跨设备链路聚合；</w:t>
            </w:r>
          </w:p>
          <w:p>
            <w:pPr>
              <w:jc w:val="both"/>
            </w:pPr>
            <w:r>
              <w:rPr>
                <w:sz w:val="21"/>
              </w:rPr>
              <w:t>10. 支持VXLAN桥模式，VXLAN路由模式，支持MP-BGP EVPN；</w:t>
            </w:r>
          </w:p>
          <w:p>
            <w:pPr>
              <w:jc w:val="both"/>
            </w:pPr>
            <w:r>
              <w:rPr>
                <w:sz w:val="21"/>
              </w:rPr>
              <w:t>11．支持STP、 RSTP、 MSTP，支持端口聚合，支持一对一镜像、多对一镜像、一对多镜像，支持流镜像，支持SPAN、RSPAN远程镜像，支持VLAN镜像；</w:t>
            </w:r>
          </w:p>
          <w:p>
            <w:pPr>
              <w:jc w:val="both"/>
            </w:pPr>
            <w:r>
              <w:rPr>
                <w:sz w:val="21"/>
              </w:rPr>
              <w:t>12. 支持静RIP、RIPng、OSPFv2、OSPFv3、BGP、BGP4+、ISIS、ISISv6，支持等价路由、策略路由。支持GR for OSPF/IS-IS/BGP，支持手动隧道，自动隧道，ISATAP，GRE隧道；</w:t>
            </w:r>
          </w:p>
          <w:p>
            <w:pPr>
              <w:jc w:val="both"/>
            </w:pPr>
            <w:r>
              <w:rPr>
                <w:sz w:val="21"/>
              </w:rPr>
              <w:t>13. 支持MPLS功能，支持MPLS L3VPN，MPLS 6VPE。</w:t>
            </w:r>
          </w:p>
          <w:p>
            <w:pPr>
              <w:jc w:val="both"/>
            </w:pPr>
            <w:r>
              <w:rPr>
                <w:sz w:val="21"/>
              </w:rPr>
              <w:t>14. 支持基于GRPC的Telemetry技术，实现对CPU、内存等信息的周期性采集。</w:t>
            </w:r>
          </w:p>
          <w:p>
            <w:pPr>
              <w:jc w:val="both"/>
            </w:pPr>
            <w:r>
              <w:rPr>
                <w:sz w:val="21"/>
              </w:rPr>
              <w:t>15．</w:t>
            </w:r>
            <w:r>
              <w:rPr>
                <w:color w:val="000000"/>
                <w:sz w:val="21"/>
              </w:rPr>
              <w:t>▲</w:t>
            </w:r>
            <w:r>
              <w:rPr>
                <w:sz w:val="21"/>
              </w:rPr>
              <w:t>支持光口保护电路设计，可监测光模块运行状态：即系统可即时识别光模块短路状态、并将故障模块隔离，确保其不影响其它端口和整机的正常运行；更换模块后该端口也可马上恢复正常工作状态。提供具有</w:t>
            </w:r>
            <w:r>
              <w:rPr>
                <w:sz w:val="21"/>
              </w:rPr>
              <w:t>CMA或CAL或CNAS认证章的第三方机构检验报告证明。</w:t>
            </w:r>
          </w:p>
          <w:p>
            <w:pPr>
              <w:jc w:val="both"/>
            </w:pPr>
            <w:r>
              <w:rPr>
                <w:sz w:val="21"/>
              </w:rPr>
              <w:t>16.</w:t>
            </w:r>
            <w:r>
              <w:rPr>
                <w:sz w:val="24"/>
              </w:rPr>
              <w:t xml:space="preserve"> </w:t>
            </w:r>
            <w:r>
              <w:rPr>
                <w:sz w:val="21"/>
              </w:rPr>
              <w:t>▲为提供设备冗余度和芯片可靠性，要求支持硬件层级双boot，采用两个FLASH芯片存储boot软件（系统引导程序），实现硬件级boot冗余备份，避免因FLASH芯片故障导致交换机无法启动；提供具有CMA或CAL或CNAS认证章的第三方机构检验报告证明。</w:t>
            </w:r>
          </w:p>
          <w:p>
            <w:pPr>
              <w:jc w:val="both"/>
            </w:pPr>
            <w:r>
              <w:rPr>
                <w:sz w:val="21"/>
              </w:rPr>
              <w:t>17. 支持全解耦的组件化操作系统，支持组件在线安装升级，组件间出现问题互相不影响；提供具有CMA或CAL或CNAS认证章的第三方机构检验报告证明。</w:t>
            </w:r>
          </w:p>
          <w:p>
            <w:pPr>
              <w:jc w:val="both"/>
            </w:pPr>
            <w:r>
              <w:rPr>
                <w:sz w:val="21"/>
              </w:rPr>
              <w:t>18. 支持业务逻辑与状态分离，业务状态持久化处理，业务级异常从持久化状态中秒级恢复；提供具有CMA或CAL或CNAS认证章的第三方机构检验报告证明。</w:t>
            </w:r>
          </w:p>
          <w:p>
            <w:pPr>
              <w:jc w:val="both"/>
            </w:pPr>
            <w:r>
              <w:rPr>
                <w:sz w:val="21"/>
              </w:rPr>
              <w:t>19. 为提高部署效率，要求设备出厂预置管理软件，可实现即插即用和零配置上线；出厂预置业务模板，可通过excel批量导入或通过楼栋交换机，绑定设备区域位置，完成交换机自动上线获取正确的配置；支持自适应不同接入设备替换，同时支持端口盲插，可自适应端口接错线，端口配置自动跟随业务走；提供具有CMA或CAL或CNAS认证章的第三方机构检验报告证明。</w:t>
            </w:r>
          </w:p>
          <w:p>
            <w:pPr>
              <w:jc w:val="both"/>
            </w:pPr>
            <w:r>
              <w:rPr>
                <w:sz w:val="21"/>
              </w:rPr>
              <w:t>20. 提供网络关键设备安全检测证书。</w:t>
            </w:r>
          </w:p>
          <w:p>
            <w:pPr>
              <w:jc w:val="both"/>
            </w:pPr>
            <w:r>
              <w:rPr>
                <w:sz w:val="21"/>
              </w:rPr>
              <w:t>21. ▲为保证IPv6的可部署性和应用性，核心交换机需具备IPv6 Ready Phase2认证证书，要求投标产品型号与获证产品型号一致，提供检测证书以及证书查询链接和截图。</w:t>
            </w:r>
          </w:p>
          <w:p>
            <w:pPr>
              <w:jc w:val="both"/>
            </w:pPr>
            <w:r>
              <w:rPr>
                <w:sz w:val="21"/>
              </w:rPr>
              <w:t>22. ★需支持在目前我校控制器（RG-ONC-AIO-H SDN控制器）上进行管理。如需要进行测试、接口开发、追加设备所产生的任何额外费用由投标人承担，须提供兼容性承诺或声明。</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采购包2（校园卡移动支付平台升级）</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合同签署之日起，45天完成所有货物的送达、安装和调试。</w:t>
            </w:r>
          </w:p>
        </w:tc>
      </w:tr>
      <w:tr>
        <w:tc>
          <w:tcPr>
            <w:tcW w:type="dxa" w:w="4153"/>
          </w:tcPr>
          <w:p>
            <w:r>
              <w:rPr/>
              <w:t>标的提供的地点</w:t>
            </w:r>
          </w:p>
        </w:tc>
        <w:tc>
          <w:tcPr>
            <w:tcW w:type="dxa" w:w="4153"/>
          </w:tcPr>
          <w:p/>
          <w:p>
            <w:r>
              <w:rPr/>
              <w:t>广州市白云区江高镇环镇西路155号广东技术师范大学白云校区第一教学楼</w:t>
            </w:r>
          </w:p>
        </w:tc>
      </w:tr>
      <w:tr>
        <w:tc>
          <w:tcPr>
            <w:tcW w:type="dxa" w:w="4153"/>
          </w:tcPr>
          <w:p>
            <w:r>
              <w:rPr/>
              <w:t>付款方式</w:t>
            </w:r>
          </w:p>
        </w:tc>
        <w:tc>
          <w:tcPr>
            <w:tcW w:type="dxa" w:w="4153"/>
          </w:tcPr>
          <w:p/>
          <w:p/>
          <w:p>
            <w:r>
              <w:rPr/>
              <w:t>1期：支付比例30%,1.投标人中标后，按采购人要求开立一个由采购人与中标人双方及银行三方监管的账户。 2.签订合同3个工作日内，中标人开具合同等额的增值税专用发票交采购人向银行申请资金，经银行审核同意后，采购人将合同金额的100%合同款支付至三方监管账户。（若中标人为中小企业，采购人按照政府采购相关规定支付合同金额的30%预付款，中标人可从三方监管账户转出该款项。）</w:t>
            </w:r>
          </w:p>
          <w:p/>
          <w:p>
            <w:r>
              <w:rPr/>
              <w:t>2期：支付比例70%,3.合同设备按采购人要求全部交付到指定地点、完成安装及验收合格后，凭加盖采购人公章的调试验收使用意见，中标人向采购人付合同金额的5%作为履约保证金后，采购人同意中标人转出三方监管账户全部资金。 4.5%的履约保证金在项目验收合格满一年后，由中标人提出申请，凭用户出具的无质量及违约问题的证明及保证金收据，采购人在十五个工作日内（寒暑假顺延）无息退还给中标人。</w:t>
            </w:r>
          </w:p>
        </w:tc>
      </w:tr>
      <w:tr>
        <w:tc>
          <w:tcPr>
            <w:tcW w:type="dxa" w:w="4153"/>
          </w:tcPr>
          <w:p>
            <w:r>
              <w:rPr/>
              <w:t>验收要求</w:t>
            </w:r>
          </w:p>
        </w:tc>
        <w:tc>
          <w:tcPr>
            <w:tcW w:type="dxa" w:w="4153"/>
          </w:tcPr>
          <w:p/>
          <w:p/>
          <w:p/>
          <w:p>
            <w:r>
              <w:rPr/>
              <w:t>1期：1.验收应在采购人和中标人双方共同参加下按国家有关的规定、规范进行。交付验收标准依次序对照适用标准为：①符合中华人民共和国国家安全质量标准、环保标准或行业标准；②符合招标文件和投标承诺中采购人认可的合理最佳配置、参数及各项要求；③货物来源国官方标准。 2.货物为原厂商未启封全新包装，据出厂合格证，序列号、包装箱号与出厂批号一致，并可追索查阅，所有随设备的附件必须齐全。如发现所交付的设备有短装、次品、损坏或其它不符合招标文件规定之情形者，采购人应做出详尽的现场记录，或由采购人和中标人双方签署备忘录。此现场记录或备忘录可用作补充、缺失和更换损坏部件的有效证据。由此产生的有关费用由中标人承担。 3.采购人按照合同规定的技术、服务、安全标准组织对中标人履约情况进行验收，并出具验收报告。验收报告应当包括每一项技术、服务、安全标准的履约情况。 4.中标人将货物的用户手册、保修手册、有关单证资料及备品备件、随机工具等交付给采购人，使用操作及安全须知等重要资料应附有中文说明。 5.货物验收所发生的检验费用由中标人负担。 6.采购人组成验收小组，按照采购合同规定的技术、服务、安全标准组织对中标人履约情况进行验收。因货物质量问题发生争议时，由采购人本地市场监督管理部门鉴定。货物符合质量技术标准的，鉴定费由采购人承担；否则鉴定费由中标人承担。 7.中标人提供的技术参数数据须是真实可靠的，如果采购人验收时设备达不到所承诺的技术指标，中标人须无条件退货并重新提供符合所承诺技术指标的设备。</w:t>
            </w:r>
          </w:p>
        </w:tc>
      </w:tr>
      <w:tr>
        <w:tc>
          <w:tcPr>
            <w:tcW w:type="dxa" w:w="4153"/>
          </w:tcPr>
          <w:p>
            <w:r>
              <w:rPr/>
              <w:t>履约保证金</w:t>
            </w:r>
          </w:p>
        </w:tc>
        <w:tc>
          <w:tcPr>
            <w:tcW w:type="dxa" w:w="4153"/>
          </w:tcPr>
          <w:p/>
          <w:p/>
          <w:p/>
          <w:p/>
          <w:p>
            <w:r>
              <w:rPr/>
              <w:t>收取比例：5%,说明：1.项目所有设备经采购人验收合格后，中标人在五个工作日内向采购人支付合同价款5%作为履约保证金； 2.验收满一年后，货物无质量问题，自中标人提交申请材料后，凭用户出具的无质量及违约问题的证明及保证金收据，在十五个工作日内（寒暑假顺延）无息退还中标人的5%履约保证金。</w:t>
            </w:r>
          </w:p>
        </w:tc>
      </w:tr>
      <w:tr>
        <w:tc>
          <w:tcPr>
            <w:tcW w:type="dxa" w:w="4153"/>
          </w:tcPr>
          <w:p>
            <w:r>
              <w:rPr/>
              <w:t>其他</w:t>
            </w:r>
          </w:p>
        </w:tc>
        <w:tc>
          <w:tcPr>
            <w:tcW w:type="dxa" w:w="4153"/>
          </w:tcPr>
          <w:p/>
          <w:p/>
          <w:p>
            <w:r>
              <w:rPr/>
              <w:t>风险提示，参与本项目竞争的供应商，应充分考虑到采购人可能会因政策调整等不可控因素而终止采购活动或者终止合同履行对自身造成的不利影响，并做好风险防控。</w:t>
            </w:r>
          </w:p>
          <w:p/>
          <w:p>
            <w:r>
              <w:rPr/>
              <w:t>其他，1.服务要求 投标人对所投设备及软件系统提供至少三年的无条件保修及技术支持服务。（费用包含在投标报价中，采购人不额外支付任何费用。） 2.保修期 （1）针对本项目所有设备和软件系统，应提供至少三年售后服务。保修期内，中标人对所有设备提供7*24小时无条件上门维护服务，无条件提供人工、部件。（费用包含在投标报价中，采购人不额外支付任何费用。），质保期内外系统存在安全缺陷、安全风险等，均需提供修补和消除服务。 3.售后要求 （1）所有设备保修期均为整机无条件（人工+配件）上门保修至少三年。（费用包含在投标报价中，采购人不额外支付任何费用。） （2）在各设备或配件的保修期内发生故障，由中标人负责联系厂家进行维修或更换。 （3）保修期间采购人所购设备各部件发生非人为故障中标人应无条件上门更换同种品牌不低于原规格型号的新部件。对于不能明确是否是硬件出现故障时，中标人应尽力配合采购人进行检查，在必要时，能在上述响应时间内到达现场协助排除问题。 （4）保修期间，同一硬件一个月内连续2次出现同一故障，中标人须无偿更换不低于同一档次机器。 （5）投标人应提供交货地点厂家维修部的电话及联系人，采购人报修后，采购人所在地的厂家维修部，须在4个小时内响应，并在6个小时内派员上门现场维护，须在12个小时内解决问题。在12个小时内不能解决问题的机器，应在24小时内提供同档次的机器给采购人代用。投标人须在售后服务承诺中承诺维修人员到场维修的时间。 （6）中标人负责对采购人受训人员进行操作、维修培训，直至采购人能熟练操作为止。 4.培训要求： （1）中标人为采购人提供操作及维护培训，主要内容为设备的基本结构、性能、主要部件的构造及原理，日常使用操作、保养与管理，常见故障的排除，紧急情况的处理等，培训地点主要在设备安装现场或按双方协商。</w:t>
            </w:r>
          </w:p>
        </w:tc>
      </w:tr>
    </w:tbl>
    <w:p>
      <w:r>
        <w:rPr>
          <w:b/>
        </w:rPr>
        <w:t>2.技术标准与要求</w:t>
      </w:r>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其他网络设备</w:t>
            </w:r>
          </w:p>
        </w:tc>
        <w:tc>
          <w:tcPr>
            <w:tcW w:type="dxa" w:w="831"/>
          </w:tcPr>
          <w:p>
            <w:pPr>
              <w:jc w:val="left"/>
            </w:pPr>
            <w:r>
              <w:rPr/>
              <w:t>统一支付平台</w:t>
            </w:r>
          </w:p>
        </w:tc>
        <w:tc>
          <w:tcPr>
            <w:tcW w:type="dxa" w:w="831"/>
          </w:tcPr>
          <w:p>
            <w:pPr>
              <w:jc w:val="left"/>
            </w:pPr>
            <w:r>
              <w:rPr/>
              <w:t>套</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其他网络设备</w:t>
            </w:r>
          </w:p>
        </w:tc>
        <w:tc>
          <w:tcPr>
            <w:tcW w:type="dxa" w:w="831"/>
          </w:tcPr>
          <w:p>
            <w:pPr>
              <w:jc w:val="left"/>
            </w:pPr>
            <w:r>
              <w:rPr/>
              <w:t>移动服务平台系统</w:t>
            </w:r>
          </w:p>
        </w:tc>
        <w:tc>
          <w:tcPr>
            <w:tcW w:type="dxa" w:w="831"/>
          </w:tcPr>
          <w:p>
            <w:pPr>
              <w:jc w:val="left"/>
            </w:pPr>
            <w:r>
              <w:rPr/>
              <w:t>套</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w:t>
            </w:r>
          </w:p>
        </w:tc>
      </w:tr>
    </w:tbl>
    <w:p/>
    <w:p>
      <w:r>
        <w:rPr>
          <w:b/>
        </w:rPr>
        <w:t>附表</w:t>
      </w:r>
      <w:r>
        <w:rPr>
          <w:b/>
        </w:rPr>
        <w:t>一</w:t>
      </w:r>
      <w:r>
        <w:rPr>
          <w:b/>
        </w:rPr>
        <w:t>：</w:t>
      </w:r>
      <w:r>
        <w:rPr>
          <w:b/>
        </w:rPr>
        <w:t>统一支付平台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color w:val="000000"/>
                <w:sz w:val="21"/>
              </w:rPr>
              <w:t>一、统一支付平台（数量：</w:t>
            </w:r>
            <w:r>
              <w:rPr>
                <w:b/>
                <w:color w:val="000000"/>
                <w:sz w:val="21"/>
              </w:rPr>
              <w:t>1套）</w:t>
            </w:r>
            <w:r>
              <w:br/>
            </w:r>
            <w:r>
              <w:rPr>
                <w:color w:val="000000"/>
                <w:sz w:val="21"/>
              </w:rPr>
              <w:t>统一支付平台提供全面、完善的数据维护接口，支持虚拟校园卡与校园卡等效应用，包含支付平台</w:t>
            </w:r>
            <w:r>
              <w:rPr>
                <w:color w:val="000000"/>
                <w:sz w:val="21"/>
              </w:rPr>
              <w:t>Web端，用户使用H5端和两端管理端：表单管理、商户管理、报表管理、支付管理、管理员管理、开发者管理、参数设置，用户端：充值、付款码、账单、我的。</w:t>
            </w:r>
          </w:p>
          <w:p>
            <w:pPr>
              <w:jc w:val="left"/>
            </w:pPr>
            <w:r>
              <w:rPr>
                <w:color w:val="000000"/>
                <w:sz w:val="21"/>
              </w:rPr>
              <w:t>主要功能如下：</w:t>
            </w:r>
          </w:p>
          <w:p>
            <w:pPr>
              <w:jc w:val="left"/>
            </w:pPr>
            <w:r>
              <w:rPr>
                <w:color w:val="000000"/>
                <w:sz w:val="21"/>
              </w:rPr>
              <w:t>1.总览：每次登录后能查询上次的登录IP地址及时间；</w:t>
            </w:r>
          </w:p>
          <w:p>
            <w:pPr>
              <w:jc w:val="left"/>
            </w:pPr>
            <w:r>
              <w:rPr>
                <w:color w:val="000000"/>
                <w:sz w:val="21"/>
              </w:rPr>
              <w:t>2.权限管理：能通过现有的校园卡账户密码登录系统，并进行人员角色分配、角色授权管理功能。</w:t>
            </w:r>
          </w:p>
          <w:p>
            <w:pPr>
              <w:jc w:val="left"/>
            </w:pPr>
            <w:r>
              <w:rPr>
                <w:color w:val="000000"/>
                <w:sz w:val="21"/>
              </w:rPr>
              <w:t>3.流水查询：能查询所有刷卡、二维码的交易流水，包括单号、流水号、入账交易时间、交易金额、支付方式、收款方等。</w:t>
            </w:r>
          </w:p>
          <w:p>
            <w:pPr>
              <w:jc w:val="left"/>
            </w:pPr>
            <w:r>
              <w:rPr>
                <w:color w:val="000000"/>
                <w:sz w:val="21"/>
              </w:rPr>
              <w:t>4.订单管理：能查询该平台的所有订单、处理退款、推送第三方；可查询及按指定条件筛选，将信息推送至第三方对接的用户，对未结算的订单进行结算，批量导出全部Excel文件。</w:t>
            </w:r>
          </w:p>
          <w:p>
            <w:pPr>
              <w:jc w:val="left"/>
            </w:pPr>
            <w:r>
              <w:rPr>
                <w:color w:val="000000"/>
                <w:sz w:val="21"/>
              </w:rPr>
              <w:t>5.系统接入管理：具有系统接入管理和接入接口管理功能，能查询、添加第三方接入，包括原校园卡平台的应用系统；</w:t>
            </w:r>
          </w:p>
          <w:p>
            <w:pPr>
              <w:jc w:val="left"/>
            </w:pPr>
            <w:r>
              <w:rPr>
                <w:color w:val="000000"/>
                <w:sz w:val="21"/>
              </w:rPr>
              <w:t>6.密码管理：可添加、修改密码；</w:t>
            </w:r>
          </w:p>
          <w:p>
            <w:pPr>
              <w:jc w:val="left"/>
            </w:pPr>
            <w:r>
              <w:rPr>
                <w:color w:val="000000"/>
                <w:sz w:val="21"/>
              </w:rPr>
              <w:t>7.商户管理：可以选择商户下载对应软网关POS收款码，可以设置商户结算的类型，可以查询及按指定条件筛选结算列表，可以查询及按指定条件筛选商户列表，需提供第三方检测机构出具的测试报告以佐证技术功能（测试报告中必须明确具有此项测试内容）。</w:t>
            </w:r>
          </w:p>
          <w:p>
            <w:pPr>
              <w:jc w:val="left"/>
            </w:pPr>
            <w:r>
              <w:rPr>
                <w:color w:val="000000"/>
                <w:sz w:val="21"/>
              </w:rPr>
              <w:t>8.支付方式管理：能进行支付方式的添加以及启用、禁用控制。</w:t>
            </w:r>
          </w:p>
          <w:p>
            <w:pPr>
              <w:jc w:val="left"/>
            </w:pPr>
            <w:r>
              <w:rPr>
                <w:color w:val="000000"/>
                <w:sz w:val="21"/>
              </w:rPr>
              <w:t>9.支付通道管理：能配置学校和商户的支付方式，包括对账、编辑、新增、设置默认支付方式等。</w:t>
            </w:r>
          </w:p>
          <w:p>
            <w:pPr>
              <w:jc w:val="left"/>
            </w:pPr>
            <w:r>
              <w:rPr>
                <w:color w:val="000000"/>
                <w:sz w:val="21"/>
              </w:rPr>
              <w:t>10.可以对支付渠道的各种参数进行设置，可以查询所有支付方式下的支付笔数与占比，需提供第三方检测机构出具的测试报告以佐证技术功能（测试报告中必须明确具有此项测试内容）。</w:t>
            </w:r>
          </w:p>
          <w:p>
            <w:pPr>
              <w:jc w:val="left"/>
            </w:pPr>
            <w:r>
              <w:rPr>
                <w:color w:val="000000"/>
                <w:sz w:val="21"/>
              </w:rPr>
              <w:t>11.支付渠道共享：提供开放接口，支持校园应用支付嵌入，满足校方开放管理需求，例如用户使用服务大厅充值、缴费时，能选择聚合支付的支付渠道进出充值、缴费。</w:t>
            </w:r>
          </w:p>
          <w:p>
            <w:pPr>
              <w:jc w:val="left"/>
            </w:pPr>
            <w:r>
              <w:rPr>
                <w:color w:val="000000"/>
                <w:sz w:val="21"/>
              </w:rPr>
              <w:t>12.▲脱机风控：可以授信用户脱机额度，需提供第三方检测机构出具的测试报告以佐证技术功能（测试报告中必须明确具有此项测试内容）</w:t>
            </w:r>
          </w:p>
          <w:p>
            <w:pPr>
              <w:jc w:val="left"/>
            </w:pPr>
            <w:r>
              <w:rPr>
                <w:color w:val="000000"/>
                <w:sz w:val="21"/>
              </w:rPr>
              <w:t>13.支付管理涉及支付交易、财务分账、记账、结算等重要内容，须提供统一支付平台系统软件著作权登记证书复印件。</w:t>
            </w:r>
          </w:p>
          <w:p>
            <w:pPr>
              <w:jc w:val="left"/>
            </w:pPr>
            <w:r>
              <w:rPr>
                <w:color w:val="000000"/>
                <w:sz w:val="21"/>
              </w:rPr>
              <w:t>14.▲报表管理：需提供对账汇总、对账异常清单、清算报表、充值报表，需提供第三方检测机构出具的测试报告以佐证技术功能（测试报告中必须明确具有此项测试内容）。</w:t>
            </w:r>
          </w:p>
          <w:p>
            <w:pPr>
              <w:jc w:val="left"/>
            </w:pPr>
            <w:r>
              <w:rPr>
                <w:color w:val="000000"/>
                <w:sz w:val="21"/>
              </w:rPr>
              <w:t>15.安全问题列表：可设置学生账户密码找回问题，系统预制几个问题，问题只能新增或编辑，不能删除；</w:t>
            </w:r>
          </w:p>
          <w:p>
            <w:pPr>
              <w:jc w:val="left"/>
            </w:pPr>
            <w:r>
              <w:rPr>
                <w:color w:val="000000"/>
                <w:sz w:val="21"/>
              </w:rPr>
              <w:t>16.系统支持与微信</w:t>
            </w:r>
            <w:r>
              <w:rPr>
                <w:sz w:val="21"/>
              </w:rPr>
              <w:t>或支付宝支付免密签约；</w:t>
            </w:r>
          </w:p>
          <w:p>
            <w:pPr>
              <w:jc w:val="left"/>
            </w:pPr>
            <w:r>
              <w:rPr>
                <w:sz w:val="21"/>
              </w:rPr>
              <w:t>17.需具有微信或支付宝支付</w:t>
            </w:r>
            <w:r>
              <w:rPr>
                <w:color w:val="000000"/>
                <w:sz w:val="21"/>
              </w:rPr>
              <w:t>免密刷码扣款、退款、对账等功能；</w:t>
            </w:r>
          </w:p>
          <w:p>
            <w:pPr>
              <w:jc w:val="left"/>
            </w:pPr>
            <w:r>
              <w:rPr>
                <w:color w:val="000000"/>
                <w:sz w:val="21"/>
              </w:rPr>
              <w:t>18.★支持用户通过移动服务平台绑定现有校园卡，通过签约微信或支付宝代扣业务后，用户可通过刷现有校园码扣取微信或支付宝账户余额。</w:t>
            </w:r>
          </w:p>
          <w:p>
            <w:pPr>
              <w:jc w:val="left"/>
            </w:pPr>
            <w:r>
              <w:rPr>
                <w:color w:val="000000"/>
                <w:sz w:val="21"/>
              </w:rPr>
              <w:t>19.资源利旧、不间断平稳升级</w:t>
            </w:r>
          </w:p>
          <w:p>
            <w:pPr>
              <w:jc w:val="left"/>
            </w:pPr>
            <w:r>
              <w:rPr>
                <w:color w:val="000000"/>
                <w:sz w:val="21"/>
              </w:rPr>
              <w:t>本着厉行节约，避免资产浪费、注重资金使用效益、无需重新建设的原则，将项目建设影响降至最低，本项目需对学校统一支付平台进行升级，并能兼容现有的一卡通基础平台、虚拟校园卡系统、聚合支付系统、综合前置机系统、身份前置机系统、综合业务系统、身份管理系统、消费系统、第三方业务系统对接等系统及现有的校园卡、收款机等软硬件设备，同时兼容现有一卡通所有数据，包括不限于校园卡交易标识、校园卡状态、账户余额、历史消费流水、商户账户、商户结算数据、补助发放流水、历史清单报表、银行账户、姓名、院系、班级、物理卡号、学工号、组织结构、操作人员的现金充值记录等，并需遵循学校原校园一卡通系统的密钥体系，升级后的统一支付平台等需能兼容现有的一卡通密钥，识别由学校现有证书卡管理系统发放的电子证书，供应商需提供承诺或声明。</w:t>
            </w:r>
          </w:p>
          <w:p>
            <w:pPr>
              <w:jc w:val="left"/>
            </w:pPr>
            <w:r>
              <w:rPr>
                <w:color w:val="000000"/>
                <w:sz w:val="21"/>
              </w:rPr>
              <w:t>20.集成服务：本项目涉及到软硬件系统设备的建设和服务，并需要与第三方系统集成，供应商或一卡通制造商需具备信息系统建设和服务能力。</w:t>
            </w:r>
          </w:p>
          <w:p>
            <w:pPr>
              <w:jc w:val="left"/>
            </w:pPr>
            <w:r>
              <w:rPr>
                <w:color w:val="000000"/>
                <w:sz w:val="21"/>
              </w:rPr>
              <w:t>21.兼容性</w:t>
            </w:r>
          </w:p>
          <w:p>
            <w:pPr>
              <w:jc w:val="left"/>
            </w:pPr>
            <w:r>
              <w:rPr>
                <w:color w:val="000000"/>
                <w:sz w:val="21"/>
              </w:rPr>
              <w:t>1. ▲升级后的统一支付平台能无缝接入学校原校园一卡通系统（金融化一卡通系统4.0），用户持现有校园码消费时支持扣取微信</w:t>
            </w:r>
            <w:r>
              <w:rPr>
                <w:color w:val="000000"/>
                <w:sz w:val="21"/>
              </w:rPr>
              <w:t>或支付宝</w:t>
            </w:r>
            <w:r>
              <w:rPr>
                <w:color w:val="000000"/>
                <w:sz w:val="21"/>
              </w:rPr>
              <w:t>账户余额，消费流水实时存储至原有一卡通数据中心，并能在升级后的移动服务平台及现有综合业务系统查询该笔交易流水，避免出现多套系统、多个数据中心，供应商需提供承诺或声明。</w:t>
            </w:r>
          </w:p>
          <w:p>
            <w:pPr>
              <w:jc w:val="both"/>
            </w:pPr>
            <w:r>
              <w:rPr>
                <w:color w:val="000000"/>
                <w:sz w:val="21"/>
              </w:rPr>
              <w:t>2.</w:t>
            </w:r>
            <w:r>
              <w:rPr>
                <w:color w:val="000000"/>
                <w:sz w:val="21"/>
              </w:rPr>
              <w:t>学校现有的一卡通监控系统须能对升级后的统一支付平台进行监控，包括兼容系统运行状态、业务交易、软件版本等。</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移动服务平台系统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移动服务平台系统（数量：</w:t>
            </w:r>
            <w:r>
              <w:rPr>
                <w:b/>
                <w:sz w:val="21"/>
              </w:rPr>
              <w:t>1套）</w:t>
            </w:r>
            <w:r>
              <w:br/>
            </w:r>
            <w:r>
              <w:rPr>
                <w:b/>
                <w:color w:val="000000"/>
                <w:sz w:val="21"/>
              </w:rPr>
              <w:t>一</w:t>
            </w:r>
            <w:r>
              <w:rPr>
                <w:b/>
                <w:color w:val="000000"/>
                <w:sz w:val="21"/>
              </w:rPr>
              <w:t>.总体技术性要求</w:t>
            </w:r>
          </w:p>
          <w:p>
            <w:pPr>
              <w:jc w:val="left"/>
            </w:pPr>
            <w:r>
              <w:rPr>
                <w:color w:val="000000"/>
                <w:sz w:val="21"/>
              </w:rPr>
              <w:t>1.本系统可通过标准API接口实现与学校数据中心、统一认证平台、企业微信平台等系统进行对接、实现数据实时交互共享，如对接产生费用，由中标供应商负责。</w:t>
            </w:r>
          </w:p>
          <w:p>
            <w:pPr>
              <w:jc w:val="left"/>
            </w:pPr>
            <w:r>
              <w:rPr>
                <w:color w:val="000000"/>
                <w:sz w:val="21"/>
              </w:rPr>
              <w:t>2.支持与学校统—认证台对接，本系统的用户身份认证需纳入到学校统一身份认证体系，与学校统一身份认证平台进行集成，实现单点登录。</w:t>
            </w:r>
          </w:p>
          <w:p>
            <w:pPr>
              <w:jc w:val="left"/>
            </w:pPr>
            <w:r>
              <w:rPr>
                <w:color w:val="000000"/>
                <w:sz w:val="21"/>
              </w:rPr>
              <w:t>3.支持与学校企业微信平台进行对接，本系统需提供相应的移动端应用，能够实现与学校企业微信平台对接，实现统一的用户身份认证，支持师生在学校企业微信平台使用系统的一键断网、系统监控、web资源管理等常用功能。</w:t>
            </w:r>
          </w:p>
          <w:p>
            <w:pPr>
              <w:jc w:val="left"/>
            </w:pPr>
            <w:r>
              <w:rPr>
                <w:color w:val="000000"/>
                <w:sz w:val="21"/>
              </w:rPr>
              <w:t>4.按照学校的信息标准建设信息系统，本系统需按照学校的信息标准进行建设，基础数据和业务数据结构设计需按学校规范执行，软件系统使用的代码需与学校代码保持一致，包括不限于组织机构信息、师生信息、专业信息和班级信息等基础数据和系统业务数据。此项工作产生的费用由中标供应商承担。（投标人提供针对此项的承诺或声明）</w:t>
            </w:r>
          </w:p>
          <w:p>
            <w:pPr>
              <w:jc w:val="left"/>
            </w:pPr>
            <w:r>
              <w:rPr>
                <w:color w:val="000000"/>
                <w:sz w:val="21"/>
              </w:rPr>
              <w:t>5.支持与学校数据中心进行数据共享和交换，本系统需与学校数据中心实现数据共享和交换，并在系统开发过程中形成并提交与该系统业务相关的学校统一数据标准，提供系统数据字典，并配合校方实现对系统数据的集成工作。此项工作产生的费用由中标供应商承担。（投标人提供针对此项的承诺或声明）</w:t>
            </w:r>
          </w:p>
          <w:p>
            <w:pPr>
              <w:jc w:val="left"/>
            </w:pPr>
            <w:r>
              <w:rPr>
                <w:color w:val="000000"/>
                <w:sz w:val="21"/>
              </w:rPr>
              <w:t>6.验收前需提供以下文档：需求分析文档、系统设计文档、接口技术文档、数据字典文档、部署配置文档、运行维护文档、用户使用指南、软件源代码和软件安全测试报告等。</w:t>
            </w:r>
          </w:p>
          <w:p>
            <w:pPr>
              <w:jc w:val="left"/>
            </w:pPr>
            <w:r>
              <w:rPr>
                <w:b/>
                <w:color w:val="000000"/>
                <w:sz w:val="21"/>
              </w:rPr>
              <w:t>二</w:t>
            </w:r>
            <w:r>
              <w:rPr>
                <w:b/>
                <w:color w:val="000000"/>
                <w:sz w:val="21"/>
              </w:rPr>
              <w:t>.移动基础管理平台</w:t>
            </w:r>
          </w:p>
          <w:p>
            <w:pPr>
              <w:jc w:val="left"/>
            </w:pPr>
            <w:r>
              <w:rPr>
                <w:color w:val="000000"/>
                <w:sz w:val="21"/>
              </w:rPr>
              <w:t>(一)首页</w:t>
            </w:r>
          </w:p>
          <w:p>
            <w:pPr>
              <w:jc w:val="left"/>
            </w:pPr>
            <w:r>
              <w:rPr>
                <w:color w:val="000000"/>
                <w:sz w:val="21"/>
              </w:rPr>
              <w:t>1.服务器信息：显示管理平台服务器概要信息；</w:t>
            </w:r>
          </w:p>
          <w:p>
            <w:pPr>
              <w:jc w:val="left"/>
            </w:pPr>
            <w:r>
              <w:rPr>
                <w:color w:val="000000"/>
                <w:sz w:val="21"/>
              </w:rPr>
              <w:t>2.启动信息：展示启动次数统计信息，可按日、周、月、年显示。点击查看详情，查看统计的详细信息；</w:t>
            </w:r>
          </w:p>
          <w:p>
            <w:pPr>
              <w:jc w:val="left"/>
            </w:pPr>
            <w:r>
              <w:rPr>
                <w:color w:val="000000"/>
                <w:sz w:val="21"/>
              </w:rPr>
              <w:t>3.日志：对操作人员登录系统进行记录，点击查看详情，显示所有操作的人员对操作系统进行访问与交互的具体信息。</w:t>
            </w:r>
          </w:p>
          <w:p>
            <w:pPr>
              <w:jc w:val="left"/>
            </w:pPr>
            <w:r>
              <w:rPr>
                <w:color w:val="000000"/>
                <w:sz w:val="21"/>
              </w:rPr>
              <w:t>(二)界面管理</w:t>
            </w:r>
          </w:p>
          <w:p>
            <w:pPr>
              <w:jc w:val="left"/>
            </w:pPr>
            <w:r>
              <w:rPr>
                <w:color w:val="000000"/>
                <w:sz w:val="21"/>
              </w:rPr>
              <w:t>1.查看方案：对界面方案进行增删改查；对人群，适用终端进行自定义配置；</w:t>
            </w:r>
          </w:p>
          <w:p>
            <w:pPr>
              <w:jc w:val="left"/>
            </w:pPr>
            <w:r>
              <w:rPr>
                <w:color w:val="000000"/>
                <w:sz w:val="21"/>
              </w:rPr>
              <w:t>2.编辑方案：编辑（新建、删除、修改）方案基本信息，包括：方案名称、适用人群、适用终端、界面描述信息；</w:t>
            </w:r>
          </w:p>
          <w:p>
            <w:pPr>
              <w:jc w:val="left"/>
            </w:pPr>
            <w:r>
              <w:rPr>
                <w:color w:val="000000"/>
                <w:sz w:val="21"/>
              </w:rPr>
              <w:t>3.方案授权：选择方案建设适用的人群，包含老师、学生、校外人员；</w:t>
            </w:r>
          </w:p>
          <w:p>
            <w:pPr>
              <w:jc w:val="left"/>
            </w:pPr>
            <w:r>
              <w:rPr>
                <w:color w:val="000000"/>
                <w:sz w:val="21"/>
              </w:rPr>
              <w:t>4.平台授权：选择方案适用的终端；</w:t>
            </w:r>
          </w:p>
          <w:p>
            <w:pPr>
              <w:jc w:val="left"/>
            </w:pPr>
            <w:r>
              <w:rPr>
                <w:color w:val="000000"/>
                <w:sz w:val="21"/>
              </w:rPr>
              <w:t>5.界面信息：对该方案进行概述以及备注说明情况信息；</w:t>
            </w:r>
          </w:p>
          <w:p>
            <w:pPr>
              <w:jc w:val="left"/>
            </w:pPr>
            <w:r>
              <w:rPr>
                <w:color w:val="000000"/>
                <w:sz w:val="21"/>
              </w:rPr>
              <w:t>6.使用时间：方案使用期限、时效；</w:t>
            </w:r>
          </w:p>
          <w:p>
            <w:pPr>
              <w:jc w:val="left"/>
            </w:pPr>
            <w:r>
              <w:rPr>
                <w:color w:val="000000"/>
                <w:sz w:val="21"/>
              </w:rPr>
              <w:t>7.模块顺序：调整横幅、功能导航、文本列表、搜索等模块在主页中的先后顺序及样式；</w:t>
            </w:r>
          </w:p>
          <w:p>
            <w:pPr>
              <w:jc w:val="left"/>
            </w:pPr>
            <w:r>
              <w:rPr>
                <w:color w:val="000000"/>
                <w:sz w:val="21"/>
              </w:rPr>
              <w:t>8.调整色调：选择主色调，其中包含对全局：功能图标的选中后的色彩选择，与字体选中后的色彩选择；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00"/>
                <w:sz w:val="21"/>
              </w:rPr>
              <w:t>(三)应用管理</w:t>
            </w:r>
          </w:p>
          <w:p>
            <w:pPr>
              <w:jc w:val="left"/>
            </w:pPr>
            <w:r>
              <w:rPr>
                <w:color w:val="000000"/>
                <w:sz w:val="21"/>
              </w:rPr>
              <w:t>1.查看应用：根据不同的已确定方案，选择添加不同应用程序。可根据学生、教师、校外人员分组显示对应的不同应用信息；</w:t>
            </w:r>
          </w:p>
          <w:p>
            <w:pPr>
              <w:jc w:val="left"/>
            </w:pPr>
            <w:r>
              <w:rPr>
                <w:color w:val="000000"/>
                <w:sz w:val="21"/>
              </w:rPr>
              <w:t>2.分类管理：按照自定义分类展示应用程序；</w:t>
            </w:r>
          </w:p>
          <w:p>
            <w:pPr>
              <w:jc w:val="left"/>
            </w:pPr>
            <w:r>
              <w:rPr>
                <w:color w:val="000000"/>
                <w:sz w:val="21"/>
              </w:rPr>
              <w:t>3.▲可以添加应用、配置相应信息，可以对添加好的应用进行管理，可以对其他应用添加认证，查看应用的点击次数，需提供第三方检测机构出具的测试报告以佐证技术功能（测试报告中须明确具有此项测试内容）。</w:t>
            </w:r>
          </w:p>
          <w:p>
            <w:pPr>
              <w:jc w:val="left"/>
            </w:pPr>
            <w:r>
              <w:rPr>
                <w:color w:val="000000"/>
                <w:sz w:val="21"/>
              </w:rPr>
              <w:t>(四)应用布局</w:t>
            </w:r>
          </w:p>
          <w:p>
            <w:pPr>
              <w:jc w:val="left"/>
            </w:pPr>
            <w:r>
              <w:rPr>
                <w:color w:val="000000"/>
                <w:sz w:val="21"/>
              </w:rPr>
              <w:t>1.应用顺序：在功能导航中可以进行添加、排序、删除包含的应用；</w:t>
            </w:r>
          </w:p>
          <w:p>
            <w:pPr>
              <w:jc w:val="left"/>
            </w:pPr>
            <w:r>
              <w:rPr>
                <w:color w:val="000000"/>
                <w:sz w:val="21"/>
              </w:rPr>
              <w:t>2.模块样式：在功能导航中可以更换展现样式：1）.圆形展现2）.矩形展现；</w:t>
            </w:r>
          </w:p>
          <w:p>
            <w:pPr>
              <w:jc w:val="left"/>
            </w:pPr>
            <w:r>
              <w:rPr>
                <w:color w:val="000000"/>
                <w:sz w:val="21"/>
              </w:rPr>
              <w:t>(五)内容编辑</w:t>
            </w:r>
          </w:p>
          <w:p>
            <w:pPr>
              <w:jc w:val="left"/>
            </w:pPr>
            <w:r>
              <w:rPr>
                <w:color w:val="000000"/>
                <w:sz w:val="21"/>
              </w:rPr>
              <w:t>1.横幅管理：编辑横幅内容，包含对应文案、图片、url信息、顺序；</w:t>
            </w:r>
          </w:p>
          <w:p>
            <w:pPr>
              <w:jc w:val="left"/>
            </w:pPr>
            <w:r>
              <w:rPr>
                <w:color w:val="000000"/>
                <w:sz w:val="21"/>
              </w:rPr>
              <w:t>2.文本列表：编辑消息文本列表内容，包含对应文案、图片、url信息、顺序；</w:t>
            </w:r>
          </w:p>
          <w:p>
            <w:pPr>
              <w:jc w:val="left"/>
            </w:pPr>
            <w:r>
              <w:rPr>
                <w:color w:val="000000"/>
                <w:sz w:val="21"/>
              </w:rPr>
              <w:t>(六)反馈中心</w:t>
            </w:r>
          </w:p>
          <w:p>
            <w:pPr>
              <w:jc w:val="left"/>
            </w:pPr>
            <w:r>
              <w:rPr>
                <w:color w:val="000000"/>
                <w:sz w:val="21"/>
              </w:rPr>
              <w:t>1.编辑应用：在相应自定义方案下，可以对应用进行新增与删除；</w:t>
            </w:r>
          </w:p>
          <w:p>
            <w:pPr>
              <w:jc w:val="left"/>
            </w:pPr>
            <w:r>
              <w:rPr>
                <w:color w:val="000000"/>
                <w:sz w:val="21"/>
              </w:rPr>
              <w:t>2.信息反馈：所有系统通知类消息的汇总页面，按时间倒序排列，前置显示最新一条消息；</w:t>
            </w:r>
          </w:p>
          <w:p>
            <w:pPr>
              <w:jc w:val="left"/>
            </w:pPr>
            <w:r>
              <w:rPr>
                <w:color w:val="000000"/>
                <w:sz w:val="21"/>
              </w:rPr>
              <w:t>3.消息列表：消息的通知以列表方式按时间倒序排列；</w:t>
            </w:r>
          </w:p>
          <w:p>
            <w:pPr>
              <w:jc w:val="left"/>
            </w:pPr>
            <w:r>
              <w:rPr>
                <w:color w:val="000000"/>
                <w:sz w:val="21"/>
              </w:rPr>
              <w:t>4.人群筛选：按教师、学生筛选反馈信息；</w:t>
            </w:r>
          </w:p>
          <w:p>
            <w:pPr>
              <w:jc w:val="left"/>
            </w:pPr>
            <w:r>
              <w:rPr>
                <w:color w:val="000000"/>
                <w:sz w:val="21"/>
              </w:rPr>
              <w:t>5.时间筛选：默认反馈中心按时间倒序排列所有未读消息，可按时间正叙倒叙筛选反馈信息；</w:t>
            </w:r>
          </w:p>
          <w:p>
            <w:pPr>
              <w:jc w:val="left"/>
            </w:pPr>
            <w:r>
              <w:rPr>
                <w:color w:val="000000"/>
                <w:sz w:val="21"/>
              </w:rPr>
              <w:t>6.消息列表：可按消息已读或未读状态筛选反馈信息；</w:t>
            </w:r>
          </w:p>
          <w:p>
            <w:pPr>
              <w:jc w:val="left"/>
            </w:pPr>
            <w:r>
              <w:rPr>
                <w:color w:val="000000"/>
                <w:sz w:val="21"/>
              </w:rPr>
              <w:t>7.详细信息：点击查看消息，展示详细问题信息内容，显示所提交信息时间、人员信息；</w:t>
            </w:r>
          </w:p>
          <w:p>
            <w:pPr>
              <w:jc w:val="left"/>
            </w:pPr>
            <w:r>
              <w:rPr>
                <w:color w:val="000000"/>
                <w:sz w:val="21"/>
              </w:rPr>
              <w:t>(七)▲能够维护</w:t>
            </w:r>
            <w:r>
              <w:rPr>
                <w:sz w:val="21"/>
              </w:rPr>
              <w:t>食堂数据和校区数据</w:t>
            </w:r>
            <w:r>
              <w:rPr>
                <w:color w:val="000000"/>
                <w:sz w:val="21"/>
              </w:rPr>
              <w:t>，能对已认证的应用开放不同的接口、开放给不同身份或人员，需提供第三方检测机构出具的测试报告以佐证技术功能（测试报告中必须明确具有此项测试内容）；</w:t>
            </w:r>
          </w:p>
          <w:p>
            <w:pPr>
              <w:jc w:val="left"/>
            </w:pPr>
            <w:r>
              <w:rPr>
                <w:color w:val="000000"/>
                <w:sz w:val="21"/>
              </w:rPr>
              <w:t>(八)认证安全：支持生物识别、短信验证码、强密码、动态密码键盘，构建完善的认证安全体系，保证登录认证的安全。</w:t>
            </w:r>
          </w:p>
          <w:p>
            <w:pPr>
              <w:jc w:val="left"/>
            </w:pPr>
            <w:r>
              <w:rPr>
                <w:color w:val="000000"/>
                <w:sz w:val="21"/>
              </w:rPr>
              <w:t>(九)资源利旧、不间断平稳升级</w:t>
            </w:r>
          </w:p>
          <w:p>
            <w:pPr>
              <w:jc w:val="left"/>
            </w:pPr>
            <w:r>
              <w:rPr>
                <w:color w:val="000000"/>
                <w:sz w:val="21"/>
              </w:rPr>
              <w:t>本着厉行节约，避免资产浪费、注重资金使用效益、无需重新建设的原则，将项目建设影响降至最低，本项目需对学校现有移动服务平台进行升级，并能兼容现有的一卡通基础平台、虚拟校园卡系统、聚合支付系统、银行圈存转账系统、综合前置机系统、身份前置机系统、证书卡管理系统、消费系统、第三方业务系统对接等系统及现有的校园卡、收款机、圈存机等软硬件设备，同时兼容现有一卡通所有数据，包括不限于校园卡交易标识、校园卡状态、账户余额、历史消费流水、商户账户、商户结算数据、补助发放流水、历史清单报表、银行账户、姓名、院系、班级、物理卡号、学工号、组织结构、操作人员的现金充值记录等，并需遵循学校原校园一卡通系统的密钥体系，升级后的移动服务平台等需能兼容现有的一卡通密钥，识别由学校现有证书卡管理系统发放的电子证书，供应商需提供承诺或声明。</w:t>
            </w:r>
          </w:p>
          <w:p>
            <w:pPr>
              <w:jc w:val="left"/>
            </w:pPr>
            <w:r>
              <w:rPr>
                <w:color w:val="000000"/>
                <w:sz w:val="21"/>
              </w:rPr>
              <w:t>(十)集成服务：本项目涉及到软硬件系统设备的建设和服务，并需要与第三方系统集成，供应商或一卡通制造商需具备信息系统建设和服务能力。</w:t>
            </w:r>
          </w:p>
          <w:p>
            <w:pPr>
              <w:jc w:val="left"/>
            </w:pPr>
            <w:r>
              <w:rPr>
                <w:color w:val="000000"/>
                <w:sz w:val="21"/>
              </w:rPr>
              <w:t>(十一)兼容性</w:t>
            </w:r>
          </w:p>
          <w:p>
            <w:pPr>
              <w:jc w:val="left"/>
            </w:pPr>
            <w:r>
              <w:rPr>
                <w:color w:val="000000"/>
                <w:sz w:val="21"/>
              </w:rPr>
              <w:t>1.</w:t>
            </w:r>
            <w:r>
              <w:rPr>
                <w:color w:val="000000"/>
                <w:sz w:val="21"/>
              </w:rPr>
              <w:t>▲升级后的移动服务平台能无缝接入学校原校园一卡通系统（金融化一卡通系统4.0）；通过升级后的移动服务平台须能展示现有校园一卡通账户的虚拟校园卡、校园码、个人基本信息、查询、挂失解挂等功能，并且展示的校园码须能在学校现有收款机上正反扫消费扣取现有一卡通电子账户余额，消费流水实时存储至原有一卡通数据中心，并能在升级后的移动服务平台查询该笔交易流水，避免出现多套系统、多个数据中心，供应商需提供承诺或声明。</w:t>
            </w:r>
          </w:p>
          <w:p>
            <w:pPr>
              <w:jc w:val="left"/>
            </w:pPr>
            <w:r>
              <w:rPr>
                <w:color w:val="000000"/>
                <w:sz w:val="21"/>
              </w:rPr>
              <w:t>2.</w:t>
            </w:r>
            <w:r>
              <w:rPr>
                <w:color w:val="000000"/>
                <w:sz w:val="21"/>
              </w:rPr>
              <w:t>学校现有的一卡通监控系统须能对升级后的移动服务平台进行监控，包括兼容系统运行状态、业务交易、软件版本等。</w:t>
            </w:r>
          </w:p>
          <w:p>
            <w:pPr>
              <w:jc w:val="left"/>
            </w:pPr>
            <w:r>
              <w:rPr>
                <w:b/>
                <w:color w:val="000000"/>
                <w:sz w:val="21"/>
              </w:rPr>
              <w:t>三</w:t>
            </w:r>
            <w:r>
              <w:rPr>
                <w:b/>
                <w:color w:val="000000"/>
                <w:sz w:val="21"/>
              </w:rPr>
              <w:t>.小程序应用系统</w:t>
            </w:r>
          </w:p>
          <w:p>
            <w:pPr>
              <w:jc w:val="left"/>
            </w:pPr>
            <w:r>
              <w:rPr>
                <w:color w:val="000000"/>
                <w:sz w:val="21"/>
              </w:rPr>
              <w:t xml:space="preserve"> </w:t>
            </w:r>
            <w:r>
              <w:rPr>
                <w:color w:val="000000"/>
                <w:sz w:val="21"/>
              </w:rPr>
              <w:t>(一)首页</w:t>
            </w:r>
          </w:p>
          <w:p>
            <w:pPr>
              <w:jc w:val="left"/>
            </w:pPr>
            <w:r>
              <w:rPr>
                <w:color w:val="000000"/>
                <w:sz w:val="21"/>
              </w:rPr>
              <w:t>1.</w:t>
            </w:r>
            <w:r>
              <w:rPr>
                <w:color w:val="000000"/>
                <w:sz w:val="21"/>
              </w:rPr>
              <w:t>导航栏：显示大学名称和待办事项个数；</w:t>
            </w:r>
          </w:p>
          <w:p>
            <w:pPr>
              <w:jc w:val="left"/>
            </w:pPr>
            <w:r>
              <w:rPr>
                <w:color w:val="000000"/>
                <w:sz w:val="21"/>
              </w:rPr>
              <w:t>2.</w:t>
            </w:r>
            <w:r>
              <w:rPr>
                <w:color w:val="000000"/>
                <w:sz w:val="21"/>
              </w:rPr>
              <w:t>待办事项：显示当天具体有几件待办事项包括课程事项和添加的待办事项，点击进入日程功能；</w:t>
            </w:r>
          </w:p>
          <w:p>
            <w:pPr>
              <w:jc w:val="left"/>
            </w:pPr>
            <w:r>
              <w:rPr>
                <w:color w:val="000000"/>
                <w:sz w:val="21"/>
              </w:rPr>
              <w:t>3.</w:t>
            </w:r>
            <w:r>
              <w:rPr>
                <w:color w:val="000000"/>
                <w:sz w:val="21"/>
              </w:rPr>
              <w:t>扫一扫：扫描二维码</w:t>
            </w:r>
            <w:r>
              <w:rPr>
                <w:color w:val="000000"/>
                <w:sz w:val="21"/>
              </w:rPr>
              <w:t>/条形码的快速入口，支持打开手机手电筒的功能；</w:t>
            </w:r>
          </w:p>
          <w:p>
            <w:pPr>
              <w:jc w:val="left"/>
            </w:pPr>
            <w:r>
              <w:rPr>
                <w:color w:val="000000"/>
                <w:sz w:val="21"/>
              </w:rPr>
              <w:t>4.</w:t>
            </w:r>
            <w:r>
              <w:rPr>
                <w:color w:val="000000"/>
                <w:sz w:val="21"/>
              </w:rPr>
              <w:t>虚拟校园卡：支持现有虚拟校园卡展示，包含校园卡背景、照片、姓名、班级、学工号、账户有效期等；</w:t>
            </w:r>
          </w:p>
          <w:p>
            <w:pPr>
              <w:jc w:val="left"/>
            </w:pPr>
            <w:r>
              <w:rPr>
                <w:color w:val="000000"/>
                <w:sz w:val="21"/>
              </w:rPr>
              <w:t>5.</w:t>
            </w:r>
            <w:r>
              <w:rPr>
                <w:color w:val="000000"/>
                <w:sz w:val="21"/>
              </w:rPr>
              <w:t>校园码：点击打开用户校园码，用于认证和消费；</w:t>
            </w:r>
          </w:p>
          <w:p>
            <w:pPr>
              <w:jc w:val="left"/>
            </w:pPr>
            <w:r>
              <w:rPr>
                <w:color w:val="000000"/>
                <w:sz w:val="21"/>
              </w:rPr>
              <w:t>6.</w:t>
            </w:r>
            <w:r>
              <w:rPr>
                <w:color w:val="000000"/>
                <w:sz w:val="21"/>
              </w:rPr>
              <w:t>功能区：功能服务的展示区，可在大厅里编辑显示的先后顺序；</w:t>
            </w:r>
          </w:p>
          <w:p>
            <w:pPr>
              <w:jc w:val="left"/>
            </w:pPr>
            <w:r>
              <w:rPr>
                <w:color w:val="000000"/>
                <w:sz w:val="21"/>
              </w:rPr>
              <w:t>7.</w:t>
            </w:r>
            <w:r>
              <w:rPr>
                <w:color w:val="000000"/>
                <w:sz w:val="21"/>
              </w:rPr>
              <w:t>消息提醒：以滚动形式显示最新的消息提醒，可能是支付消息提醒，活动通知等消息通知，点击后跳转到动态</w:t>
            </w:r>
            <w:r>
              <w:rPr>
                <w:color w:val="000000"/>
                <w:sz w:val="21"/>
              </w:rPr>
              <w:t>Tab的系统通知页面；</w:t>
            </w:r>
          </w:p>
          <w:p>
            <w:pPr>
              <w:jc w:val="left"/>
            </w:pPr>
            <w:r>
              <w:rPr>
                <w:color w:val="000000"/>
                <w:sz w:val="21"/>
              </w:rPr>
              <w:t>8.</w:t>
            </w:r>
            <w:r>
              <w:rPr>
                <w:color w:val="000000"/>
                <w:sz w:val="21"/>
              </w:rPr>
              <w:t>全部应用：点击更多跳转到功能大厅，里面展示所有的功能应用，可编辑首页显示顺序，点击返回回到首页；</w:t>
            </w:r>
          </w:p>
          <w:p>
            <w:pPr>
              <w:jc w:val="left"/>
            </w:pPr>
            <w:r>
              <w:rPr>
                <w:color w:val="000000"/>
                <w:sz w:val="21"/>
              </w:rPr>
              <w:t>9.</w:t>
            </w:r>
            <w:r>
              <w:rPr>
                <w:color w:val="000000"/>
                <w:sz w:val="21"/>
              </w:rPr>
              <w:t>横幅：显示后台推的数据，当只有一张图片时，没有单个小圆点；当有多个图片时，才显示小圆点表明当前</w:t>
            </w:r>
            <w:r>
              <w:rPr>
                <w:color w:val="000000"/>
                <w:sz w:val="21"/>
              </w:rPr>
              <w:t>banner显示状态。有标题显示，没有标题不显示。</w:t>
            </w:r>
          </w:p>
          <w:p>
            <w:pPr>
              <w:jc w:val="left"/>
            </w:pPr>
            <w:r>
              <w:rPr>
                <w:color w:val="000000"/>
                <w:sz w:val="21"/>
              </w:rPr>
              <w:t>10.</w:t>
            </w:r>
            <w:r>
              <w:rPr>
                <w:color w:val="000000"/>
                <w:sz w:val="21"/>
              </w:rPr>
              <w:t>公告通知：公告通知的展示区，信息按时间倒序排列，默认显示标题和时间，配图小于等于三张，也可以没有，最多三张，根据配图的数量，信息的展示方式也不一样；</w:t>
            </w:r>
          </w:p>
          <w:p>
            <w:pPr>
              <w:jc w:val="left"/>
            </w:pPr>
            <w:r>
              <w:rPr>
                <w:color w:val="000000"/>
                <w:sz w:val="21"/>
              </w:rPr>
              <w:t>(二)服务大厅</w:t>
            </w:r>
          </w:p>
          <w:p>
            <w:pPr>
              <w:jc w:val="left"/>
            </w:pPr>
            <w:r>
              <w:rPr>
                <w:color w:val="000000"/>
                <w:sz w:val="21"/>
              </w:rPr>
              <w:t>1.</w:t>
            </w:r>
            <w:r>
              <w:rPr>
                <w:color w:val="000000"/>
                <w:sz w:val="21"/>
              </w:rPr>
              <w:t>用户领卡、绑定并激活校园卡后，即可看到学校管理员为该用户角色量身定做的服务大厅，用户能够根据自己的需要自行选择配置相关应用进行使用。</w:t>
            </w:r>
          </w:p>
          <w:p>
            <w:pPr>
              <w:jc w:val="left"/>
            </w:pPr>
            <w:r>
              <w:rPr>
                <w:color w:val="000000"/>
                <w:sz w:val="21"/>
              </w:rPr>
              <w:t>2.</w:t>
            </w:r>
            <w:r>
              <w:rPr>
                <w:color w:val="000000"/>
                <w:sz w:val="21"/>
              </w:rPr>
              <w:t>搜索栏：点击调用系统默认键盘，可搜索功能大厅里所有应用功能，支持关键字搜索，无结果会给出反馈；</w:t>
            </w:r>
          </w:p>
          <w:p>
            <w:pPr>
              <w:jc w:val="left"/>
            </w:pPr>
            <w:r>
              <w:rPr>
                <w:color w:val="000000"/>
                <w:sz w:val="21"/>
              </w:rPr>
              <w:t>3.</w:t>
            </w:r>
            <w:r>
              <w:rPr>
                <w:color w:val="000000"/>
                <w:sz w:val="21"/>
              </w:rPr>
              <w:t>我的服务：图标的形式展示用户在首页的功能服务，支持用户编辑，添加或者删除已有的功能服务，以展示的显示减号没有展示在首页的显示加号，并对它们进行拖动排序，最多展示七个。</w:t>
            </w:r>
          </w:p>
          <w:p>
            <w:pPr>
              <w:jc w:val="left"/>
            </w:pPr>
            <w:r>
              <w:rPr>
                <w:color w:val="000000"/>
                <w:sz w:val="21"/>
              </w:rPr>
              <w:t>4.</w:t>
            </w:r>
            <w:r>
              <w:rPr>
                <w:color w:val="000000"/>
                <w:sz w:val="21"/>
              </w:rPr>
              <w:t>功能列表：按照功能属性以分类的形式自上而下展示全部功能服务。</w:t>
            </w:r>
          </w:p>
          <w:p>
            <w:pPr>
              <w:jc w:val="left"/>
            </w:pPr>
            <w:r>
              <w:rPr>
                <w:color w:val="000000"/>
                <w:sz w:val="21"/>
              </w:rPr>
              <w:t>5.</w:t>
            </w:r>
            <w:r>
              <w:rPr>
                <w:color w:val="000000"/>
                <w:sz w:val="21"/>
              </w:rPr>
              <w:t>账号绑定：持卡人可通过小程序、公众号、服务号入口进入一卡通移动服务平台，能通过原校园卡账号密码绑定虚拟校园卡。</w:t>
            </w:r>
          </w:p>
          <w:p>
            <w:pPr>
              <w:jc w:val="left"/>
            </w:pPr>
            <w:r>
              <w:rPr>
                <w:color w:val="000000"/>
                <w:sz w:val="21"/>
              </w:rPr>
              <w:t>6.</w:t>
            </w:r>
            <w:r>
              <w:rPr>
                <w:color w:val="000000"/>
                <w:sz w:val="21"/>
              </w:rPr>
              <w:t>查询：持卡人可查询原校园卡的余额及历史交易流水；</w:t>
            </w:r>
          </w:p>
          <w:p>
            <w:pPr>
              <w:jc w:val="left"/>
            </w:pPr>
            <w:r>
              <w:rPr>
                <w:color w:val="000000"/>
                <w:sz w:val="21"/>
              </w:rPr>
              <w:t>7.</w:t>
            </w:r>
            <w:r>
              <w:rPr>
                <w:color w:val="000000"/>
                <w:sz w:val="21"/>
              </w:rPr>
              <w:t>充值：可对原校园卡充值，在任何一台消费机刷卡消费时能将账户余额写入原校园卡的大钱包内；</w:t>
            </w:r>
          </w:p>
          <w:p>
            <w:pPr>
              <w:jc w:val="left"/>
            </w:pPr>
            <w:r>
              <w:rPr>
                <w:color w:val="000000"/>
                <w:sz w:val="21"/>
              </w:rPr>
              <w:t>8.</w:t>
            </w:r>
            <w:r>
              <w:rPr>
                <w:color w:val="000000"/>
                <w:sz w:val="21"/>
              </w:rPr>
              <w:t>缴费：支持电费、网费、学杂费等费用的缴纳；</w:t>
            </w:r>
          </w:p>
          <w:p>
            <w:pPr>
              <w:jc w:val="left"/>
            </w:pPr>
            <w:r>
              <w:rPr>
                <w:color w:val="000000"/>
                <w:sz w:val="21"/>
              </w:rPr>
              <w:t>9.</w:t>
            </w:r>
            <w:r>
              <w:rPr>
                <w:color w:val="000000"/>
                <w:sz w:val="21"/>
              </w:rPr>
              <w:t>挂失、解挂：可对原校园卡进行挂失、解挂；</w:t>
            </w:r>
          </w:p>
          <w:p>
            <w:pPr>
              <w:jc w:val="left"/>
            </w:pPr>
            <w:r>
              <w:rPr>
                <w:color w:val="000000"/>
                <w:sz w:val="21"/>
              </w:rPr>
              <w:t>10.</w:t>
            </w:r>
            <w:r>
              <w:rPr>
                <w:color w:val="000000"/>
                <w:sz w:val="21"/>
              </w:rPr>
              <w:t>能自主设置虚拟卡的开启、关闭；</w:t>
            </w:r>
          </w:p>
          <w:p>
            <w:pPr>
              <w:jc w:val="left"/>
            </w:pPr>
            <w:r>
              <w:rPr>
                <w:color w:val="000000"/>
                <w:sz w:val="21"/>
              </w:rPr>
              <w:t>11.</w:t>
            </w:r>
            <w:r>
              <w:rPr>
                <w:color w:val="000000"/>
                <w:sz w:val="21"/>
              </w:rPr>
              <w:t>密码修改：能修改持卡人原校园卡的查询密码；</w:t>
            </w:r>
          </w:p>
          <w:p>
            <w:pPr>
              <w:jc w:val="left"/>
            </w:pPr>
            <w:r>
              <w:rPr>
                <w:color w:val="000000"/>
                <w:sz w:val="21"/>
              </w:rPr>
              <w:t>12.</w:t>
            </w:r>
            <w:r>
              <w:rPr>
                <w:color w:val="000000"/>
                <w:sz w:val="21"/>
              </w:rPr>
              <w:t>解绑：可解绑校园卡账号；</w:t>
            </w:r>
          </w:p>
          <w:p>
            <w:pPr>
              <w:jc w:val="left"/>
            </w:pPr>
            <w:r>
              <w:rPr>
                <w:color w:val="000000"/>
                <w:sz w:val="21"/>
              </w:rPr>
              <w:t>(三)动态</w:t>
            </w:r>
          </w:p>
          <w:p>
            <w:pPr>
              <w:jc w:val="left"/>
            </w:pPr>
            <w:r>
              <w:rPr>
                <w:color w:val="000000"/>
                <w:sz w:val="21"/>
              </w:rPr>
              <w:t>1.</w:t>
            </w:r>
            <w:r>
              <w:rPr>
                <w:color w:val="000000"/>
                <w:sz w:val="21"/>
              </w:rPr>
              <w:t>系统通知：所有系统通知类消息的汇总页面，按时间倒序排列，前置显示最新一条消息；</w:t>
            </w:r>
          </w:p>
          <w:p>
            <w:pPr>
              <w:jc w:val="left"/>
            </w:pPr>
            <w:r>
              <w:rPr>
                <w:color w:val="000000"/>
                <w:sz w:val="21"/>
              </w:rPr>
              <w:t>2.</w:t>
            </w:r>
            <w:r>
              <w:rPr>
                <w:color w:val="000000"/>
                <w:sz w:val="21"/>
              </w:rPr>
              <w:t>通知列表：互动消息的通知以列表方式按时间倒序排列，通知列表可折叠显示全部或隐藏；</w:t>
            </w:r>
          </w:p>
          <w:p>
            <w:pPr>
              <w:jc w:val="left"/>
            </w:pPr>
            <w:r>
              <w:rPr>
                <w:color w:val="000000"/>
                <w:sz w:val="21"/>
              </w:rPr>
              <w:t>(四)我的</w:t>
            </w:r>
          </w:p>
          <w:p>
            <w:pPr>
              <w:jc w:val="left"/>
            </w:pPr>
            <w:r>
              <w:rPr>
                <w:color w:val="000000"/>
                <w:sz w:val="21"/>
              </w:rPr>
              <w:t>1.</w:t>
            </w:r>
            <w:r>
              <w:rPr>
                <w:color w:val="000000"/>
                <w:sz w:val="21"/>
              </w:rPr>
              <w:t>个人资料：用户的个人资料页面，并支持进行修改；</w:t>
            </w:r>
          </w:p>
          <w:p>
            <w:pPr>
              <w:jc w:val="left"/>
            </w:pPr>
            <w:r>
              <w:rPr>
                <w:color w:val="000000"/>
                <w:sz w:val="21"/>
              </w:rPr>
              <w:t>2.</w:t>
            </w:r>
            <w:r>
              <w:rPr>
                <w:color w:val="000000"/>
                <w:sz w:val="21"/>
              </w:rPr>
              <w:t>校园卡：用户的校园虚拟卡，展示用户的身份信息包括姓名，班级，学号，一寸照及二维码，用户可绑定多张卡，滑动显示；</w:t>
            </w:r>
          </w:p>
          <w:p>
            <w:pPr>
              <w:jc w:val="left"/>
            </w:pPr>
            <w:r>
              <w:rPr>
                <w:color w:val="000000"/>
                <w:sz w:val="21"/>
              </w:rPr>
              <w:t>3.</w:t>
            </w:r>
            <w:r>
              <w:rPr>
                <w:color w:val="000000"/>
                <w:sz w:val="21"/>
              </w:rPr>
              <w:t>信息展示区：展示用户比较关注的信息并突出显示，包括电子账户余额及优惠券的数量，点击进入相关功能页面；</w:t>
            </w:r>
          </w:p>
          <w:p>
            <w:pPr>
              <w:jc w:val="left"/>
            </w:pPr>
            <w:r>
              <w:rPr>
                <w:color w:val="000000"/>
                <w:sz w:val="21"/>
              </w:rPr>
              <w:t>4.</w:t>
            </w:r>
            <w:r>
              <w:rPr>
                <w:color w:val="000000"/>
                <w:sz w:val="21"/>
              </w:rPr>
              <w:t>我的账单：用户的账单流水页面，按月份给用户推送账单，用户可看到详细的消费信息，消费的总额，消费的支出分类所占百分比及消费的趋势等信息；</w:t>
            </w:r>
          </w:p>
          <w:p>
            <w:pPr>
              <w:jc w:val="left"/>
            </w:pPr>
            <w:r>
              <w:rPr>
                <w:color w:val="000000"/>
                <w:sz w:val="21"/>
              </w:rPr>
              <w:t>5.</w:t>
            </w:r>
            <w:r>
              <w:rPr>
                <w:color w:val="000000"/>
                <w:sz w:val="21"/>
              </w:rPr>
              <w:t>功能大厅：功能大厅入口，点击进入功能大厅，展示所有功能；</w:t>
            </w:r>
          </w:p>
          <w:p>
            <w:pPr>
              <w:jc w:val="left"/>
            </w:pPr>
            <w:r>
              <w:rPr>
                <w:color w:val="000000"/>
                <w:sz w:val="21"/>
              </w:rPr>
              <w:t>6.</w:t>
            </w:r>
            <w:r>
              <w:rPr>
                <w:color w:val="000000"/>
                <w:sz w:val="21"/>
              </w:rPr>
              <w:t>设置：用户自定义设置页面，包括安全设置，认证介质，支付设置，账号的登录退出及通用字体语言的设置等相关功能设置；</w:t>
            </w:r>
          </w:p>
          <w:p>
            <w:pPr>
              <w:jc w:val="left"/>
            </w:pPr>
            <w:r>
              <w:rPr>
                <w:color w:val="000000"/>
                <w:sz w:val="21"/>
              </w:rPr>
              <w:t>7.</w:t>
            </w:r>
            <w:r>
              <w:rPr>
                <w:color w:val="000000"/>
                <w:sz w:val="21"/>
              </w:rPr>
              <w:t>脱机二维码：持卡人可在移动端自助设置开启在网络异常情况可以正常使用二维码付款服务，支持双脱机状态下的应用；</w:t>
            </w:r>
          </w:p>
          <w:p>
            <w:pPr>
              <w:jc w:val="left"/>
            </w:pPr>
            <w:r>
              <w:rPr>
                <w:color w:val="000000"/>
                <w:sz w:val="21"/>
              </w:rPr>
              <w:t>8.</w:t>
            </w:r>
            <w:r>
              <w:rPr>
                <w:color w:val="000000"/>
                <w:sz w:val="21"/>
              </w:rPr>
              <w:t>默认打开付款码：持卡人可在移动端自助设置默认打开付款码，实现启动移动服务时，自动弹出付款码界面；</w:t>
            </w:r>
          </w:p>
          <w:p>
            <w:pPr>
              <w:jc w:val="both"/>
            </w:pPr>
            <w:r>
              <w:rPr>
                <w:color w:val="000000"/>
                <w:sz w:val="21"/>
              </w:rPr>
              <w:t>9.</w:t>
            </w:r>
            <w:r>
              <w:rPr>
                <w:color w:val="000000"/>
                <w:sz w:val="21"/>
              </w:rPr>
              <w:t>帮助中心：用户常见问题解答帮助页面，用户根据需要选择遇到的常见问题，并根据问题给出解决方案，也是用户反馈问题的入口。</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采购包3（白云校区图书馆监控及门禁系统补充建设采购）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合同签署之日起，45天完成所有货物的送达、安装和调试。</w:t>
            </w:r>
          </w:p>
        </w:tc>
      </w:tr>
      <w:tr>
        <w:tc>
          <w:tcPr>
            <w:tcW w:type="dxa" w:w="4153"/>
          </w:tcPr>
          <w:p>
            <w:r>
              <w:rPr/>
              <w:t>标的提供的地点</w:t>
            </w:r>
          </w:p>
        </w:tc>
        <w:tc>
          <w:tcPr>
            <w:tcW w:type="dxa" w:w="4153"/>
          </w:tcPr>
          <w:p/>
          <w:p>
            <w:r>
              <w:rPr/>
              <w:t>广州市白云区江高镇环镇西路155号广东技术师范大学白云校区图书馆</w:t>
            </w:r>
          </w:p>
        </w:tc>
      </w:tr>
      <w:tr>
        <w:tc>
          <w:tcPr>
            <w:tcW w:type="dxa" w:w="4153"/>
          </w:tcPr>
          <w:p>
            <w:r>
              <w:rPr/>
              <w:t>付款方式</w:t>
            </w:r>
          </w:p>
        </w:tc>
        <w:tc>
          <w:tcPr>
            <w:tcW w:type="dxa" w:w="4153"/>
          </w:tcPr>
          <w:p/>
          <w:p/>
          <w:p>
            <w:r>
              <w:rPr/>
              <w:t>1期：支付比例30%,1.投标人中标后，按采购人要求开立一个由采购人与中标人双方及银行三方监管的账户。 2.签订合同3个工作日内，中标人开具合同等额的增值税专用发票交采购人向银行申请资金，经银行审核同意后，采购人将合同金额的100%合同款支付至三方监管账户。（若中标人为中小企业，采购人按照政府采购相关规定支付合同金额的30%预付款，中标人可从三方监管账户转出该款项。）</w:t>
            </w:r>
          </w:p>
          <w:p/>
          <w:p>
            <w:r>
              <w:rPr/>
              <w:t>2期：支付比例70%,3.合同设备按采购人要求全部交付到指定地点、完成安装及验收合格后，凭加盖采购人公章的调试验收使用意见，中标人向采购人付合同金额的5%作为履约保证金后，采购人同意中标人转出三方监管账户全部资金。 4.5%的履约保证金在项目验收合格满一年后，由中标人提出申请，凭用户出具的无质量及违约问题的证明及保证金收据，采购人在十五个工作日内（寒暑假顺延）无息退还给中标人。</w:t>
            </w:r>
          </w:p>
        </w:tc>
      </w:tr>
      <w:tr>
        <w:tc>
          <w:tcPr>
            <w:tcW w:type="dxa" w:w="4153"/>
          </w:tcPr>
          <w:p>
            <w:r>
              <w:rPr/>
              <w:t>验收要求</w:t>
            </w:r>
          </w:p>
        </w:tc>
        <w:tc>
          <w:tcPr>
            <w:tcW w:type="dxa" w:w="4153"/>
          </w:tcPr>
          <w:p/>
          <w:p/>
          <w:p/>
          <w:p>
            <w:r>
              <w:rPr/>
              <w:t>1期：1.验收应在采购人和中标人双方共同参加下按国家有关的规定、规范进行。交付验收标准依次序对照适用标准为：①符合中华人民共和国国家安全质量标准、环保标准或行业标准；②符合招标文件和投标承诺中采购人认可的合理最佳配置、参数及各项要求；③货物来源国官方标准。 2.货物为原厂商未启封全新包装，据出厂合格证，序列号、包装箱号与出厂批号一致，并可追索查阅，所有随设备的附件必须齐全。如发现所交付的设备有短装、次品、损坏或其它不符合招标文件规定之情形者，采购人应做出详尽的现场记录，或由采购人和中标人双方签署备忘录。此现场记录或备忘录可用作补充、缺失和更换损坏部件的有效证据。由此产生的有关费用由中标人承担。 3.采购人按照合同规定的技术、服务、安全标准组织对中标人履约情况进行验收，并出具验收报告。验收报告应当包括每一项技术、服务、安全标准的履约情况。 4.中标人将货物的用户手册、保修手册、有关单证资料及备品备件、随机工具等交付给采购人，使用操作及安全须知等重要资料应附有中文说明。 5.货物验收所发生的检验费用由中标人负担。 6.采购人组成验收小组，按照采购合同规定的技术、服务、安全标准组织对中标人履约情况进行验收。因货物质量问题发生争议时，由采购人本地市场监督管理部门鉴定。货物符合质量技术标准的，鉴定费由采购人承担；否则鉴定费由中标人承担。 7.中标人提供的技术参数数据须是真实可靠的，如果采购人验收时设备达不到所承诺的技术指标，中标人须无条件退货并重新提供符合所承诺技术指标的设备。</w:t>
            </w:r>
          </w:p>
        </w:tc>
      </w:tr>
      <w:tr>
        <w:tc>
          <w:tcPr>
            <w:tcW w:type="dxa" w:w="4153"/>
          </w:tcPr>
          <w:p>
            <w:r>
              <w:rPr/>
              <w:t>履约保证金</w:t>
            </w:r>
          </w:p>
        </w:tc>
        <w:tc>
          <w:tcPr>
            <w:tcW w:type="dxa" w:w="4153"/>
          </w:tcPr>
          <w:p/>
          <w:p/>
          <w:p/>
          <w:p/>
          <w:p>
            <w:r>
              <w:rPr/>
              <w:t>收取比例：5%,说明：1.项目所有设备经采购人验收合格后，中标人在五个工作日内向采购人支付合同价款5%作为履约保证金； 2.验收满一年后，货物无质量问题，自中标人提交申请材料后，凭用户出具的无质量及违约问题的证明及保证金收据，在十五个工作日内（寒暑假顺延）无息退还中标人的5%履约保证金。</w:t>
            </w:r>
          </w:p>
        </w:tc>
      </w:tr>
      <w:tr>
        <w:tc>
          <w:tcPr>
            <w:tcW w:type="dxa" w:w="4153"/>
          </w:tcPr>
          <w:p>
            <w:r>
              <w:rPr/>
              <w:t>其他</w:t>
            </w:r>
          </w:p>
        </w:tc>
        <w:tc>
          <w:tcPr>
            <w:tcW w:type="dxa" w:w="4153"/>
          </w:tcPr>
          <w:p/>
          <w:p/>
          <w:p>
            <w:r>
              <w:rPr/>
              <w:t>风险提示，参与本项目竞争的供应商，应充分考虑到采购人可能会因政策调整等不可控因素而终止采购活动或者终止合同履行对自身造成的不利影响，并做好风险防控。</w:t>
            </w:r>
          </w:p>
          <w:p/>
          <w:p>
            <w:r>
              <w:rPr/>
              <w:t>其他，1.服务要求 投标人对所投设备及软件系统提供至少三年的无条件保修及技术支持服务。（费用包含在投标报价中，采购人不额外支付任何费用。） 2.保修期 （1）针对本项目所有设备和软件系统，应提供至少三年售后服务。保修期内，中标人对所有设备提供7*24小时无条件上门维护服务，无条件提供人工、部件。（费用包含在投标报价中，采购人不额外支付任何费用。） 3.售后要求 （1）所有设备保修期均为整机无条件（人工+配件）上门保修至少三年。（费用包含在投标报价中，采购人不额外支付任何费用。） （2）在各设备或配件的保修期内发生故障，由中标人负责联系厂家进行维修或更换。 （3）保修期间采购人所购设备各部件发生非人为故障中标人应无条件上门更换同种品牌不低于原规格型号的新部件。对于不能明确是否是硬件出现故障时，中标人应尽力配合采购人进行检查，在必要时，能在上述响应时间内到达现场协助排除问题。 （4）保修期间，同一硬件一个月内连续2次出现同一故障，中标人须无偿更换不低于同一档次机器。 （5）投标人应提供交货地点厂家维修部的电话及联系人，采购人报修后，采购人所在地的厂家维修部，须在4个小时内响应，并在6个小时内派员上门现场维护，须在12个小时内解决问题。在12个小时内不能解决问题的机器，应在24小时内提供同档次的机器给采购人代用。投标人须在售后服务承诺中承诺维修人员到场维修的时间。 （6）中标人负责对采购人受训人员进行操作、维修培训，直至采购人能熟练操作为止。 4.培训要求： （1）中标人为采购人提供操作及维护培训，主要内容为设备的基本结构、性能、主要部件的构造及原理，日常使用操作、保养与管理，常见故障的排除，紧急情况的处理等，培训地点主要在设备安装现场或按双方协商。</w:t>
            </w:r>
          </w:p>
        </w:tc>
      </w:tr>
    </w:tbl>
    <w:p>
      <w:r>
        <w:rPr>
          <w:b/>
        </w:rPr>
        <w:t>2.技术标准与要求</w:t>
      </w:r>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其他网络设备</w:t>
            </w:r>
          </w:p>
        </w:tc>
        <w:tc>
          <w:tcPr>
            <w:tcW w:type="dxa" w:w="831"/>
          </w:tcPr>
          <w:p>
            <w:pPr>
              <w:jc w:val="left"/>
            </w:pPr>
            <w:r>
              <w:rPr/>
              <w:t>室内彩色半球摄像机（电梯轿厢用）等设备</w:t>
            </w:r>
          </w:p>
        </w:tc>
        <w:tc>
          <w:tcPr>
            <w:tcW w:type="dxa" w:w="831"/>
          </w:tcPr>
          <w:p>
            <w:pPr>
              <w:jc w:val="left"/>
            </w:pPr>
            <w:r>
              <w:rPr/>
              <w:t>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其他网络设备</w:t>
            </w:r>
          </w:p>
        </w:tc>
        <w:tc>
          <w:tcPr>
            <w:tcW w:type="dxa" w:w="831"/>
          </w:tcPr>
          <w:p>
            <w:pPr>
              <w:jc w:val="left"/>
            </w:pPr>
            <w:r>
              <w:rPr/>
              <w:t>室内彩色半球摄像机</w:t>
            </w:r>
          </w:p>
        </w:tc>
        <w:tc>
          <w:tcPr>
            <w:tcW w:type="dxa" w:w="831"/>
          </w:tcPr>
          <w:p>
            <w:pPr>
              <w:jc w:val="left"/>
            </w:pPr>
            <w:r>
              <w:rPr/>
              <w:t>个</w:t>
            </w:r>
          </w:p>
        </w:tc>
        <w:tc>
          <w:tcPr>
            <w:tcW w:type="dxa" w:w="831"/>
          </w:tcPr>
          <w:p>
            <w:pPr>
              <w:jc w:val="right"/>
            </w:pPr>
            <w:r>
              <w:rPr/>
              <w:t>253.00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w:t>
            </w:r>
          </w:p>
        </w:tc>
      </w:tr>
    </w:tbl>
    <w:p/>
    <w:p>
      <w:r>
        <w:rPr>
          <w:b/>
        </w:rPr>
        <w:t>附表</w:t>
      </w:r>
      <w:r>
        <w:rPr>
          <w:b/>
        </w:rPr>
        <w:t>一</w:t>
      </w:r>
      <w:r>
        <w:rPr>
          <w:b/>
        </w:rPr>
        <w:t>：</w:t>
      </w:r>
      <w:r>
        <w:rPr>
          <w:b/>
        </w:rPr>
        <w:t>室内彩色半球摄像机（电梯轿厢用）等设备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color w:val="000000"/>
                <w:sz w:val="21"/>
              </w:rPr>
              <w:t>一、室内彩色半球摄像机（电梯轿厢用）（数量：</w:t>
            </w:r>
            <w:r>
              <w:rPr>
                <w:b/>
                <w:color w:val="000000"/>
                <w:sz w:val="21"/>
              </w:rPr>
              <w:t>6个）</w:t>
            </w:r>
            <w:r>
              <w:br/>
            </w:r>
            <w:r>
              <w:rPr>
                <w:color w:val="000000"/>
                <w:sz w:val="21"/>
              </w:rPr>
              <w:t>1.不低于400万像素；</w:t>
            </w:r>
          </w:p>
          <w:p>
            <w:pPr>
              <w:jc w:val="left"/>
            </w:pPr>
            <w:r>
              <w:rPr>
                <w:color w:val="000000"/>
                <w:sz w:val="21"/>
              </w:rPr>
              <w:t>2.镜头：定焦，焦距2.8mm；</w:t>
            </w:r>
          </w:p>
          <w:p>
            <w:pPr>
              <w:jc w:val="left"/>
            </w:pPr>
            <w:r>
              <w:rPr>
                <w:color w:val="000000"/>
                <w:sz w:val="21"/>
              </w:rPr>
              <w:t>3.最低照度：彩色≤0.003lx，黑白≤0.001lx；</w:t>
            </w:r>
          </w:p>
          <w:p>
            <w:pPr>
              <w:jc w:val="left"/>
            </w:pPr>
            <w:r>
              <w:rPr>
                <w:color w:val="000000"/>
                <w:sz w:val="21"/>
              </w:rPr>
              <w:t>4.支持ONVIF、GB/T 28181标准协议；</w:t>
            </w:r>
          </w:p>
          <w:p>
            <w:pPr>
              <w:jc w:val="left"/>
            </w:pPr>
            <w:r>
              <w:rPr>
                <w:color w:val="000000"/>
                <w:sz w:val="21"/>
              </w:rPr>
              <w:t>5.支持H.265、H.264、MJPEG编码；</w:t>
            </w:r>
          </w:p>
          <w:p>
            <w:pPr>
              <w:jc w:val="left"/>
            </w:pPr>
            <w:r>
              <w:rPr>
                <w:color w:val="000000"/>
                <w:sz w:val="21"/>
              </w:rPr>
              <w:t>6.存储方式：Micro SD，最大可支持</w:t>
            </w:r>
            <w:r>
              <w:rPr>
                <w:sz w:val="21"/>
              </w:rPr>
              <w:t>不少于</w:t>
            </w:r>
            <w:r>
              <w:rPr>
                <w:color w:val="000000"/>
                <w:sz w:val="21"/>
              </w:rPr>
              <w:t>256GB；</w:t>
            </w:r>
          </w:p>
          <w:p>
            <w:pPr>
              <w:jc w:val="left"/>
            </w:pPr>
            <w:r>
              <w:rPr>
                <w:color w:val="000000"/>
                <w:sz w:val="21"/>
              </w:rPr>
              <w:t>7.支持三码流，主码流不低于1920×1080@25fps</w:t>
            </w:r>
          </w:p>
          <w:p>
            <w:pPr>
              <w:jc w:val="left"/>
            </w:pPr>
            <w:r>
              <w:rPr>
                <w:color w:val="000000"/>
                <w:sz w:val="21"/>
              </w:rPr>
              <w:t>8.视场角（水平）：106.7°/87.5°/54.2°（2.8mm/4mm/6mm）；</w:t>
            </w:r>
          </w:p>
          <w:p>
            <w:pPr>
              <w:jc w:val="left"/>
            </w:pPr>
            <w:r>
              <w:rPr>
                <w:color w:val="000000"/>
                <w:sz w:val="21"/>
              </w:rPr>
              <w:t>9.视场角（垂直）：57.1°/46.3°/28.9°（2.8mm/4mm/6mm）；</w:t>
            </w:r>
          </w:p>
          <w:p>
            <w:pPr>
              <w:jc w:val="left"/>
            </w:pPr>
            <w:r>
              <w:rPr>
                <w:color w:val="000000"/>
                <w:sz w:val="21"/>
              </w:rPr>
              <w:t>10.支持人脸抓拍功能，可对经过设定区域的行人进行人脸检测和人脸跟踪，当检测到人脸后，可抓拍人脸图片，抓拍图片数量可设，可设置抓拍人脸小图；</w:t>
            </w:r>
          </w:p>
          <w:p>
            <w:pPr>
              <w:jc w:val="left"/>
            </w:pPr>
            <w:r>
              <w:rPr>
                <w:color w:val="000000"/>
                <w:sz w:val="21"/>
              </w:rPr>
              <w:t>11.支持走廊模式，开启走廊模式之后，监控画面可90°旋转并自动调整宽高比；</w:t>
            </w:r>
          </w:p>
          <w:p>
            <w:pPr>
              <w:jc w:val="left"/>
            </w:pPr>
            <w:r>
              <w:rPr>
                <w:color w:val="000000"/>
                <w:sz w:val="21"/>
              </w:rPr>
              <w:t>12.支持以IPSAN或以ISCSI直存方式进行双路传输数据；</w:t>
            </w:r>
          </w:p>
          <w:p>
            <w:pPr>
              <w:jc w:val="left"/>
            </w:pPr>
            <w:r>
              <w:rPr>
                <w:color w:val="000000"/>
                <w:sz w:val="21"/>
              </w:rPr>
              <w:t>13.支持宽动态自动切换功能，当环境亮度变化时，可自动开启/关闭宽动态；</w:t>
            </w:r>
          </w:p>
          <w:p>
            <w:pPr>
              <w:jc w:val="left"/>
            </w:pPr>
            <w:r>
              <w:rPr>
                <w:color w:val="000000"/>
                <w:sz w:val="21"/>
              </w:rPr>
              <w:t xml:space="preserve">14.支持越界检测、区域入侵、进入区域、离开区域等智能行为分析功能；                   </w:t>
            </w:r>
          </w:p>
          <w:p>
            <w:pPr>
              <w:jc w:val="left"/>
            </w:pPr>
            <w:r>
              <w:rPr>
                <w:color w:val="000000"/>
                <w:sz w:val="21"/>
              </w:rPr>
              <w:t>15.在同一静止场景、相同图像参数，设备开启高级模式与普通模式相比，码率节约为92%；</w:t>
            </w:r>
          </w:p>
          <w:p>
            <w:pPr>
              <w:jc w:val="left"/>
            </w:pPr>
            <w:r>
              <w:rPr>
                <w:color w:val="000000"/>
                <w:sz w:val="21"/>
              </w:rPr>
              <w:t>16.▲支持认证模式设置功能，可通过IE浏览器或客户端软件设置身份认证模式，设置选项包括无、Basic和Digest三种（以第三方检测机构出具的检测报告为准）；</w:t>
            </w:r>
          </w:p>
          <w:p>
            <w:pPr>
              <w:jc w:val="left"/>
            </w:pPr>
            <w:r>
              <w:rPr>
                <w:color w:val="000000"/>
                <w:sz w:val="21"/>
              </w:rPr>
              <w:t>17.支持网关ARP绑定功能，设备可通过IE浏览器添加并绑定设备所在网段网关的MAC地址，当其它终端设备访问设备时，若使用正确的网关MAC地址即设备绑定的MAC地址则可以正常访问设备；当使用错误的网关MAC地址即不是设备绑定的MAC地址则不能访问设备（以第三方检测机构出具的检测报告为准）；</w:t>
            </w:r>
          </w:p>
          <w:p>
            <w:pPr>
              <w:jc w:val="left"/>
            </w:pPr>
            <w:r>
              <w:rPr>
                <w:color w:val="000000"/>
                <w:sz w:val="21"/>
              </w:rPr>
              <w:t>18.支持双向语音对讲和单向语音广播功能（以第三方检测机构出具的检测报告为准）；</w:t>
            </w:r>
          </w:p>
          <w:p>
            <w:pPr>
              <w:jc w:val="left"/>
            </w:pPr>
            <w:r>
              <w:rPr>
                <w:color w:val="000000"/>
                <w:sz w:val="21"/>
              </w:rPr>
              <w:t>19.供电方式：DC12V±25%，支持POE供电；</w:t>
            </w:r>
          </w:p>
          <w:p>
            <w:pPr>
              <w:jc w:val="left"/>
            </w:pPr>
            <w:r>
              <w:rPr>
                <w:color w:val="000000"/>
                <w:sz w:val="21"/>
              </w:rPr>
              <w:t>20.接口：10M/100M自适应以太网电口；</w:t>
            </w:r>
          </w:p>
          <w:p>
            <w:pPr>
              <w:jc w:val="left"/>
            </w:pPr>
            <w:r>
              <w:rPr>
                <w:color w:val="000000"/>
                <w:sz w:val="21"/>
              </w:rPr>
              <w:t>21.防护等级不低于IP66，防暴等级不低于IK10；</w:t>
            </w:r>
            <w:r>
              <w:br/>
            </w:r>
            <w:r>
              <w:rPr>
                <w:color w:val="000000"/>
                <w:sz w:val="21"/>
              </w:rPr>
              <w:t>22.Non-Brand DC12V/1A墙插电源适配器：6个</w:t>
            </w:r>
            <w:r>
              <w:br/>
            </w:r>
            <w:r>
              <w:br/>
            </w:r>
            <w:r>
              <w:rPr>
                <w:b/>
                <w:color w:val="000000"/>
                <w:sz w:val="21"/>
              </w:rPr>
              <w:t>二、彩色网络摄像机（数量：</w:t>
            </w:r>
            <w:r>
              <w:rPr>
                <w:b/>
                <w:color w:val="000000"/>
                <w:sz w:val="21"/>
              </w:rPr>
              <w:t>44个）</w:t>
            </w:r>
            <w:r>
              <w:br/>
            </w:r>
            <w:r>
              <w:rPr>
                <w:color w:val="000000"/>
                <w:sz w:val="21"/>
              </w:rPr>
              <w:t>1.不低于400万像素；</w:t>
            </w:r>
          </w:p>
          <w:p>
            <w:pPr>
              <w:jc w:val="left"/>
            </w:pPr>
            <w:r>
              <w:rPr>
                <w:color w:val="000000"/>
                <w:sz w:val="21"/>
              </w:rPr>
              <w:t>2.镜头：定焦，焦距4mm/6mm/8mm/12mm可选；</w:t>
            </w:r>
          </w:p>
          <w:p>
            <w:pPr>
              <w:jc w:val="left"/>
            </w:pPr>
            <w:r>
              <w:rPr>
                <w:color w:val="000000"/>
                <w:sz w:val="21"/>
              </w:rPr>
              <w:t>3.最低照度：彩色≤0.003lx，黑白≤0.001lx；</w:t>
            </w:r>
          </w:p>
          <w:p>
            <w:pPr>
              <w:jc w:val="left"/>
            </w:pPr>
            <w:r>
              <w:rPr>
                <w:color w:val="000000"/>
                <w:sz w:val="21"/>
              </w:rPr>
              <w:t>4.支持ONVIF、GB/T 28181标准协议；</w:t>
            </w:r>
          </w:p>
          <w:p>
            <w:pPr>
              <w:jc w:val="left"/>
            </w:pPr>
            <w:r>
              <w:rPr>
                <w:color w:val="000000"/>
                <w:sz w:val="21"/>
              </w:rPr>
              <w:t>5.支持H.265、H.264、MJPEG编码；</w:t>
            </w:r>
          </w:p>
          <w:p>
            <w:pPr>
              <w:jc w:val="left"/>
            </w:pPr>
            <w:r>
              <w:rPr>
                <w:color w:val="000000"/>
                <w:sz w:val="21"/>
              </w:rPr>
              <w:t>6.存储方式：Micro SD，最大可支持</w:t>
            </w:r>
            <w:r>
              <w:rPr>
                <w:sz w:val="21"/>
              </w:rPr>
              <w:t>不少于</w:t>
            </w:r>
            <w:r>
              <w:rPr>
                <w:color w:val="000000"/>
                <w:sz w:val="21"/>
              </w:rPr>
              <w:t>256GB；</w:t>
            </w:r>
          </w:p>
          <w:p>
            <w:pPr>
              <w:jc w:val="left"/>
            </w:pPr>
            <w:r>
              <w:rPr>
                <w:color w:val="000000"/>
                <w:sz w:val="21"/>
              </w:rPr>
              <w:t>7.支持三码流，主码流不低于1920×1080@25fps</w:t>
            </w:r>
          </w:p>
          <w:p>
            <w:pPr>
              <w:jc w:val="left"/>
            </w:pPr>
            <w:r>
              <w:rPr>
                <w:color w:val="000000"/>
                <w:sz w:val="21"/>
              </w:rPr>
              <w:t>8.支持人脸抓拍功能，可对经过设定区域的行人进行人脸检测和人脸跟踪，当检测到人脸后，可抓拍人脸图片，抓拍图片数量可设，可设置抓拍人脸小图；</w:t>
            </w:r>
          </w:p>
          <w:p>
            <w:pPr>
              <w:jc w:val="left"/>
            </w:pPr>
            <w:r>
              <w:rPr>
                <w:color w:val="000000"/>
                <w:sz w:val="21"/>
              </w:rPr>
              <w:t>9.支持走廊模式，开启走廊模式之后，监控画面可90°旋转并自动调整宽高比；</w:t>
            </w:r>
          </w:p>
          <w:p>
            <w:pPr>
              <w:jc w:val="left"/>
            </w:pPr>
            <w:r>
              <w:rPr>
                <w:color w:val="000000"/>
                <w:sz w:val="21"/>
              </w:rPr>
              <w:t>10.支持宽动态自动切换功能，当环境亮度变化时，可自动开启/关闭宽动态；</w:t>
            </w:r>
          </w:p>
          <w:p>
            <w:pPr>
              <w:jc w:val="left"/>
            </w:pPr>
            <w:r>
              <w:rPr>
                <w:color w:val="000000"/>
                <w:sz w:val="21"/>
              </w:rPr>
              <w:t>11.支持以IPSAN或以ISCSI直存方式进行双路传输数据；</w:t>
            </w:r>
          </w:p>
          <w:p>
            <w:pPr>
              <w:jc w:val="left"/>
            </w:pPr>
            <w:r>
              <w:rPr>
                <w:color w:val="000000"/>
                <w:sz w:val="21"/>
              </w:rPr>
              <w:t>12.支持越界检测、区域入侵、进入区域、离开区域等智能行为分析功能；</w:t>
            </w:r>
          </w:p>
          <w:p>
            <w:pPr>
              <w:jc w:val="left"/>
            </w:pPr>
            <w:r>
              <w:rPr>
                <w:color w:val="000000"/>
                <w:sz w:val="21"/>
              </w:rPr>
              <w:t>13.支持运动检测、遮挡检测、声音异常检测</w:t>
            </w:r>
          </w:p>
          <w:p>
            <w:pPr>
              <w:jc w:val="left"/>
            </w:pPr>
            <w:r>
              <w:rPr>
                <w:color w:val="000000"/>
                <w:sz w:val="21"/>
              </w:rPr>
              <w:t>14.在同一静止场景、相同图像参数，设备开启高级模式与普通模式相比，码率节约为92%（以第三方检测机构出具的检测报告为准）；</w:t>
            </w:r>
          </w:p>
          <w:p>
            <w:pPr>
              <w:jc w:val="left"/>
            </w:pPr>
            <w:r>
              <w:rPr>
                <w:color w:val="000000"/>
                <w:sz w:val="21"/>
              </w:rPr>
              <w:t>15.支持认证模式设置功能，可通过IE浏览器或客户端软件设置身份认证模式，设置选项包括无、Basic和Digest三种（以第三方检测机构出具的检测报告为准）；</w:t>
            </w:r>
          </w:p>
          <w:p>
            <w:pPr>
              <w:jc w:val="left"/>
            </w:pPr>
            <w:r>
              <w:rPr>
                <w:color w:val="000000"/>
                <w:sz w:val="21"/>
              </w:rPr>
              <w:t>16.▲支持网关ARP绑定功能，可通过IE浏览器添加并绑定设备所在网段网关的MAC地址，当其它终端设备访问设备时，若使用正确的网关MAC地址即设备绑定的MAC地址则可以正常访问设备；当使用错误的网关MAC地址即不是设备绑定的MAC地址则不能访问设备（以第三方检测机构出具的检测报告为准）；</w:t>
            </w:r>
          </w:p>
          <w:p>
            <w:pPr>
              <w:jc w:val="left"/>
            </w:pPr>
            <w:r>
              <w:rPr>
                <w:color w:val="000000"/>
                <w:sz w:val="21"/>
              </w:rPr>
              <w:t>17.支持内置Mic；</w:t>
            </w:r>
          </w:p>
          <w:p>
            <w:pPr>
              <w:jc w:val="left"/>
            </w:pPr>
            <w:r>
              <w:rPr>
                <w:color w:val="000000"/>
                <w:sz w:val="21"/>
              </w:rPr>
              <w:t>18.供电方式：DC12V±25%，支持POE供电；</w:t>
            </w:r>
          </w:p>
          <w:p>
            <w:pPr>
              <w:jc w:val="left"/>
            </w:pPr>
            <w:r>
              <w:rPr>
                <w:color w:val="000000"/>
                <w:sz w:val="21"/>
              </w:rPr>
              <w:t>19.接口：10M/100M自适应以太网电口；</w:t>
            </w:r>
          </w:p>
          <w:p>
            <w:pPr>
              <w:jc w:val="left"/>
            </w:pPr>
            <w:r>
              <w:rPr>
                <w:color w:val="000000"/>
                <w:sz w:val="21"/>
              </w:rPr>
              <w:t>20.防护等级不低于IP66；</w:t>
            </w:r>
            <w:r>
              <w:br/>
            </w:r>
            <w:r>
              <w:rPr>
                <w:color w:val="000000"/>
                <w:sz w:val="21"/>
              </w:rPr>
              <w:t>21.Non-Brand DC12V/1A墙插电源适配器：6个</w:t>
            </w:r>
            <w:r>
              <w:br/>
            </w:r>
            <w:r>
              <w:rPr>
                <w:color w:val="000000"/>
                <w:sz w:val="21"/>
              </w:rPr>
              <w:t>22.6寸筒机壁装支架：6个</w:t>
            </w:r>
            <w:r>
              <w:br/>
            </w:r>
            <w:r>
              <w:br/>
            </w:r>
            <w:r>
              <w:rPr>
                <w:b/>
                <w:color w:val="000000"/>
                <w:sz w:val="21"/>
              </w:rPr>
              <w:t>三、门禁管理系统（数量：</w:t>
            </w:r>
            <w:r>
              <w:rPr>
                <w:b/>
                <w:color w:val="000000"/>
                <w:sz w:val="21"/>
              </w:rPr>
              <w:t>1个）</w:t>
            </w:r>
            <w:r>
              <w:br/>
            </w:r>
            <w:r>
              <w:rPr>
                <w:color w:val="000000"/>
                <w:sz w:val="21"/>
              </w:rPr>
              <w:t>1.</w:t>
            </w:r>
            <w:r>
              <w:rPr>
                <w:sz w:val="21"/>
              </w:rPr>
              <w:t>库容：</w:t>
            </w:r>
            <w:r>
              <w:rPr>
                <w:sz w:val="21"/>
              </w:rPr>
              <w:t>≥10W（万）;</w:t>
            </w:r>
          </w:p>
          <w:p>
            <w:pPr>
              <w:jc w:val="left"/>
            </w:pPr>
            <w:r>
              <w:rPr>
                <w:sz w:val="21"/>
              </w:rPr>
              <w:t>2.内存：≥16G;</w:t>
            </w:r>
          </w:p>
          <w:p>
            <w:pPr>
              <w:jc w:val="left"/>
            </w:pPr>
            <w:r>
              <w:rPr>
                <w:sz w:val="21"/>
              </w:rPr>
              <w:t>3.至少支持32路终端;</w:t>
            </w:r>
          </w:p>
          <w:p>
            <w:pPr>
              <w:jc w:val="left"/>
            </w:pPr>
            <w:r>
              <w:rPr>
                <w:sz w:val="21"/>
              </w:rPr>
              <w:t>4.最大白名单库：10W（万）;</w:t>
            </w:r>
          </w:p>
          <w:p>
            <w:pPr>
              <w:jc w:val="left"/>
            </w:pPr>
            <w:r>
              <w:rPr>
                <w:color w:val="000000"/>
                <w:sz w:val="21"/>
              </w:rPr>
              <w:t>5.最大访客库：1W</w:t>
            </w:r>
            <w:r>
              <w:rPr>
                <w:sz w:val="21"/>
              </w:rPr>
              <w:t>（万）</w:t>
            </w:r>
            <w:r>
              <w:rPr>
                <w:sz w:val="21"/>
              </w:rPr>
              <w:t>;</w:t>
            </w:r>
          </w:p>
          <w:p>
            <w:pPr>
              <w:jc w:val="left"/>
            </w:pPr>
            <w:r>
              <w:rPr>
                <w:sz w:val="21"/>
              </w:rPr>
              <w:t>6.过人结构化数据保存数：≥250万条（4T硬盘）;</w:t>
            </w:r>
          </w:p>
          <w:p>
            <w:pPr>
              <w:jc w:val="left"/>
            </w:pPr>
            <w:r>
              <w:rPr>
                <w:sz w:val="21"/>
              </w:rPr>
              <w:t>7.过人图片保存数：≥75</w:t>
            </w:r>
            <w:r>
              <w:rPr>
                <w:color w:val="000000"/>
                <w:sz w:val="21"/>
              </w:rPr>
              <w:t>万（</w:t>
            </w:r>
            <w:r>
              <w:rPr>
                <w:color w:val="000000"/>
                <w:sz w:val="21"/>
              </w:rPr>
              <w:t>1T硬盘）；</w:t>
            </w:r>
          </w:p>
          <w:p>
            <w:pPr>
              <w:jc w:val="left"/>
            </w:pPr>
            <w:r>
              <w:rPr>
                <w:color w:val="000000"/>
                <w:sz w:val="21"/>
              </w:rPr>
              <w:t>8.访问并发量：支持最多5路客户端访问；门禁系统的建设</w:t>
            </w:r>
          </w:p>
          <w:p>
            <w:pPr>
              <w:jc w:val="left"/>
            </w:pPr>
            <w:r>
              <w:rPr>
                <w:color w:val="000000"/>
                <w:sz w:val="21"/>
              </w:rPr>
              <w:t>9.★采用支持“卡、码、脸”开锁方式，支持使用师生的校园卡（新中新），支持对接学校现有人脸库平台（天津新泰基业电子股份有限公司产品）、统一身份认证平台（联奕科技股份有限公司）、企业微信以及将要建设的“一网通办”平台的公共资源预约系统，提供承诺或声明；</w:t>
            </w:r>
          </w:p>
          <w:p>
            <w:pPr>
              <w:jc w:val="left"/>
            </w:pPr>
            <w:r>
              <w:rPr>
                <w:color w:val="000000"/>
                <w:sz w:val="21"/>
              </w:rPr>
              <w:t>10.需按照学校的信息标准进行建设，基础数据和业务数据结构设计需按学校规范执行，软件系统使用的代码需与学校代码保持一致，包括不限于组织机构信息、师生信息、专业信息和班级信息等基础数据和系统业务数据；</w:t>
            </w:r>
          </w:p>
          <w:p>
            <w:pPr>
              <w:jc w:val="left"/>
            </w:pPr>
            <w:r>
              <w:rPr>
                <w:color w:val="000000"/>
                <w:sz w:val="21"/>
              </w:rPr>
              <w:t>11.需与学校数据中心实现数据共享和交换，并在系统开发过程中形成并提交与该系统业务相关的学校统一数据标准，提供系统数据字典，并配合校方实现对系统数据的集成和治理工作；</w:t>
            </w:r>
          </w:p>
          <w:p>
            <w:pPr>
              <w:jc w:val="left"/>
            </w:pPr>
            <w:r>
              <w:rPr>
                <w:color w:val="000000"/>
                <w:sz w:val="21"/>
              </w:rPr>
              <w:t>12.软件应能达到国家信息系统安全等级保护二级或以上标准要求，并积极配合学校完成等级保护工作；</w:t>
            </w:r>
          </w:p>
          <w:p>
            <w:pPr>
              <w:jc w:val="left"/>
            </w:pPr>
            <w:r>
              <w:rPr>
                <w:color w:val="000000"/>
                <w:sz w:val="21"/>
              </w:rPr>
              <w:t>13.支持密码、实体卡、公众号或 APP 的身份码开门；</w:t>
            </w:r>
          </w:p>
          <w:p>
            <w:pPr>
              <w:jc w:val="left"/>
            </w:pPr>
            <w:r>
              <w:rPr>
                <w:color w:val="000000"/>
                <w:sz w:val="21"/>
              </w:rPr>
              <w:t>14.通过请假审批的人可通过身份证、人脸通过门禁；</w:t>
            </w:r>
          </w:p>
          <w:p>
            <w:pPr>
              <w:jc w:val="left"/>
            </w:pPr>
            <w:r>
              <w:rPr>
                <w:color w:val="000000"/>
                <w:sz w:val="21"/>
              </w:rPr>
              <w:t>15.通过审批的访客可通过门禁；</w:t>
            </w:r>
          </w:p>
          <w:p>
            <w:pPr>
              <w:jc w:val="left"/>
            </w:pPr>
            <w:r>
              <w:rPr>
                <w:color w:val="000000"/>
                <w:sz w:val="21"/>
              </w:rPr>
              <w:t>16.离线状态下，可存储的人脸特征库（标称容量不少于5万人）；</w:t>
            </w:r>
          </w:p>
          <w:p>
            <w:pPr>
              <w:jc w:val="left"/>
            </w:pPr>
            <w:r>
              <w:rPr>
                <w:color w:val="000000"/>
                <w:sz w:val="21"/>
              </w:rPr>
              <w:t>17.具有人脸识别的功能，在同一设定阈值 条件下，标称误识率应不大于 0.3%，设备的人脸识别标称通过率不低于98%；</w:t>
            </w:r>
          </w:p>
          <w:p>
            <w:pPr>
              <w:jc w:val="left"/>
            </w:pPr>
            <w:r>
              <w:rPr>
                <w:color w:val="000000"/>
                <w:sz w:val="21"/>
              </w:rPr>
              <w:t>18.具有佩戴口罩识别的功能，标称戴口罩 识别错误接受率应小于5%、标称错误拒绝率应小于2%；</w:t>
            </w:r>
          </w:p>
          <w:p>
            <w:pPr>
              <w:jc w:val="left"/>
            </w:pPr>
            <w:r>
              <w:rPr>
                <w:color w:val="000000"/>
                <w:sz w:val="21"/>
              </w:rPr>
              <w:t>19.▲具持刷卡、扫码、人脸识别方式，支持 测温、支持区域健康码接入；</w:t>
            </w:r>
          </w:p>
          <w:p>
            <w:pPr>
              <w:jc w:val="left"/>
            </w:pPr>
            <w:r>
              <w:rPr>
                <w:color w:val="000000"/>
                <w:sz w:val="21"/>
              </w:rPr>
              <w:t>20.支持各种权限设置，可以设置权限、时段等等，可通过软件远程设置；</w:t>
            </w:r>
          </w:p>
          <w:p>
            <w:pPr>
              <w:jc w:val="left"/>
            </w:pPr>
            <w:r>
              <w:rPr>
                <w:color w:val="000000"/>
                <w:sz w:val="21"/>
              </w:rPr>
              <w:t>21.软件支持实时显示门状态信息；</w:t>
            </w:r>
          </w:p>
          <w:p>
            <w:pPr>
              <w:jc w:val="left"/>
            </w:pPr>
            <w:r>
              <w:rPr>
                <w:color w:val="000000"/>
                <w:sz w:val="21"/>
              </w:rPr>
              <w:t>22.多种终端集成管理：支持集中授权、统一管控，包括门禁终端、无线门锁、通道闸机等；</w:t>
            </w:r>
          </w:p>
          <w:p>
            <w:pPr>
              <w:jc w:val="left"/>
            </w:pPr>
            <w:r>
              <w:rPr>
                <w:color w:val="000000"/>
                <w:sz w:val="21"/>
              </w:rPr>
              <w:t>23.软件支持查询门禁刷卡的明细数据、异常数据等；</w:t>
            </w:r>
            <w:r>
              <w:br/>
            </w:r>
            <w:r>
              <w:br/>
            </w:r>
            <w:r>
              <w:rPr>
                <w:b/>
                <w:color w:val="000000"/>
                <w:sz w:val="21"/>
              </w:rPr>
              <w:t>四、</w:t>
            </w:r>
            <w:r>
              <w:rPr>
                <w:b/>
                <w:color w:val="000000"/>
                <w:sz w:val="21"/>
              </w:rPr>
              <w:t>Mifare发卡机（数量：1个）</w:t>
            </w:r>
            <w:r>
              <w:br/>
            </w:r>
            <w:r>
              <w:rPr>
                <w:color w:val="000000"/>
                <w:sz w:val="21"/>
              </w:rPr>
              <w:t>1.通讯方式:USB-Client；</w:t>
            </w:r>
          </w:p>
          <w:p>
            <w:pPr>
              <w:jc w:val="left"/>
            </w:pPr>
            <w:r>
              <w:rPr>
                <w:color w:val="000000"/>
                <w:sz w:val="21"/>
              </w:rPr>
              <w:t>2.类型:非接触式读写卡；</w:t>
            </w:r>
          </w:p>
          <w:p>
            <w:pPr>
              <w:jc w:val="left"/>
            </w:pPr>
            <w:r>
              <w:rPr>
                <w:color w:val="000000"/>
                <w:sz w:val="21"/>
              </w:rPr>
              <w:t>3.工作频率:13.56MHZ；</w:t>
            </w:r>
          </w:p>
          <w:p>
            <w:pPr>
              <w:jc w:val="left"/>
            </w:pPr>
            <w:r>
              <w:rPr>
                <w:color w:val="000000"/>
                <w:sz w:val="21"/>
              </w:rPr>
              <w:t>4.读卡时间:</w:t>
            </w:r>
            <w:r>
              <w:rPr>
                <w:b/>
                <w:sz w:val="21"/>
              </w:rPr>
              <w:t>≤</w:t>
            </w:r>
            <w:r>
              <w:rPr>
                <w:color w:val="000000"/>
                <w:sz w:val="21"/>
              </w:rPr>
              <w:t>1S；</w:t>
            </w:r>
          </w:p>
          <w:p>
            <w:pPr>
              <w:jc w:val="left"/>
            </w:pPr>
            <w:r>
              <w:rPr>
                <w:color w:val="000000"/>
                <w:sz w:val="21"/>
              </w:rPr>
              <w:t>5.感应距离:≥5cm；</w:t>
            </w:r>
          </w:p>
          <w:p>
            <w:pPr>
              <w:jc w:val="left"/>
            </w:pPr>
            <w:r>
              <w:rPr>
                <w:color w:val="000000"/>
                <w:sz w:val="21"/>
              </w:rPr>
              <w:t>6.读写卡类型: Mifare 卡,支持ISO14443 Type A/B、支持ISO15693、支持T=0、T=1的CPU卡、支持24C01A/02/04/08/16/32/64、SLE4442/4428等常见Memory卡、同接触式卡的通讯速度可达115,200 bps；</w:t>
            </w:r>
          </w:p>
          <w:p>
            <w:pPr>
              <w:jc w:val="left"/>
            </w:pPr>
            <w:r>
              <w:rPr>
                <w:color w:val="000000"/>
                <w:sz w:val="21"/>
              </w:rPr>
              <w:t>7.通信接口:USB键盘口；</w:t>
            </w:r>
          </w:p>
          <w:p>
            <w:pPr>
              <w:jc w:val="left"/>
            </w:pPr>
            <w:r>
              <w:rPr>
                <w:color w:val="000000"/>
                <w:sz w:val="21"/>
              </w:rPr>
              <w:t>8.供电方式:USB供电；</w:t>
            </w:r>
          </w:p>
          <w:p>
            <w:pPr>
              <w:jc w:val="left"/>
            </w:pPr>
            <w:r>
              <w:rPr>
                <w:color w:val="000000"/>
                <w:sz w:val="21"/>
              </w:rPr>
              <w:t>9.声音提示:蜂鸣器；</w:t>
            </w:r>
          </w:p>
          <w:p>
            <w:pPr>
              <w:jc w:val="left"/>
            </w:pPr>
            <w:r>
              <w:rPr>
                <w:color w:val="000000"/>
                <w:sz w:val="21"/>
              </w:rPr>
              <w:t>10.支持符合ISO14443TypeA/B的非接触卡，支持符合ISO15693标准的电子标签，同时可以支持1个符合ISO7816标准卡尺寸，同时可附加3个符合GSM 11.11的Sim卡的卡尺寸SAM卡座；</w:t>
            </w:r>
            <w:r>
              <w:br/>
            </w:r>
            <w:r>
              <w:br/>
            </w:r>
            <w:r>
              <w:rPr>
                <w:b/>
                <w:color w:val="000000"/>
                <w:sz w:val="21"/>
              </w:rPr>
              <w:t>五、</w:t>
            </w:r>
            <w:r>
              <w:rPr>
                <w:b/>
                <w:color w:val="000000"/>
                <w:sz w:val="21"/>
              </w:rPr>
              <w:t>IC卡（数量：1个）</w:t>
            </w:r>
            <w:r>
              <w:br/>
            </w:r>
            <w:r>
              <w:rPr>
                <w:color w:val="000000"/>
                <w:sz w:val="21"/>
              </w:rPr>
              <w:t>Mifare卡</w:t>
            </w:r>
            <w:r>
              <w:br/>
            </w:r>
            <w:r>
              <w:br/>
            </w:r>
            <w:r>
              <w:rPr>
                <w:b/>
                <w:color w:val="000000"/>
                <w:sz w:val="21"/>
              </w:rPr>
              <w:t>六、人脸识别刷卡扫码一体机（数量：</w:t>
            </w:r>
            <w:r>
              <w:rPr>
                <w:b/>
                <w:color w:val="000000"/>
                <w:sz w:val="21"/>
              </w:rPr>
              <w:t>90个）</w:t>
            </w:r>
            <w:r>
              <w:br/>
            </w:r>
            <w:r>
              <w:rPr>
                <w:color w:val="000000"/>
                <w:sz w:val="21"/>
              </w:rPr>
              <w:t>1.处理器：≥4核</w:t>
            </w:r>
            <w:r>
              <w:rPr>
                <w:sz w:val="24"/>
              </w:rPr>
              <w:t>，</w:t>
            </w:r>
            <w:r>
              <w:rPr>
                <w:color w:val="000000"/>
                <w:sz w:val="21"/>
              </w:rPr>
              <w:t>≥</w:t>
            </w:r>
            <w:r>
              <w:rPr>
                <w:sz w:val="21"/>
              </w:rPr>
              <w:t>1.2GHZ</w:t>
            </w:r>
            <w:r>
              <w:rPr>
                <w:color w:val="000000"/>
                <w:sz w:val="21"/>
              </w:rPr>
              <w:t>；</w:t>
            </w:r>
          </w:p>
          <w:p>
            <w:pPr>
              <w:jc w:val="left"/>
            </w:pPr>
            <w:r>
              <w:rPr>
                <w:color w:val="000000"/>
                <w:sz w:val="21"/>
              </w:rPr>
              <w:t>2.操作系统：不低于Android 7.1；</w:t>
            </w:r>
          </w:p>
          <w:p>
            <w:pPr>
              <w:jc w:val="left"/>
            </w:pPr>
            <w:r>
              <w:rPr>
                <w:color w:val="000000"/>
                <w:sz w:val="21"/>
              </w:rPr>
              <w:t>3.RAM: ≥2GB；</w:t>
            </w:r>
          </w:p>
          <w:p>
            <w:pPr>
              <w:jc w:val="left"/>
            </w:pPr>
            <w:r>
              <w:rPr>
                <w:color w:val="000000"/>
                <w:sz w:val="21"/>
              </w:rPr>
              <w:t>4.ROM: ≥16GB；</w:t>
            </w:r>
          </w:p>
          <w:p>
            <w:pPr>
              <w:jc w:val="left"/>
            </w:pPr>
            <w:r>
              <w:rPr>
                <w:color w:val="000000"/>
                <w:sz w:val="21"/>
              </w:rPr>
              <w:t>5.摄像头：≥200万像素，双目RGB+IR；</w:t>
            </w:r>
          </w:p>
          <w:p>
            <w:pPr>
              <w:jc w:val="left"/>
            </w:pPr>
            <w:r>
              <w:rPr>
                <w:color w:val="000000"/>
                <w:sz w:val="21"/>
              </w:rPr>
              <w:t>6.显示</w:t>
            </w:r>
            <w:r>
              <w:rPr>
                <w:sz w:val="21"/>
              </w:rPr>
              <w:t>：</w:t>
            </w:r>
            <w:r>
              <w:rPr>
                <w:sz w:val="21"/>
              </w:rPr>
              <w:t>≥8英寸ISP屏幕，分辨率1280*800；</w:t>
            </w:r>
          </w:p>
          <w:p>
            <w:pPr>
              <w:jc w:val="left"/>
            </w:pPr>
            <w:r>
              <w:rPr>
                <w:sz w:val="21"/>
              </w:rPr>
              <w:t>7.触摸：≥10点电容触摸；</w:t>
            </w:r>
          </w:p>
          <w:p>
            <w:pPr>
              <w:jc w:val="left"/>
            </w:pPr>
            <w:r>
              <w:rPr>
                <w:color w:val="000000"/>
                <w:sz w:val="21"/>
              </w:rPr>
              <w:t>8.电源：AC100~240V/50Hz输入，DC12V/2A输出；</w:t>
            </w:r>
          </w:p>
          <w:p>
            <w:pPr>
              <w:jc w:val="left"/>
            </w:pPr>
            <w:r>
              <w:rPr>
                <w:color w:val="000000"/>
                <w:sz w:val="21"/>
              </w:rPr>
              <w:t>9.IP等级：IP65；</w:t>
            </w:r>
          </w:p>
          <w:p>
            <w:pPr>
              <w:jc w:val="left"/>
            </w:pPr>
            <w:r>
              <w:rPr>
                <w:color w:val="000000"/>
                <w:sz w:val="21"/>
              </w:rPr>
              <w:t>10.整机功耗：≤18W；</w:t>
            </w:r>
          </w:p>
          <w:p>
            <w:pPr>
              <w:jc w:val="left"/>
            </w:pPr>
            <w:r>
              <w:rPr>
                <w:color w:val="000000"/>
                <w:sz w:val="21"/>
              </w:rPr>
              <w:t>11.工作温度：-10~55℃；</w:t>
            </w:r>
          </w:p>
          <w:p>
            <w:pPr>
              <w:jc w:val="left"/>
            </w:pPr>
            <w:r>
              <w:rPr>
                <w:color w:val="000000"/>
                <w:sz w:val="21"/>
              </w:rPr>
              <w:t>12.测温参数：</w:t>
            </w:r>
          </w:p>
          <w:p>
            <w:pPr>
              <w:jc w:val="left"/>
            </w:pPr>
            <w:r>
              <w:rPr>
                <w:color w:val="000000"/>
                <w:sz w:val="21"/>
              </w:rPr>
              <w:t>12.1测量范围：32~43℃；</w:t>
            </w:r>
          </w:p>
          <w:p>
            <w:pPr>
              <w:jc w:val="left"/>
            </w:pPr>
            <w:r>
              <w:rPr>
                <w:color w:val="000000"/>
                <w:sz w:val="21"/>
              </w:rPr>
              <w:t>12.2测量精度：0.3℃；</w:t>
            </w:r>
          </w:p>
          <w:p>
            <w:pPr>
              <w:jc w:val="left"/>
            </w:pPr>
            <w:r>
              <w:rPr>
                <w:color w:val="000000"/>
                <w:sz w:val="21"/>
              </w:rPr>
              <w:t>12.3分辨率：0.1℃；</w:t>
            </w:r>
          </w:p>
          <w:p>
            <w:pPr>
              <w:jc w:val="left"/>
            </w:pPr>
            <w:r>
              <w:rPr>
                <w:color w:val="000000"/>
                <w:sz w:val="21"/>
              </w:rPr>
              <w:t>12.4测温距离：≤1m。</w:t>
            </w:r>
          </w:p>
          <w:p>
            <w:pPr>
              <w:jc w:val="left"/>
            </w:pPr>
            <w:r>
              <w:rPr>
                <w:color w:val="000000"/>
                <w:sz w:val="21"/>
              </w:rPr>
              <w:t>13.扫码参数:</w:t>
            </w:r>
          </w:p>
          <w:p>
            <w:pPr>
              <w:jc w:val="left"/>
            </w:pPr>
            <w:r>
              <w:rPr>
                <w:color w:val="000000"/>
                <w:sz w:val="21"/>
              </w:rPr>
              <w:t>13.1识读码制：QRCODE；</w:t>
            </w:r>
          </w:p>
          <w:p>
            <w:pPr>
              <w:jc w:val="left"/>
            </w:pPr>
            <w:r>
              <w:rPr>
                <w:color w:val="000000"/>
                <w:sz w:val="21"/>
              </w:rPr>
              <w:t>13.2识读精度：≥7mil；</w:t>
            </w:r>
          </w:p>
          <w:p>
            <w:pPr>
              <w:jc w:val="left"/>
            </w:pPr>
            <w:r>
              <w:rPr>
                <w:color w:val="000000"/>
                <w:sz w:val="21"/>
              </w:rPr>
              <w:t>13.3读取距离：0~10cm；</w:t>
            </w:r>
          </w:p>
          <w:p>
            <w:pPr>
              <w:jc w:val="left"/>
            </w:pPr>
            <w:r>
              <w:rPr>
                <w:color w:val="000000"/>
                <w:sz w:val="21"/>
              </w:rPr>
              <w:t>13.4环境光照度：0~80000Lux。</w:t>
            </w:r>
          </w:p>
          <w:p>
            <w:pPr>
              <w:jc w:val="left"/>
            </w:pPr>
            <w:r>
              <w:rPr>
                <w:color w:val="000000"/>
                <w:sz w:val="21"/>
              </w:rPr>
              <w:t>14.二代证读取：采用NFC读取方式联网解析身份证信息，设备需连接互联网使用，不支持离线使用。</w:t>
            </w:r>
          </w:p>
          <w:p>
            <w:pPr>
              <w:jc w:val="left"/>
            </w:pPr>
            <w:r>
              <w:rPr>
                <w:color w:val="000000"/>
                <w:sz w:val="21"/>
              </w:rPr>
              <w:t>15.通讯参数:</w:t>
            </w:r>
          </w:p>
          <w:p>
            <w:pPr>
              <w:jc w:val="left"/>
            </w:pPr>
            <w:r>
              <w:rPr>
                <w:color w:val="000000"/>
                <w:sz w:val="21"/>
              </w:rPr>
              <w:t>15.1以太网：100/1000M自适应网口；</w:t>
            </w:r>
          </w:p>
          <w:p>
            <w:pPr>
              <w:jc w:val="left"/>
            </w:pPr>
            <w:r>
              <w:rPr>
                <w:color w:val="000000"/>
                <w:sz w:val="21"/>
              </w:rPr>
              <w:t>15.2蓝牙：BT4.2；</w:t>
            </w:r>
          </w:p>
          <w:p>
            <w:pPr>
              <w:jc w:val="left"/>
            </w:pPr>
            <w:r>
              <w:rPr>
                <w:color w:val="000000"/>
                <w:sz w:val="21"/>
              </w:rPr>
              <w:t>15.3WiFi：单频2.4G WIFI，支持802.11a/b/g/n/ac ；</w:t>
            </w:r>
          </w:p>
          <w:p>
            <w:pPr>
              <w:jc w:val="left"/>
            </w:pPr>
            <w:r>
              <w:rPr>
                <w:color w:val="000000"/>
                <w:sz w:val="21"/>
              </w:rPr>
              <w:t>15.4 4G LTE：选配；</w:t>
            </w:r>
          </w:p>
          <w:p>
            <w:pPr>
              <w:jc w:val="left"/>
            </w:pPr>
            <w:r>
              <w:rPr>
                <w:color w:val="000000"/>
                <w:sz w:val="21"/>
              </w:rPr>
              <w:t>16.整机接口：</w:t>
            </w:r>
          </w:p>
          <w:p>
            <w:pPr>
              <w:jc w:val="left"/>
            </w:pPr>
            <w:r>
              <w:rPr>
                <w:color w:val="000000"/>
                <w:sz w:val="21"/>
              </w:rPr>
              <w:t>16.1</w:t>
            </w:r>
            <w:r>
              <w:rPr>
                <w:sz w:val="24"/>
              </w:rPr>
              <w:t xml:space="preserve"> </w:t>
            </w:r>
            <w:r>
              <w:rPr>
                <w:color w:val="000000"/>
                <w:sz w:val="21"/>
              </w:rPr>
              <w:t>USB2.0 *2；</w:t>
            </w:r>
          </w:p>
          <w:p>
            <w:pPr>
              <w:jc w:val="left"/>
            </w:pPr>
            <w:r>
              <w:rPr>
                <w:color w:val="000000"/>
                <w:sz w:val="21"/>
              </w:rPr>
              <w:t>16.2</w:t>
            </w:r>
            <w:r>
              <w:rPr>
                <w:sz w:val="24"/>
              </w:rPr>
              <w:t xml:space="preserve"> </w:t>
            </w:r>
            <w:r>
              <w:rPr>
                <w:color w:val="000000"/>
                <w:sz w:val="21"/>
              </w:rPr>
              <w:t>RS485 *1；</w:t>
            </w:r>
          </w:p>
          <w:p>
            <w:pPr>
              <w:jc w:val="left"/>
            </w:pPr>
            <w:r>
              <w:rPr>
                <w:color w:val="000000"/>
                <w:sz w:val="21"/>
              </w:rPr>
              <w:t>16.3</w:t>
            </w:r>
            <w:r>
              <w:rPr>
                <w:sz w:val="24"/>
              </w:rPr>
              <w:t xml:space="preserve"> </w:t>
            </w:r>
            <w:r>
              <w:rPr>
                <w:color w:val="000000"/>
                <w:sz w:val="21"/>
              </w:rPr>
              <w:t>RJ45 *1；</w:t>
            </w:r>
          </w:p>
          <w:p>
            <w:pPr>
              <w:jc w:val="left"/>
            </w:pPr>
            <w:r>
              <w:rPr>
                <w:color w:val="000000"/>
                <w:sz w:val="21"/>
              </w:rPr>
              <w:t>16.4继电器输出 *1；</w:t>
            </w:r>
          </w:p>
          <w:p>
            <w:pPr>
              <w:jc w:val="left"/>
            </w:pPr>
            <w:r>
              <w:rPr>
                <w:color w:val="000000"/>
                <w:sz w:val="21"/>
              </w:rPr>
              <w:t>16.5系统重启按键 *1；</w:t>
            </w:r>
          </w:p>
          <w:p>
            <w:pPr>
              <w:jc w:val="left"/>
            </w:pPr>
            <w:r>
              <w:rPr>
                <w:color w:val="000000"/>
                <w:sz w:val="21"/>
              </w:rPr>
              <w:t>17.电源 *1；</w:t>
            </w:r>
          </w:p>
          <w:p>
            <w:pPr>
              <w:jc w:val="left"/>
            </w:pPr>
            <w:r>
              <w:rPr>
                <w:color w:val="000000"/>
                <w:sz w:val="21"/>
              </w:rPr>
              <w:t>18.识别参数:</w:t>
            </w:r>
          </w:p>
          <w:p>
            <w:pPr>
              <w:jc w:val="left"/>
            </w:pPr>
            <w:r>
              <w:rPr>
                <w:color w:val="000000"/>
                <w:sz w:val="21"/>
              </w:rPr>
              <w:t>18.1.人脸容量：≥50000张；</w:t>
            </w:r>
          </w:p>
          <w:p>
            <w:pPr>
              <w:jc w:val="left"/>
            </w:pPr>
            <w:r>
              <w:rPr>
                <w:color w:val="000000"/>
                <w:sz w:val="21"/>
              </w:rPr>
              <w:t>18.2离线记录：≥50000条；</w:t>
            </w:r>
          </w:p>
          <w:p>
            <w:pPr>
              <w:jc w:val="left"/>
            </w:pPr>
            <w:r>
              <w:rPr>
                <w:color w:val="000000"/>
                <w:sz w:val="21"/>
              </w:rPr>
              <w:t>18.3识别距离：≥1.5米；</w:t>
            </w:r>
          </w:p>
          <w:p>
            <w:pPr>
              <w:jc w:val="left"/>
            </w:pPr>
            <w:r>
              <w:rPr>
                <w:color w:val="000000"/>
                <w:sz w:val="21"/>
              </w:rPr>
              <w:t>18.4活体检测：支持；</w:t>
            </w:r>
          </w:p>
          <w:p>
            <w:pPr>
              <w:jc w:val="left"/>
            </w:pPr>
            <w:r>
              <w:rPr>
                <w:color w:val="000000"/>
                <w:sz w:val="21"/>
              </w:rPr>
              <w:t>19.音频：麦克风，1W扬声器；</w:t>
            </w:r>
          </w:p>
          <w:p>
            <w:pPr>
              <w:jc w:val="left"/>
            </w:pPr>
            <w:r>
              <w:rPr>
                <w:color w:val="000000"/>
                <w:sz w:val="21"/>
              </w:rPr>
              <w:t>20.补光灯：RGB+IR LED补光灯；</w:t>
            </w:r>
          </w:p>
          <w:p>
            <w:pPr>
              <w:jc w:val="left"/>
            </w:pPr>
            <w:r>
              <w:rPr>
                <w:color w:val="000000"/>
                <w:sz w:val="21"/>
              </w:rPr>
              <w:t>21.安装：支持地面立柱式、闸机立柱式安装；</w:t>
            </w:r>
          </w:p>
          <w:p>
            <w:pPr>
              <w:jc w:val="left"/>
            </w:pPr>
            <w:r>
              <w:rPr>
                <w:color w:val="000000"/>
                <w:sz w:val="21"/>
              </w:rPr>
              <w:t>22.▲产品具有第三方检测机构出具的检测报告。</w:t>
            </w:r>
            <w:r>
              <w:br/>
            </w:r>
            <w:r>
              <w:br/>
            </w:r>
            <w:r>
              <w:rPr>
                <w:b/>
                <w:color w:val="000000"/>
                <w:sz w:val="21"/>
              </w:rPr>
              <w:t>七、电控锁（数量：</w:t>
            </w:r>
            <w:r>
              <w:rPr>
                <w:b/>
                <w:color w:val="000000"/>
                <w:sz w:val="21"/>
              </w:rPr>
              <w:t>90个）</w:t>
            </w:r>
            <w:r>
              <w:br/>
            </w:r>
            <w:r>
              <w:rPr>
                <w:color w:val="000000"/>
                <w:sz w:val="21"/>
              </w:rPr>
              <w:t>1.锁体尺寸：不低于238*26*52mm ；</w:t>
            </w:r>
          </w:p>
          <w:p>
            <w:pPr>
              <w:jc w:val="left"/>
            </w:pPr>
            <w:r>
              <w:rPr>
                <w:color w:val="000000"/>
                <w:sz w:val="21"/>
              </w:rPr>
              <w:t>2.吸板尺寸：不低于175*38*12mm；</w:t>
            </w:r>
          </w:p>
          <w:p>
            <w:pPr>
              <w:jc w:val="left"/>
            </w:pPr>
            <w:r>
              <w:rPr>
                <w:color w:val="000000"/>
                <w:sz w:val="21"/>
              </w:rPr>
              <w:t>3.输入电压：12/24V ；</w:t>
            </w:r>
          </w:p>
          <w:p>
            <w:pPr>
              <w:jc w:val="left"/>
            </w:pPr>
            <w:r>
              <w:rPr>
                <w:color w:val="000000"/>
                <w:sz w:val="21"/>
              </w:rPr>
              <w:t>4.工作电流：500/250mA；</w:t>
            </w:r>
          </w:p>
          <w:p>
            <w:pPr>
              <w:jc w:val="left"/>
            </w:pPr>
            <w:r>
              <w:rPr>
                <w:color w:val="000000"/>
                <w:sz w:val="21"/>
              </w:rPr>
              <w:t>5.产生吸力：280kg± 5；  锁体外壳：精细拉丝氧化；</w:t>
            </w:r>
          </w:p>
          <w:p>
            <w:pPr>
              <w:jc w:val="left"/>
            </w:pPr>
            <w:r>
              <w:rPr>
                <w:color w:val="000000"/>
                <w:sz w:val="21"/>
              </w:rPr>
              <w:t>6.重量：≤2.2kg；</w:t>
            </w:r>
          </w:p>
          <w:p>
            <w:pPr>
              <w:jc w:val="left"/>
            </w:pPr>
            <w:r>
              <w:rPr>
                <w:color w:val="000000"/>
                <w:sz w:val="21"/>
              </w:rPr>
              <w:t>7.防脱落设计，锁体与安装螺丝松脱，锁体也不会掉下来（产品检测报告、结构专利、外观专利）提供佐证材料；</w:t>
            </w:r>
            <w:r>
              <w:br/>
            </w:r>
            <w:r>
              <w:rPr>
                <w:color w:val="000000"/>
                <w:sz w:val="21"/>
              </w:rPr>
              <w:t>8.磁力锁U型支架；</w:t>
            </w:r>
          </w:p>
          <w:p>
            <w:pPr>
              <w:jc w:val="left"/>
            </w:pPr>
            <w:r>
              <w:rPr>
                <w:color w:val="000000"/>
                <w:sz w:val="21"/>
              </w:rPr>
              <w:t xml:space="preserve">9.支架尺寸：175*38*12mm；                               </w:t>
            </w:r>
            <w:r>
              <w:br/>
            </w:r>
            <w:r>
              <w:rPr>
                <w:color w:val="000000"/>
                <w:sz w:val="21"/>
              </w:rPr>
              <w:t>10.表面处理：精细拉丝氧货。</w:t>
            </w:r>
            <w:r>
              <w:br/>
            </w:r>
            <w:r>
              <w:br/>
            </w:r>
            <w:r>
              <w:rPr>
                <w:b/>
                <w:color w:val="000000"/>
                <w:sz w:val="21"/>
              </w:rPr>
              <w:t>八、出门按钮（数量：</w:t>
            </w:r>
            <w:r>
              <w:rPr>
                <w:b/>
                <w:color w:val="000000"/>
                <w:sz w:val="21"/>
              </w:rPr>
              <w:t>90个）</w:t>
            </w:r>
            <w:r>
              <w:br/>
            </w:r>
            <w:r>
              <w:rPr>
                <w:color w:val="000000"/>
                <w:sz w:val="21"/>
              </w:rPr>
              <w:t>1.材质:PC阻燃原料; 常开型;</w:t>
            </w:r>
          </w:p>
          <w:p>
            <w:pPr>
              <w:jc w:val="both"/>
            </w:pPr>
            <w:r>
              <w:rPr>
                <w:color w:val="000000"/>
                <w:sz w:val="21"/>
              </w:rPr>
              <w:t>2.外形尺寸：86*86。</w:t>
            </w:r>
            <w:r>
              <w:br/>
            </w:r>
            <w:r>
              <w:br/>
            </w:r>
            <w:r>
              <w:rPr>
                <w:b/>
                <w:color w:val="000000"/>
                <w:sz w:val="21"/>
              </w:rPr>
              <w:t>九、辅材（数量：</w:t>
            </w:r>
            <w:r>
              <w:rPr>
                <w:b/>
                <w:color w:val="000000"/>
                <w:sz w:val="21"/>
              </w:rPr>
              <w:t>1项）</w:t>
            </w:r>
            <w:r>
              <w:br/>
            </w:r>
            <w:r>
              <w:rPr>
                <w:color w:val="000000"/>
                <w:sz w:val="21"/>
              </w:rPr>
              <w:t>1.按照当前设备数量计算新增的PVC管槽、螺丝、胶布、熔纤、水晶头、线管保护等项目所需辅材。</w:t>
            </w:r>
            <w:r>
              <w:br/>
            </w:r>
            <w:r>
              <w:br/>
            </w:r>
            <w:r>
              <w:rPr>
                <w:b/>
                <w:color w:val="000000"/>
                <w:sz w:val="21"/>
              </w:rPr>
              <w:t>十、安装（数量：</w:t>
            </w:r>
            <w:r>
              <w:rPr>
                <w:b/>
                <w:color w:val="000000"/>
                <w:sz w:val="21"/>
              </w:rPr>
              <w:t>1项）</w:t>
            </w:r>
            <w:r>
              <w:br/>
            </w:r>
            <w:r>
              <w:rPr>
                <w:color w:val="000000"/>
                <w:sz w:val="21"/>
              </w:rPr>
              <w:t>按照当前设备数量计算新增的设备安装调试、线缆敷设、标识丝印等。</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室内彩色半球摄像机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室内彩色半球摄像机</w:t>
            </w:r>
            <w:r>
              <w:rPr>
                <w:b/>
                <w:sz w:val="21"/>
              </w:rPr>
              <w:t>（数量：</w:t>
            </w:r>
            <w:r>
              <w:rPr>
                <w:b/>
                <w:sz w:val="21"/>
              </w:rPr>
              <w:t>2</w:t>
            </w:r>
            <w:r>
              <w:rPr>
                <w:b/>
                <w:sz w:val="21"/>
              </w:rPr>
              <w:t>53</w:t>
            </w:r>
            <w:r>
              <w:rPr>
                <w:b/>
                <w:sz w:val="21"/>
              </w:rPr>
              <w:t>）</w:t>
            </w:r>
          </w:p>
          <w:p>
            <w:pPr>
              <w:jc w:val="left"/>
            </w:pPr>
            <w:r>
              <w:rPr>
                <w:color w:val="000000"/>
                <w:sz w:val="21"/>
              </w:rPr>
              <w:t>1.不低于400万像素；</w:t>
            </w:r>
          </w:p>
          <w:p>
            <w:pPr>
              <w:jc w:val="left"/>
            </w:pPr>
            <w:r>
              <w:rPr>
                <w:color w:val="000000"/>
                <w:sz w:val="21"/>
              </w:rPr>
              <w:t>2.镜头：定焦，焦距2.8mm/4mm/6mm可选；</w:t>
            </w:r>
          </w:p>
          <w:p>
            <w:pPr>
              <w:jc w:val="left"/>
            </w:pPr>
            <w:r>
              <w:rPr>
                <w:color w:val="000000"/>
                <w:sz w:val="21"/>
              </w:rPr>
              <w:t>3.最低照度：彩色≤0.003lx，黑白≤0.001lx；</w:t>
            </w:r>
          </w:p>
          <w:p>
            <w:pPr>
              <w:jc w:val="left"/>
            </w:pPr>
            <w:r>
              <w:rPr>
                <w:color w:val="000000"/>
                <w:sz w:val="21"/>
              </w:rPr>
              <w:t>4.支持ONVIF、GB/T 28181标准协议；</w:t>
            </w:r>
          </w:p>
          <w:p>
            <w:pPr>
              <w:jc w:val="left"/>
            </w:pPr>
            <w:r>
              <w:rPr>
                <w:color w:val="000000"/>
                <w:sz w:val="21"/>
              </w:rPr>
              <w:t>5.支持H.265、H.264、MJPEG编码；</w:t>
            </w:r>
          </w:p>
          <w:p>
            <w:pPr>
              <w:jc w:val="left"/>
            </w:pPr>
            <w:r>
              <w:rPr>
                <w:color w:val="000000"/>
                <w:sz w:val="21"/>
              </w:rPr>
              <w:t>6.存储方式：Micro SD，最大可支持</w:t>
            </w:r>
            <w:r>
              <w:rPr>
                <w:sz w:val="21"/>
              </w:rPr>
              <w:t>不少于</w:t>
            </w:r>
            <w:r>
              <w:rPr>
                <w:color w:val="000000"/>
                <w:sz w:val="21"/>
              </w:rPr>
              <w:t>256GB；</w:t>
            </w:r>
          </w:p>
          <w:p>
            <w:pPr>
              <w:jc w:val="left"/>
            </w:pPr>
            <w:r>
              <w:rPr>
                <w:color w:val="000000"/>
                <w:sz w:val="21"/>
              </w:rPr>
              <w:t>7.支持三码流，主码流不低于1920×1080@25fps；</w:t>
            </w:r>
          </w:p>
          <w:p>
            <w:pPr>
              <w:jc w:val="left"/>
            </w:pPr>
            <w:r>
              <w:rPr>
                <w:color w:val="000000"/>
                <w:sz w:val="21"/>
              </w:rPr>
              <w:t>8.视场角（水平）：106.7°/87.5°/54.2°（2.8mm/4mm/6mm）；</w:t>
            </w:r>
          </w:p>
          <w:p>
            <w:pPr>
              <w:jc w:val="left"/>
            </w:pPr>
            <w:r>
              <w:rPr>
                <w:color w:val="000000"/>
                <w:sz w:val="21"/>
              </w:rPr>
              <w:t>9.视场角（垂直）：57.1°/46.3°/28.9°（2.8mm/4mm/6mm）；</w:t>
            </w:r>
          </w:p>
          <w:p>
            <w:pPr>
              <w:jc w:val="left"/>
            </w:pPr>
            <w:r>
              <w:rPr>
                <w:color w:val="000000"/>
                <w:sz w:val="21"/>
              </w:rPr>
              <w:t>10.支持人脸抓拍功能，可对经过设定区域的行人进行人脸检测和人脸跟踪，当检测到人脸后，可抓拍人脸图片，抓拍图片数量可设，可设置抓拍人脸小图；</w:t>
            </w:r>
          </w:p>
          <w:p>
            <w:pPr>
              <w:jc w:val="left"/>
            </w:pPr>
            <w:r>
              <w:rPr>
                <w:color w:val="000000"/>
                <w:sz w:val="21"/>
              </w:rPr>
              <w:t>11.支持走廊模式，开启走廊模式之后，监控画面可90°旋转并自动调整宽高比；</w:t>
            </w:r>
          </w:p>
          <w:p>
            <w:pPr>
              <w:jc w:val="left"/>
            </w:pPr>
            <w:r>
              <w:rPr>
                <w:color w:val="000000"/>
                <w:sz w:val="21"/>
              </w:rPr>
              <w:t>12.支持以IPSAN或以ISCSI直存方式进行双路传输数据；</w:t>
            </w:r>
          </w:p>
          <w:p>
            <w:pPr>
              <w:jc w:val="left"/>
            </w:pPr>
            <w:r>
              <w:rPr>
                <w:color w:val="000000"/>
                <w:sz w:val="21"/>
              </w:rPr>
              <w:t>13.支持宽动态自动切换功能，当环境亮度变化时，可自动开启/关闭宽动态；</w:t>
            </w:r>
          </w:p>
          <w:p>
            <w:pPr>
              <w:jc w:val="left"/>
            </w:pPr>
            <w:r>
              <w:rPr>
                <w:color w:val="000000"/>
                <w:sz w:val="21"/>
              </w:rPr>
              <w:t>14.支持越界检测、区域入侵、进入区域、离开区域等智能行为分析功能；</w:t>
            </w:r>
          </w:p>
          <w:p>
            <w:pPr>
              <w:jc w:val="left"/>
            </w:pPr>
            <w:r>
              <w:rPr>
                <w:color w:val="000000"/>
                <w:sz w:val="21"/>
              </w:rPr>
              <w:t>15.在同一静止场景、相同图像参数，设备开启高级模式与普通模式相比，码率节约为92%；</w:t>
            </w:r>
          </w:p>
          <w:p>
            <w:pPr>
              <w:jc w:val="left"/>
            </w:pPr>
            <w:r>
              <w:rPr>
                <w:color w:val="000000"/>
                <w:sz w:val="21"/>
              </w:rPr>
              <w:t>16.支持认证模式设置功能，可通过IE浏览器或客户端软件设置身份认证模式，设置选项包括无、Basic和Digest三种（以第三方检测机构出具的检测报告为准）；</w:t>
            </w:r>
          </w:p>
          <w:p>
            <w:pPr>
              <w:jc w:val="left"/>
            </w:pPr>
            <w:r>
              <w:rPr>
                <w:color w:val="000000"/>
                <w:sz w:val="21"/>
              </w:rPr>
              <w:t>17.▲支持网关ARP绑定功能，设备可通过IE浏览器添加并绑定设备所在网段网关的MAC地址，当其它终端设备访问设备时，若使用正确的网关MAC地址即设备绑定的MAC地址则可以正常访问设备；当使用错误的网关MAC地址即不是设备绑定的MAC地址则不能访问设备（以第三方检测机构出具的检测报告为准）；</w:t>
            </w:r>
          </w:p>
          <w:p>
            <w:pPr>
              <w:jc w:val="left"/>
            </w:pPr>
            <w:r>
              <w:rPr>
                <w:color w:val="000000"/>
                <w:sz w:val="21"/>
              </w:rPr>
              <w:t>18.支持双向语音对讲和单向语音广播功能（以第三方检测机构出具的检测报告为准）；</w:t>
            </w:r>
          </w:p>
          <w:p>
            <w:pPr>
              <w:jc w:val="left"/>
            </w:pPr>
            <w:r>
              <w:rPr>
                <w:color w:val="000000"/>
                <w:sz w:val="21"/>
              </w:rPr>
              <w:t>19.供电方式：DC12V±25%，支持POE供电；</w:t>
            </w:r>
          </w:p>
          <w:p>
            <w:pPr>
              <w:jc w:val="left"/>
            </w:pPr>
            <w:r>
              <w:rPr>
                <w:color w:val="000000"/>
                <w:sz w:val="21"/>
              </w:rPr>
              <w:t>20.接口：10M/100M自适应以太网电口；</w:t>
            </w:r>
          </w:p>
          <w:p>
            <w:pPr>
              <w:jc w:val="both"/>
            </w:pPr>
            <w:r>
              <w:rPr>
                <w:color w:val="000000"/>
                <w:sz w:val="21"/>
              </w:rPr>
              <w:t>21.防护等级不低于IP66，防暴等级不低于IK10。</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采购包4（白云校区数据中心二期模块化机房(设备)采购）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合同签署之日起，45天完成所有货物的送达、安装和调试。</w:t>
            </w:r>
          </w:p>
        </w:tc>
      </w:tr>
      <w:tr>
        <w:tc>
          <w:tcPr>
            <w:tcW w:type="dxa" w:w="4153"/>
          </w:tcPr>
          <w:p>
            <w:r>
              <w:rPr/>
              <w:t>标的提供的地点</w:t>
            </w:r>
          </w:p>
        </w:tc>
        <w:tc>
          <w:tcPr>
            <w:tcW w:type="dxa" w:w="4153"/>
          </w:tcPr>
          <w:p/>
          <w:p>
            <w:r>
              <w:rPr/>
              <w:t>广州市白云区江高镇环镇西路155号广东技术师范大学白云校区第一教学楼</w:t>
            </w:r>
          </w:p>
        </w:tc>
      </w:tr>
      <w:tr>
        <w:tc>
          <w:tcPr>
            <w:tcW w:type="dxa" w:w="4153"/>
          </w:tcPr>
          <w:p>
            <w:r>
              <w:rPr/>
              <w:t>付款方式</w:t>
            </w:r>
          </w:p>
        </w:tc>
        <w:tc>
          <w:tcPr>
            <w:tcW w:type="dxa" w:w="4153"/>
          </w:tcPr>
          <w:p/>
          <w:p/>
          <w:p>
            <w:r>
              <w:rPr/>
              <w:t>1期：支付比例30%,1.投标人中标后，按采购人要求开立一个由采购人与中标人双方及银行三方监管的账户。 2.签订合同3个工作日内，中标人开具合同等额的增值税专用发票交采购人向银行申请资金，经银行审核同意后，采购人将合同金额的100%合同款支付至三方监管账户。（若中标人为中小企业，采购人按照政府采购相关规定支付合同金额的30%预付款，中标人可从三方监管账户转出该款项。）</w:t>
            </w:r>
          </w:p>
          <w:p/>
          <w:p>
            <w:r>
              <w:rPr/>
              <w:t>2期：支付比例70%,3.合同设备按采购人要求全部交付到指定地点、完成安装及验收合格后，凭加盖采购人公章的调试验收使用意见，中标人向采购人付合同金额的5%作为履约保证金后，采购人同意中标人转出三方监管账户全部资金。 4.5%的履约保证金在项目验收合格满一年后，由中标人提出申请，凭用户出具的无质量及违约问题的证明及保证金收据，采购人在十五个工作日内（寒暑假顺延）无息退还给中标人。</w:t>
            </w:r>
          </w:p>
        </w:tc>
      </w:tr>
      <w:tr>
        <w:tc>
          <w:tcPr>
            <w:tcW w:type="dxa" w:w="4153"/>
          </w:tcPr>
          <w:p>
            <w:r>
              <w:rPr/>
              <w:t>验收要求</w:t>
            </w:r>
          </w:p>
        </w:tc>
        <w:tc>
          <w:tcPr>
            <w:tcW w:type="dxa" w:w="4153"/>
          </w:tcPr>
          <w:p/>
          <w:p/>
          <w:p/>
          <w:p>
            <w:r>
              <w:rPr/>
              <w:t>1期：1.验收应在采购人和中标人双方共同参加下按国家有关的规定、规范进行。交付验收标准依次序对照适用标准为：①符合中华人民共和国国家安全质量标准、环保标准或行业标准；②符合招标文件和投标承诺中采购人认可的合理最佳配置、参数及各项要求；③货物来源国官方标准。 2.货物为原厂商未启封全新包装，据出厂合格证，序列号、包装箱号与出厂批号一致，并可追索查阅，所有随设备的附件必须齐全。如发现所交付的设备有短装、次品、损坏或其它不符合招标文件规定之情形者，采购人应做出详尽的现场记录，或由采购人和中标人双方签署备忘录。此现场记录或备忘录可用作补充、缺失和更换损坏部件的有效证据。由此产生的有关费用由中标人承担。 3.采购人按照合同规定的技术、服务、安全标准组织对中标人履约情况进行验收，并出具验收报告。验收报告应当包括每一项技术、服务、安全标准的履约情况。 4.中标人将货物的用户手册、保修手册、有关单证资料及备品备件、随机工具等交付给采购人，使用操作及安全须知等重要资料应附有中文说明。 5.货物验收所发生的检验费用由中标人负担。 6.采购人组成验收小组，按照采购合同规定的技术、服务、安全标准组织对中标人履约情况进行验收。因货物质量问题发生争议时，由采购人本地市场监督管理部门鉴定。货物符合质量技术标准的，鉴定费由采购人承担；否则鉴定费由中标人承担。 7.中标人提供的技术参数数据须是真实可靠的，如果采购人验收时设备达不到所承诺的技术指标，中标人须无条件退货并重新提供符合所承诺技术指标的设备。</w:t>
            </w:r>
          </w:p>
        </w:tc>
      </w:tr>
      <w:tr>
        <w:tc>
          <w:tcPr>
            <w:tcW w:type="dxa" w:w="4153"/>
          </w:tcPr>
          <w:p>
            <w:r>
              <w:rPr/>
              <w:t>履约保证金</w:t>
            </w:r>
          </w:p>
        </w:tc>
        <w:tc>
          <w:tcPr>
            <w:tcW w:type="dxa" w:w="4153"/>
          </w:tcPr>
          <w:p/>
          <w:p/>
          <w:p/>
          <w:p/>
          <w:p>
            <w:r>
              <w:rPr/>
              <w:t>收取比例：5%,说明：1.项目所有设备经采购人验收合格后，中标人在五个工作日内向采购人支付合同价款5%作为履约保证金； 2.验收满一年后，货物无质量问题，自中标人提交申请材料后，凭用户出具的无质量及违约问题的证明及保证金收据，在十五个工作日内（寒暑假顺延）无息退还中标人的5%履约保证金。</w:t>
            </w:r>
          </w:p>
        </w:tc>
      </w:tr>
      <w:tr>
        <w:tc>
          <w:tcPr>
            <w:tcW w:type="dxa" w:w="4153"/>
          </w:tcPr>
          <w:p>
            <w:r>
              <w:rPr/>
              <w:t>其他</w:t>
            </w:r>
          </w:p>
        </w:tc>
        <w:tc>
          <w:tcPr>
            <w:tcW w:type="dxa" w:w="4153"/>
          </w:tcPr>
          <w:p/>
          <w:p/>
          <w:p>
            <w:r>
              <w:rPr/>
              <w:t>风险提示，参与本项目竞争的供应商，应充分考虑到采购人可能会因政策调整等不可控因素而终止采购活动或者终止合同履行对自身造成的不利影响，并做好风险防控。</w:t>
            </w:r>
          </w:p>
          <w:p/>
          <w:p>
            <w:r>
              <w:rPr/>
              <w:t>其他，1.服务要求 投标人对所投设备及软件系统提供至少三年的无条件保修及技术支持服务。（费用包含在投标报价中，采购人不额外支付任何费用。） 2.保修期 （1）针对本项目所有设备和软件系统，应提供至少三年售后服务。保修期内，中标人对所有设备提供7*24小时无条件上门维护服务，无条件提供人工、部件。（费用包含在投标报价中，采购人不额外支付任何费用。） 3.售后要求 （1）所有设备保修期均为整机无条件（人工+配件）上门保修至少三年。（费用包含在投标报价中，采购人不额外支付任何费用。） （2）在各设备或配件的保修期内发生故障，由中标人负责联系厂家进行维修或更换。 （3）保修期间采购人所购设备各部件发生非人为故障中标人应无条件上门更换同种品牌不低于原规格型号的新部件。对于不能明确是否是硬件出现故障时，中标人应尽力配合采购人进行检查，在必要时，能在上述响应时间内到达现场协助排除问题。 （4）保修期间，同一硬件一个月内连续2次出现同一故障，中标人须无偿更换不低于同一档次机器。 （5）投标人应提供交货地点厂家维修部的电话及联系人，采购人报修后，采购人所在地的厂家维修部，须在4个小时内响应，并在6个小时内派员上门现场维护，须在12个小时内解决问题。在12个小时内不能解决问题的机器，应在24小时内提供同档次的机器给采购人代用。投标人须在售后服务承诺中承诺维修人员到场维修的时间。 （6）中标人负责对采购人受训人员进行操作、维修培训，直至采购人能熟练操作为止。 4.培训要求： （1）中标人为采购人提供操作及维护培训，主要内容为设备的基本结构、性能、主要部件的构造及原理，日常使用操作、保养与管理，常见故障的排除，紧急情况的处理等，培训地点主要在设备安装现场或按双方协商。</w:t>
            </w:r>
          </w:p>
        </w:tc>
      </w:tr>
    </w:tbl>
    <w:p>
      <w:r>
        <w:rPr>
          <w:b/>
        </w:rPr>
        <w:t>2.技术标准与要求</w:t>
      </w:r>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其他网络设备</w:t>
            </w:r>
          </w:p>
        </w:tc>
        <w:tc>
          <w:tcPr>
            <w:tcW w:type="dxa" w:w="831"/>
          </w:tcPr>
          <w:p>
            <w:pPr>
              <w:jc w:val="left"/>
            </w:pPr>
            <w:r>
              <w:rPr/>
              <w:t>市电PDU等设备</w:t>
            </w:r>
          </w:p>
        </w:tc>
        <w:tc>
          <w:tcPr>
            <w:tcW w:type="dxa" w:w="831"/>
          </w:tcPr>
          <w:p>
            <w:pPr>
              <w:jc w:val="left"/>
            </w:pPr>
            <w:r>
              <w:rPr/>
              <w:t>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其他网络设备</w:t>
            </w:r>
          </w:p>
        </w:tc>
        <w:tc>
          <w:tcPr>
            <w:tcW w:type="dxa" w:w="831"/>
          </w:tcPr>
          <w:p>
            <w:pPr>
              <w:jc w:val="left"/>
            </w:pPr>
            <w:r>
              <w:rPr/>
              <w:t>管理主机</w:t>
            </w:r>
          </w:p>
        </w:tc>
        <w:tc>
          <w:tcPr>
            <w:tcW w:type="dxa" w:w="831"/>
          </w:tcPr>
          <w:p>
            <w:pPr>
              <w:jc w:val="left"/>
            </w:pPr>
            <w:r>
              <w:rPr/>
              <w:t>套</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w:t>
            </w:r>
          </w:p>
        </w:tc>
      </w:tr>
    </w:tbl>
    <w:p/>
    <w:p>
      <w:r>
        <w:rPr>
          <w:b/>
        </w:rPr>
        <w:t>附表</w:t>
      </w:r>
      <w:r>
        <w:rPr>
          <w:b/>
        </w:rPr>
        <w:t>一</w:t>
      </w:r>
      <w:r>
        <w:rPr>
          <w:b/>
        </w:rPr>
        <w:t>：</w:t>
      </w:r>
      <w:r>
        <w:rPr>
          <w:b/>
        </w:rPr>
        <w:t>市电PDU等设备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color w:val="000000"/>
                <w:sz w:val="21"/>
              </w:rPr>
              <w:t>一、市电</w:t>
            </w:r>
            <w:r>
              <w:rPr>
                <w:b/>
                <w:color w:val="000000"/>
                <w:sz w:val="21"/>
              </w:rPr>
              <w:t>PDU（数量：41套）</w:t>
            </w:r>
            <w:r>
              <w:br/>
            </w:r>
            <w:r>
              <w:rPr>
                <w:color w:val="000000"/>
                <w:sz w:val="21"/>
              </w:rPr>
              <w:t>1、0U机架式，20套20个国标10A+4个国标16A输出,左安装</w:t>
            </w:r>
          </w:p>
          <w:p>
            <w:pPr>
              <w:jc w:val="left"/>
            </w:pPr>
            <w:r>
              <w:rPr>
                <w:color w:val="000000"/>
                <w:sz w:val="21"/>
              </w:rPr>
              <w:t>2、0U机架式，21套20个国标10A+4个国标16A输出,右安装</w:t>
            </w:r>
            <w:r>
              <w:br/>
            </w:r>
            <w:r>
              <w:br/>
            </w:r>
            <w:r>
              <w:rPr>
                <w:b/>
                <w:color w:val="000000"/>
                <w:sz w:val="21"/>
              </w:rPr>
              <w:t>二、</w:t>
            </w:r>
            <w:r>
              <w:rPr>
                <w:b/>
                <w:color w:val="000000"/>
                <w:sz w:val="21"/>
              </w:rPr>
              <w:t>4位开启式地面插座（数量：2个）</w:t>
            </w:r>
            <w:r>
              <w:br/>
            </w:r>
            <w:r>
              <w:rPr>
                <w:color w:val="000000"/>
                <w:sz w:val="21"/>
              </w:rPr>
              <w:t>定制</w:t>
            </w:r>
            <w:r>
              <w:rPr>
                <w:color w:val="000000"/>
                <w:sz w:val="21"/>
              </w:rPr>
              <w:t>4位开启式地面插座</w:t>
            </w:r>
            <w:r>
              <w:br/>
            </w:r>
            <w:r>
              <w:br/>
            </w:r>
            <w:r>
              <w:rPr>
                <w:b/>
                <w:color w:val="000000"/>
                <w:sz w:val="21"/>
              </w:rPr>
              <w:t>三、铝合金面板灯盘（数量：</w:t>
            </w:r>
            <w:r>
              <w:rPr>
                <w:b/>
                <w:color w:val="000000"/>
                <w:sz w:val="21"/>
              </w:rPr>
              <w:t>40个）</w:t>
            </w:r>
            <w:r>
              <w:br/>
            </w:r>
            <w:r>
              <w:rPr>
                <w:color w:val="000000"/>
                <w:sz w:val="21"/>
              </w:rPr>
              <w:t>600*1200mm</w:t>
            </w:r>
            <w:r>
              <w:br/>
            </w:r>
            <w:r>
              <w:br/>
            </w:r>
            <w:r>
              <w:rPr>
                <w:b/>
                <w:color w:val="000000"/>
                <w:sz w:val="21"/>
              </w:rPr>
              <w:t>四、市电配电柜配电模块（数量：</w:t>
            </w:r>
            <w:r>
              <w:rPr>
                <w:b/>
                <w:color w:val="000000"/>
                <w:sz w:val="21"/>
              </w:rPr>
              <w:t>1个）</w:t>
            </w:r>
            <w:r>
              <w:br/>
            </w:r>
            <w:r>
              <w:rPr>
                <w:color w:val="000000"/>
                <w:sz w:val="21"/>
              </w:rPr>
              <w:t>1.市电配电柜，柜型固定柜，输入：630A/3P PC级ATS；输出：4*400A/3P+6*80A/3P+3*32A/1P；输出侧带智能仪表，带断路器</w:t>
            </w:r>
          </w:p>
          <w:p>
            <w:pPr>
              <w:jc w:val="left"/>
            </w:pPr>
            <w:r>
              <w:rPr>
                <w:color w:val="000000"/>
                <w:sz w:val="21"/>
              </w:rPr>
              <w:t>2.产品符合GB7251.1国家标准，需提供国家CCC强制认证证书及报告，投标设备型号和规格必须与CCC证书中完全一致。</w:t>
            </w:r>
          </w:p>
          <w:p>
            <w:pPr>
              <w:jc w:val="left"/>
            </w:pPr>
            <w:r>
              <w:rPr>
                <w:color w:val="000000"/>
                <w:sz w:val="21"/>
              </w:rPr>
              <w:t>3.断路器应选用与UPS同品牌；</w:t>
            </w:r>
          </w:p>
          <w:p>
            <w:pPr>
              <w:jc w:val="left"/>
            </w:pPr>
            <w:r>
              <w:rPr>
                <w:color w:val="000000"/>
                <w:sz w:val="21"/>
              </w:rPr>
              <w:t>4.柜体母线应采用高导电率铜制导体。机架内一、二次连接铜排，铜导线均从正规厂家购买，铜排纯度达到99.97%以上，并提供 第三方资质机构出具的证明；</w:t>
            </w:r>
          </w:p>
          <w:p>
            <w:pPr>
              <w:jc w:val="left"/>
            </w:pPr>
            <w:r>
              <w:rPr>
                <w:color w:val="000000"/>
                <w:sz w:val="21"/>
              </w:rPr>
              <w:t>5.为了确保镀层质量，所有结构件必须在厂商喷涂，必须具备完整喷涂生产线，提供喷涂设备资产证明文件；</w:t>
            </w:r>
          </w:p>
          <w:p>
            <w:pPr>
              <w:jc w:val="left"/>
            </w:pPr>
            <w:r>
              <w:rPr>
                <w:color w:val="000000"/>
                <w:sz w:val="21"/>
              </w:rPr>
              <w:t>6.配电柜与功率模块、服务器机柜、管理主机同品牌</w:t>
            </w:r>
            <w:r>
              <w:br/>
            </w:r>
            <w:r>
              <w:br/>
            </w:r>
            <w:r>
              <w:rPr>
                <w:b/>
                <w:color w:val="000000"/>
                <w:sz w:val="21"/>
              </w:rPr>
              <w:t>五、</w:t>
            </w:r>
            <w:r>
              <w:rPr>
                <w:b/>
                <w:color w:val="000000"/>
                <w:sz w:val="21"/>
              </w:rPr>
              <w:t>UPS输出配电柜（数量：1个）</w:t>
            </w:r>
            <w:r>
              <w:br/>
            </w:r>
            <w:r>
              <w:rPr>
                <w:color w:val="000000"/>
                <w:sz w:val="21"/>
              </w:rPr>
              <w:t>1.UPS输出配电柜，固定柜；输入：2*250A/3P总开关；输出：2*2*160A/3P+2*2*100A/4P+2*3*32A/1P输出分路，主输入带智能仪表，输出侧带智能仪表，带断路器。</w:t>
            </w:r>
          </w:p>
          <w:p>
            <w:pPr>
              <w:jc w:val="left"/>
            </w:pPr>
            <w:r>
              <w:rPr>
                <w:color w:val="000000"/>
                <w:sz w:val="21"/>
              </w:rPr>
              <w:t>2.产品符合GB7251.1国家标准，需提供国家CCC强制认证证书及报告，投标设备型号和规格必须与CCC证书中完全一致。</w:t>
            </w:r>
            <w:r>
              <w:br/>
            </w:r>
            <w:r>
              <w:rPr>
                <w:color w:val="000000"/>
                <w:sz w:val="21"/>
              </w:rPr>
              <w:t>3.断路器应选用与UPS同品牌；</w:t>
            </w:r>
          </w:p>
          <w:p>
            <w:pPr>
              <w:jc w:val="left"/>
            </w:pPr>
            <w:r>
              <w:rPr>
                <w:color w:val="000000"/>
                <w:sz w:val="21"/>
              </w:rPr>
              <w:t>4.柜体母线应采用高导电率铜制导体。机架内一、二次连接铜排，铜导线均从正规厂家购买，铜排纯度达到99.97%以上，并提供第三方资质机构出具的证明；</w:t>
            </w:r>
          </w:p>
          <w:p>
            <w:pPr>
              <w:jc w:val="left"/>
            </w:pPr>
            <w:r>
              <w:rPr>
                <w:color w:val="000000"/>
                <w:sz w:val="21"/>
              </w:rPr>
              <w:t>5.为了确保镀层质量，所有结构件必须在原厂喷涂，必须具备完整喷涂生产线，提供喷涂设备资产证明文件；</w:t>
            </w:r>
          </w:p>
          <w:p>
            <w:pPr>
              <w:jc w:val="left"/>
            </w:pPr>
            <w:r>
              <w:rPr>
                <w:color w:val="000000"/>
                <w:sz w:val="21"/>
              </w:rPr>
              <w:t>6.配电柜与功率模块、服务器机柜、管理主机同品牌</w:t>
            </w:r>
            <w:r>
              <w:br/>
            </w:r>
            <w:r>
              <w:br/>
            </w:r>
            <w:r>
              <w:rPr>
                <w:b/>
                <w:color w:val="000000"/>
                <w:sz w:val="21"/>
              </w:rPr>
              <w:t>六、列头柜电模块（数量：</w:t>
            </w:r>
            <w:r>
              <w:rPr>
                <w:b/>
                <w:color w:val="000000"/>
                <w:sz w:val="21"/>
              </w:rPr>
              <w:t>2个）</w:t>
            </w:r>
            <w:r>
              <w:br/>
            </w:r>
            <w:r>
              <w:rPr>
                <w:color w:val="000000"/>
                <w:sz w:val="21"/>
              </w:rPr>
              <w:t>1.精密配电柜，双系统：</w:t>
            </w:r>
          </w:p>
          <w:p>
            <w:pPr>
              <w:jc w:val="left"/>
            </w:pPr>
            <w:r>
              <w:rPr>
                <w:color w:val="000000"/>
                <w:sz w:val="21"/>
              </w:rPr>
              <w:t>（</w:t>
            </w:r>
            <w:r>
              <w:rPr>
                <w:color w:val="000000"/>
                <w:sz w:val="21"/>
              </w:rPr>
              <w:t>1）双母线UPS电输入：2×160A 3P开关；</w:t>
            </w:r>
          </w:p>
          <w:p>
            <w:pPr>
              <w:jc w:val="left"/>
            </w:pPr>
            <w:r>
              <w:rPr>
                <w:color w:val="000000"/>
                <w:sz w:val="21"/>
              </w:rPr>
              <w:t>UPS电输出：2*25*32A/1P开关；</w:t>
            </w:r>
          </w:p>
          <w:p>
            <w:pPr>
              <w:jc w:val="left"/>
            </w:pPr>
            <w:r>
              <w:rPr>
                <w:color w:val="000000"/>
                <w:sz w:val="21"/>
              </w:rPr>
              <w:t>（</w:t>
            </w:r>
            <w:r>
              <w:rPr>
                <w:color w:val="000000"/>
                <w:sz w:val="21"/>
              </w:rPr>
              <w:t>2）双母线UPS电回路带多回路智能监控系统；</w:t>
            </w:r>
          </w:p>
          <w:p>
            <w:pPr>
              <w:jc w:val="left"/>
            </w:pPr>
            <w:r>
              <w:rPr>
                <w:color w:val="000000"/>
                <w:sz w:val="21"/>
              </w:rPr>
              <w:t>（</w:t>
            </w:r>
            <w:r>
              <w:rPr>
                <w:color w:val="000000"/>
                <w:sz w:val="21"/>
              </w:rPr>
              <w:t>3）配置C级防雷，带断路器；</w:t>
            </w:r>
          </w:p>
          <w:p>
            <w:pPr>
              <w:jc w:val="left"/>
            </w:pPr>
            <w:r>
              <w:rPr>
                <w:color w:val="000000"/>
                <w:sz w:val="21"/>
              </w:rPr>
              <w:t>2.精密配电柜必须通过的CCC认证，提供证明文件；</w:t>
            </w:r>
          </w:p>
          <w:p>
            <w:pPr>
              <w:jc w:val="left"/>
            </w:pPr>
            <w:r>
              <w:rPr>
                <w:color w:val="000000"/>
                <w:sz w:val="21"/>
              </w:rPr>
              <w:t>3.满足输入电压380/400/415VAC；频率：50Hz/60Hz 匹配大部分区域供电制式；</w:t>
            </w:r>
          </w:p>
          <w:p>
            <w:pPr>
              <w:jc w:val="left"/>
            </w:pPr>
            <w:r>
              <w:rPr>
                <w:color w:val="000000"/>
                <w:sz w:val="21"/>
              </w:rPr>
              <w:t>4.柜体可以抵抗烈度为9度以上的地震，提供第三检测报告；</w:t>
            </w:r>
          </w:p>
          <w:p>
            <w:pPr>
              <w:jc w:val="left"/>
            </w:pPr>
            <w:r>
              <w:rPr>
                <w:color w:val="000000"/>
                <w:sz w:val="21"/>
              </w:rPr>
              <w:t>5.断路器: 配电柜中所使用的断路器需为列头柜同品牌产品，所有在用及备用开关均应纳入配电柜监控系统；</w:t>
            </w:r>
          </w:p>
          <w:p>
            <w:pPr>
              <w:jc w:val="left"/>
            </w:pPr>
            <w:r>
              <w:rPr>
                <w:color w:val="000000"/>
                <w:sz w:val="21"/>
              </w:rPr>
              <w:t>6.铜排: 柜体母线应采用高电导率纯铜导体，机架内所有一、二次连接铜母排、铜导线均从正规厂购买，为优质电解铜生产而成，铜排纯度大于99.97%，并且提供第三方资质机构出具的证明；</w:t>
            </w:r>
          </w:p>
          <w:p>
            <w:pPr>
              <w:jc w:val="left"/>
            </w:pPr>
            <w:r>
              <w:rPr>
                <w:color w:val="000000"/>
                <w:sz w:val="21"/>
              </w:rPr>
              <w:t>7.主进回路部分的监控和显示参数需至少包括：三相电压，三相电流，频率，三相额定电流、电流百分比、频率，功率因数、电能、有功功率、视在功率、开关状态等；</w:t>
            </w:r>
          </w:p>
          <w:p>
            <w:pPr>
              <w:jc w:val="left"/>
            </w:pPr>
            <w:r>
              <w:rPr>
                <w:color w:val="000000"/>
                <w:sz w:val="21"/>
              </w:rPr>
              <w:t>8.支路监控和显示参数至少包括：各支路电流、额定电流、负载百分比、电能、电流谐波百分比、开关状态、有功功率、视在功率，功率因数等；</w:t>
            </w:r>
          </w:p>
          <w:p>
            <w:pPr>
              <w:jc w:val="left"/>
            </w:pPr>
            <w:r>
              <w:rPr>
                <w:color w:val="000000"/>
                <w:sz w:val="21"/>
              </w:rPr>
              <w:t>9.电压、电流测量精度不低于1%，电能测量精度不低于2%</w:t>
            </w:r>
          </w:p>
          <w:p>
            <w:pPr>
              <w:jc w:val="left"/>
            </w:pPr>
            <w:r>
              <w:rPr>
                <w:color w:val="000000"/>
                <w:sz w:val="21"/>
              </w:rPr>
              <w:t>10.配电柜必须为厂商生产，不得采用盘厂产品，提供3C报告证明；</w:t>
            </w:r>
            <w:r>
              <w:br/>
            </w:r>
            <w:r>
              <w:br/>
            </w:r>
            <w:r>
              <w:rPr>
                <w:b/>
                <w:color w:val="000000"/>
                <w:sz w:val="21"/>
              </w:rPr>
              <w:t>七、全热新风换气机（数量：</w:t>
            </w:r>
            <w:r>
              <w:rPr>
                <w:b/>
                <w:color w:val="000000"/>
                <w:sz w:val="21"/>
              </w:rPr>
              <w:t>1台）</w:t>
            </w:r>
            <w:r>
              <w:br/>
            </w:r>
            <w:r>
              <w:rPr>
                <w:sz w:val="21"/>
              </w:rPr>
              <w:t>1.风量：≥</w:t>
            </w:r>
            <w:r>
              <w:rPr>
                <w:sz w:val="21"/>
              </w:rPr>
              <w:t>2000m3/h</w:t>
            </w:r>
            <w:r>
              <w:rPr>
                <w:sz w:val="21"/>
              </w:rPr>
              <w:t>；</w:t>
            </w:r>
          </w:p>
          <w:p>
            <w:pPr>
              <w:jc w:val="left"/>
            </w:pPr>
            <w:r>
              <w:rPr>
                <w:sz w:val="21"/>
              </w:rPr>
              <w:t>2.保证室内的冷热负荷（温度）基本不受新风的影响；</w:t>
            </w:r>
          </w:p>
          <w:p>
            <w:pPr>
              <w:jc w:val="left"/>
            </w:pPr>
            <w:r>
              <w:rPr>
                <w:sz w:val="21"/>
              </w:rPr>
              <w:t>3.双向换气、节能（热交换器回收效率大于70％，大幅降低新风处理所需能量）；</w:t>
            </w:r>
            <w:r>
              <w:br/>
            </w:r>
            <w:r>
              <w:br/>
            </w:r>
            <w:r>
              <w:rPr>
                <w:b/>
                <w:color w:val="000000"/>
                <w:sz w:val="21"/>
              </w:rPr>
              <w:t>八、酚醛板新排风管道（数量：</w:t>
            </w:r>
            <w:r>
              <w:rPr>
                <w:b/>
                <w:color w:val="000000"/>
                <w:sz w:val="21"/>
              </w:rPr>
              <w:t>45米）</w:t>
            </w:r>
            <w:r>
              <w:br/>
            </w:r>
            <w:r>
              <w:rPr>
                <w:sz w:val="21"/>
              </w:rPr>
              <w:t>600</w:t>
            </w:r>
            <w:r>
              <w:rPr>
                <w:sz w:val="21"/>
              </w:rPr>
              <w:t>（</w:t>
            </w:r>
            <w:r>
              <w:rPr>
                <w:sz w:val="21"/>
              </w:rPr>
              <w:t>±5mm）×200（±5mm） mm，厚度≥0.75mm</w:t>
            </w:r>
            <w:r>
              <w:br/>
            </w:r>
            <w:r>
              <w:br/>
            </w:r>
            <w:r>
              <w:rPr>
                <w:b/>
                <w:sz w:val="21"/>
              </w:rPr>
              <w:t>九、新排风口（数量：</w:t>
            </w:r>
            <w:r>
              <w:rPr>
                <w:b/>
                <w:sz w:val="21"/>
              </w:rPr>
              <w:t>8个）</w:t>
            </w:r>
            <w:r>
              <w:br/>
            </w:r>
            <w:r>
              <w:rPr>
                <w:sz w:val="21"/>
              </w:rPr>
              <w:t>400m</w:t>
            </w:r>
            <w:r>
              <w:rPr>
                <w:sz w:val="21"/>
              </w:rPr>
              <w:t>（</w:t>
            </w:r>
            <w:r>
              <w:rPr>
                <w:sz w:val="21"/>
              </w:rPr>
              <w:t>±5mm）</w:t>
            </w:r>
            <w:r>
              <w:rPr>
                <w:sz w:val="21"/>
              </w:rPr>
              <w:t>*400mm</w:t>
            </w:r>
            <w:r>
              <w:rPr>
                <w:sz w:val="21"/>
              </w:rPr>
              <w:t>（</w:t>
            </w:r>
            <w:r>
              <w:rPr>
                <w:sz w:val="21"/>
              </w:rPr>
              <w:t>±5mm）</w:t>
            </w:r>
            <w:r>
              <w:br/>
            </w:r>
            <w:r>
              <w:br/>
            </w:r>
            <w:r>
              <w:rPr>
                <w:b/>
                <w:color w:val="000000"/>
                <w:sz w:val="21"/>
              </w:rPr>
              <w:t>十、</w:t>
            </w:r>
            <w:r>
              <w:rPr>
                <w:b/>
                <w:color w:val="000000"/>
                <w:sz w:val="21"/>
              </w:rPr>
              <w:t>600mm宽服务器机柜（数量：7台）</w:t>
            </w:r>
            <w:r>
              <w:br/>
            </w:r>
            <w:r>
              <w:rPr>
                <w:color w:val="000000"/>
                <w:sz w:val="21"/>
              </w:rPr>
              <w:t>1.投标产品需符合 GB/T3047.2- 92标准，兼容公制标准；</w:t>
            </w:r>
          </w:p>
          <w:p>
            <w:pPr>
              <w:jc w:val="left"/>
            </w:pPr>
            <w:r>
              <w:rPr>
                <w:color w:val="000000"/>
                <w:sz w:val="21"/>
              </w:rPr>
              <w:t>2.机柜主体材质需采用A级冷轧钢板，静态承重需不小于2500kg，动载测试满足带载不低于1500kg测试通过动载DL4振动冲击试验。静态承重和动载测试均需提供第三方承重测试报告；</w:t>
            </w:r>
          </w:p>
          <w:p>
            <w:pPr>
              <w:jc w:val="left"/>
            </w:pPr>
            <w:r>
              <w:rPr>
                <w:color w:val="000000"/>
                <w:sz w:val="21"/>
              </w:rPr>
              <w:t>3.投标产品应机柜需满足抗震要求，依照YD5083-2005《电信设备抗地震性能检测规范》标准，投标产品带不低于550kg情况下，需连续通过8、9级烈度结构抗地震考核，提供第三方机构抗震测试报告；</w:t>
            </w:r>
          </w:p>
          <w:p>
            <w:pPr>
              <w:jc w:val="left"/>
            </w:pPr>
            <w:r>
              <w:rPr>
                <w:color w:val="000000"/>
                <w:sz w:val="21"/>
              </w:rPr>
              <w:t>4.投标产品前后门需采用网孔门设计，网孔为六边形设计,通孔率需达</w:t>
            </w:r>
            <w:r>
              <w:rPr>
                <w:sz w:val="24"/>
              </w:rPr>
              <w:t>≥</w:t>
            </w:r>
            <w:r>
              <w:rPr>
                <w:color w:val="000000"/>
                <w:sz w:val="21"/>
              </w:rPr>
              <w:t>83％，利于机柜内设备通风散热，适应新型服务器高热密度的散热需求，需提供第三方机构通孔率检测报告加以证明；</w:t>
            </w:r>
          </w:p>
          <w:p>
            <w:pPr>
              <w:jc w:val="left"/>
            </w:pPr>
            <w:r>
              <w:rPr>
                <w:color w:val="000000"/>
                <w:sz w:val="21"/>
              </w:rPr>
              <w:t>▲5.为方便柜内设备上下架，机柜前后门开启角度均应大于等于</w:t>
            </w:r>
            <w:r>
              <w:rPr>
                <w:color w:val="000000"/>
                <w:sz w:val="21"/>
              </w:rPr>
              <w:t>140</w:t>
            </w:r>
            <w:r>
              <w:rPr>
                <w:color w:val="000000"/>
                <w:sz w:val="21"/>
              </w:rPr>
              <w:t>度，需提供第三方机构检测报告加以证明；</w:t>
            </w:r>
          </w:p>
          <w:p>
            <w:pPr>
              <w:jc w:val="left"/>
            </w:pPr>
            <w:r>
              <w:rPr>
                <w:color w:val="000000"/>
                <w:sz w:val="21"/>
              </w:rPr>
              <w:t>6. 投标机柜可以直接固定放置在机房地板或与机房地板水平高度相同的槽钢上.同时前后门可以正常打开和关闭；</w:t>
            </w:r>
          </w:p>
          <w:p>
            <w:pPr>
              <w:jc w:val="left"/>
            </w:pPr>
            <w:r>
              <w:rPr>
                <w:color w:val="000000"/>
                <w:sz w:val="21"/>
              </w:rPr>
              <w:t>7. 投标机柜顶盖为封闭式顶盖,预留前后走线孔，数量不少于前2个后6个，满足机柜前后左右位置上顶部进线的需求。每个走线孔由若干模块化盖板覆盖,模块化盖板可快速安装或拆卸，同时盖板的安装或拆卸与走线孔内已有的线缆不发生干涉；</w:t>
            </w:r>
          </w:p>
          <w:p>
            <w:pPr>
              <w:jc w:val="left"/>
            </w:pPr>
            <w:r>
              <w:rPr>
                <w:color w:val="000000"/>
                <w:sz w:val="21"/>
              </w:rPr>
              <w:t>8. 投标产品前后19”安装立柱在机柜内部的安装位置(深度方向)前后可调,安装立柱正反面均有U高度刻度,安装立柱侧面有安装孔,可安装无工具安装方式的线缆管理单元(理线环或扎线带),实现快速简易的垂直线缆管理。</w:t>
            </w:r>
          </w:p>
          <w:p>
            <w:pPr>
              <w:jc w:val="left"/>
            </w:pPr>
            <w:r>
              <w:rPr>
                <w:color w:val="000000"/>
                <w:sz w:val="21"/>
              </w:rPr>
              <w:t>9. 投标机柜侧板要求为快速拆卸式侧板，无工具安装,投标机柜侧板带锁,侧板锁和机柜前后门锁钥匙通开；</w:t>
            </w:r>
          </w:p>
          <w:p>
            <w:pPr>
              <w:jc w:val="left"/>
            </w:pPr>
            <w:r>
              <w:rPr>
                <w:color w:val="000000"/>
                <w:sz w:val="21"/>
              </w:rPr>
              <w:t>10. 投标机柜需提供不少于4套并柜连接套件,支持在带侧板和不带侧板两种情况下的并柜安装；</w:t>
            </w:r>
          </w:p>
          <w:p>
            <w:pPr>
              <w:jc w:val="left"/>
            </w:pPr>
            <w:r>
              <w:rPr>
                <w:color w:val="000000"/>
                <w:sz w:val="21"/>
              </w:rPr>
              <w:t>11.投标产品需能提供上下走线方式(标配)，方便现场布线；</w:t>
            </w:r>
          </w:p>
          <w:p>
            <w:pPr>
              <w:jc w:val="left"/>
            </w:pPr>
            <w:r>
              <w:rPr>
                <w:color w:val="000000"/>
                <w:sz w:val="21"/>
              </w:rPr>
              <w:t>12</w:t>
            </w:r>
            <w:r>
              <w:rPr>
                <w:color w:val="000000"/>
                <w:sz w:val="21"/>
              </w:rPr>
              <w:t>.投标产品表面颜色为黑色（RAL7021）；静电喷塑表面附着力需满足GB/T9286-98标准二级或二级以上；硬度需满足GB/T6739-96标准2H或2H以上；耐冲击性采用GB/T1732-93标准进行测试；附着力、硬度、耐冲击三项需提供第三方机构检测报告。涂层厚度采用GB/T1768标准进行测试，需大于80μm，需提供第三方机构检测报告；</w:t>
            </w:r>
          </w:p>
          <w:p>
            <w:pPr>
              <w:jc w:val="left"/>
            </w:pPr>
            <w:r>
              <w:rPr>
                <w:color w:val="000000"/>
                <w:sz w:val="21"/>
              </w:rPr>
              <w:t>13</w:t>
            </w:r>
            <w:r>
              <w:rPr>
                <w:color w:val="000000"/>
                <w:sz w:val="21"/>
              </w:rPr>
              <w:t>. 投标产品外形尺寸偏差应符合JB/T6753.5-93所规定的A级要求，机柜应方正、不歪斜，机柜六面的垂直度采用对角线法控制。</w:t>
            </w:r>
          </w:p>
          <w:p>
            <w:pPr>
              <w:jc w:val="left"/>
            </w:pPr>
            <w:r>
              <w:rPr>
                <w:color w:val="000000"/>
                <w:sz w:val="21"/>
              </w:rPr>
              <w:t>14</w:t>
            </w:r>
            <w:r>
              <w:rPr>
                <w:color w:val="000000"/>
                <w:sz w:val="21"/>
              </w:rPr>
              <w:t>. 投标产品材料需满足，前后网孔门材料采用1.5mm冷板；立柱材料：2.0mm冷板；框架材料：1.5mm冷板，需提供第三方机构检测报告。</w:t>
            </w:r>
          </w:p>
          <w:p>
            <w:pPr>
              <w:jc w:val="left"/>
            </w:pPr>
            <w:r>
              <w:rPr>
                <w:color w:val="000000"/>
                <w:sz w:val="21"/>
              </w:rPr>
              <w:t>15</w:t>
            </w:r>
            <w:r>
              <w:rPr>
                <w:color w:val="000000"/>
                <w:sz w:val="21"/>
              </w:rPr>
              <w:t>. 投标产品机柜尺寸为宽600×高2000×深1200mm，每机柜标配底板。</w:t>
            </w:r>
          </w:p>
          <w:p>
            <w:pPr>
              <w:jc w:val="left"/>
            </w:pPr>
            <w:r>
              <w:br/>
            </w:r>
            <w:r>
              <w:br/>
            </w:r>
            <w:r>
              <w:rPr>
                <w:b/>
                <w:color w:val="000000"/>
                <w:sz w:val="21"/>
              </w:rPr>
              <w:t>十一、</w:t>
            </w:r>
            <w:r>
              <w:rPr>
                <w:b/>
                <w:color w:val="000000"/>
                <w:sz w:val="21"/>
              </w:rPr>
              <w:t>800mm宽服务器机柜（数量：33台）</w:t>
            </w:r>
            <w:r>
              <w:br/>
            </w:r>
            <w:r>
              <w:rPr>
                <w:color w:val="000000"/>
                <w:sz w:val="21"/>
              </w:rPr>
              <w:t>1.规格：800*1200*2000，无侧板，标配2块竖直理线板，顶盖带出线孔，含底板。</w:t>
            </w:r>
          </w:p>
          <w:p>
            <w:pPr>
              <w:jc w:val="left"/>
            </w:pPr>
            <w:r>
              <w:rPr>
                <w:color w:val="000000"/>
                <w:sz w:val="21"/>
              </w:rPr>
              <w:t>2. 投标产品需符合 GB/T3047.2- 92标准，兼容公制标准；</w:t>
            </w:r>
          </w:p>
          <w:p>
            <w:pPr>
              <w:jc w:val="left"/>
            </w:pPr>
            <w:r>
              <w:rPr>
                <w:color w:val="000000"/>
                <w:sz w:val="21"/>
              </w:rPr>
              <w:t>▲3.机柜主体材质需采用A级冷轧钢板，静态承重需不小于2500kg，动载测试满足带载不低于1500kg测试通过动载DL4振动冲击试验。静态承重和动载测试均需提供第三方承重测试报告；</w:t>
            </w:r>
          </w:p>
          <w:p>
            <w:pPr>
              <w:jc w:val="left"/>
            </w:pPr>
            <w:r>
              <w:rPr>
                <w:color w:val="000000"/>
                <w:sz w:val="21"/>
              </w:rPr>
              <w:t>4.投标产品应机柜需满足抗震要求，依照YD5083-2005《电信设备抗地震性能检测规范》标准，投标产品带不低于550kg情况下，需连续通过8、9级烈度结构抗地震考核，提供 第三方机构抗震测试报告；</w:t>
            </w:r>
          </w:p>
          <w:p>
            <w:pPr>
              <w:jc w:val="left"/>
            </w:pPr>
            <w:r>
              <w:rPr>
                <w:color w:val="000000"/>
                <w:sz w:val="21"/>
              </w:rPr>
              <w:t>▲5.投标产品前后门需采用网孔门设计，网孔为六边形设计,通孔率需达83％，利于机柜内设备通风散热，适应新型服务器高热密度的散热需求，需提供第三方机构通孔率检测报告加以证明；</w:t>
            </w:r>
          </w:p>
          <w:p>
            <w:pPr>
              <w:jc w:val="left"/>
            </w:pPr>
            <w:r>
              <w:rPr>
                <w:color w:val="000000"/>
                <w:sz w:val="21"/>
              </w:rPr>
              <w:t>6.为方便柜内设备上下架，机柜前后门开启角度均应大于等于</w:t>
            </w:r>
            <w:r>
              <w:rPr>
                <w:color w:val="000000"/>
                <w:sz w:val="21"/>
              </w:rPr>
              <w:t>140</w:t>
            </w:r>
            <w:r>
              <w:rPr>
                <w:color w:val="000000"/>
                <w:sz w:val="21"/>
              </w:rPr>
              <w:t>度，需提供第三方机构检测报告加以证明；</w:t>
            </w:r>
          </w:p>
          <w:p>
            <w:pPr>
              <w:jc w:val="left"/>
            </w:pPr>
            <w:r>
              <w:rPr>
                <w:color w:val="000000"/>
                <w:sz w:val="21"/>
              </w:rPr>
              <w:t>7. 投标机柜可以直接固定放置在机房地板或与机房地板水平高度相同的槽钢上.同时前后门可以正常打开和关闭；</w:t>
            </w:r>
          </w:p>
          <w:p>
            <w:pPr>
              <w:jc w:val="left"/>
            </w:pPr>
            <w:r>
              <w:rPr>
                <w:color w:val="000000"/>
                <w:sz w:val="21"/>
              </w:rPr>
              <w:t>8. 投标机柜顶盖为封闭式顶盖,预留前后走线孔，数量不少于前2个后6个，满足机柜前后左右位置上顶部进线的需求。每个走线孔由若干模块化盖板覆盖,模块化盖板可快速安装或拆卸，同时盖板的安装或拆卸与走线孔内已有的线缆不发生干涉；</w:t>
            </w:r>
          </w:p>
          <w:p>
            <w:pPr>
              <w:jc w:val="left"/>
            </w:pPr>
            <w:r>
              <w:rPr>
                <w:color w:val="000000"/>
                <w:sz w:val="21"/>
              </w:rPr>
              <w:t>9. 投标产品前后19”安装立柱在机柜内部的安装位置(深度方向)前后可调,安装立柱正反面均有U高度刻度,安装立柱侧面有安装孔,可安装无工具安装方式的线缆管理单元(理线环或扎线带),实现快速简易的垂直线缆管理。</w:t>
            </w:r>
          </w:p>
          <w:p>
            <w:pPr>
              <w:jc w:val="left"/>
            </w:pPr>
            <w:r>
              <w:rPr>
                <w:color w:val="000000"/>
                <w:sz w:val="21"/>
              </w:rPr>
              <w:t>10. 投标机柜侧板要求为快速拆卸式侧板，无工具安装,投标机柜侧板带锁,侧板锁和机柜前后门锁钥匙通开；</w:t>
            </w:r>
          </w:p>
          <w:p>
            <w:pPr>
              <w:jc w:val="left"/>
            </w:pPr>
            <w:r>
              <w:rPr>
                <w:color w:val="000000"/>
                <w:sz w:val="21"/>
              </w:rPr>
              <w:t>11. 投标机柜需提供不少于4套并柜连接套件,支持在带侧板和不带侧板两种情况下的并柜安装；</w:t>
            </w:r>
          </w:p>
          <w:p>
            <w:pPr>
              <w:jc w:val="left"/>
            </w:pPr>
            <w:r>
              <w:rPr>
                <w:color w:val="000000"/>
                <w:sz w:val="21"/>
              </w:rPr>
              <w:t>12. 投标产品需能提供上下走线方式(标配)，方便现场布线；</w:t>
            </w:r>
          </w:p>
          <w:p>
            <w:pPr>
              <w:jc w:val="left"/>
            </w:pPr>
            <w:r>
              <w:rPr>
                <w:color w:val="000000"/>
                <w:sz w:val="21"/>
              </w:rPr>
              <w:t>▲13.投标产品表面颜色为黑色（RAL7021）；静电喷塑表面附着力需满足GB/T9286-98标准二级或二级以上；硬度需满足GB/T6739-96标准2H或2H以上；耐冲击性采用GB/T1732-93标准进行测试；附着力、硬度、耐冲击三项需提供第三方机构检测报告。涂层厚度采用GB/T1768标准进行测试，需大于80μm，需提供第三方机构检测报告；</w:t>
            </w:r>
          </w:p>
          <w:p>
            <w:pPr>
              <w:jc w:val="left"/>
            </w:pPr>
            <w:r>
              <w:rPr>
                <w:color w:val="000000"/>
                <w:sz w:val="21"/>
              </w:rPr>
              <w:t>14. 投标产品外形尺寸偏差应符合JB/T6753.5-93所规定的A级要求，机柜应方正、不歪斜，机柜六面的垂直度采用对角线法控制。</w:t>
            </w:r>
          </w:p>
          <w:p>
            <w:pPr>
              <w:jc w:val="left"/>
            </w:pPr>
            <w:r>
              <w:rPr>
                <w:color w:val="000000"/>
                <w:sz w:val="21"/>
              </w:rPr>
              <w:t>15. 投标产品材料需满足，前后网孔门材料采用1.5mm冷板；立柱材料：2.0mm冷板；框架材料：1.5mm冷板，需提供第三方机构检测报告。</w:t>
            </w:r>
          </w:p>
          <w:p>
            <w:pPr>
              <w:jc w:val="left"/>
            </w:pPr>
            <w:r>
              <w:rPr>
                <w:color w:val="000000"/>
                <w:sz w:val="21"/>
              </w:rPr>
              <w:t>16. 投标产品机柜尺寸为宽800×高2000×深1200mm，每机柜标配底板。</w:t>
            </w:r>
          </w:p>
          <w:p>
            <w:pPr>
              <w:jc w:val="left"/>
            </w:pPr>
            <w:r>
              <w:br/>
            </w:r>
            <w:r>
              <w:br/>
            </w:r>
            <w:r>
              <w:rPr>
                <w:b/>
                <w:color w:val="000000"/>
                <w:sz w:val="21"/>
              </w:rPr>
              <w:t>十二、机柜侧板（数量：</w:t>
            </w:r>
            <w:r>
              <w:rPr>
                <w:b/>
                <w:color w:val="000000"/>
                <w:sz w:val="21"/>
              </w:rPr>
              <w:t>4套）</w:t>
            </w:r>
            <w:r>
              <w:br/>
            </w:r>
            <w:r>
              <w:rPr>
                <w:b/>
                <w:sz w:val="21"/>
              </w:rPr>
              <w:t>每套含：</w:t>
            </w:r>
            <w:r>
              <w:rPr>
                <w:sz w:val="21"/>
              </w:rPr>
              <w:t>适合</w:t>
            </w:r>
            <w:r>
              <w:rPr>
                <w:sz w:val="21"/>
              </w:rPr>
              <w:t>1200x2000mm规格机柜，包括机柜左右两块侧板。</w:t>
            </w:r>
            <w:r>
              <w:br/>
            </w:r>
            <w:r>
              <w:br/>
            </w:r>
            <w:r>
              <w:rPr>
                <w:b/>
                <w:sz w:val="21"/>
              </w:rPr>
              <w:t>十三、竖直理线板（数量：</w:t>
            </w:r>
            <w:r>
              <w:rPr>
                <w:b/>
                <w:sz w:val="21"/>
              </w:rPr>
              <w:t>4套）</w:t>
            </w:r>
            <w:r>
              <w:br/>
            </w:r>
            <w:r>
              <w:rPr>
                <w:b/>
                <w:sz w:val="21"/>
              </w:rPr>
              <w:t>每套含：</w:t>
            </w:r>
            <w:r>
              <w:rPr>
                <w:sz w:val="21"/>
              </w:rPr>
              <w:t>机柜</w:t>
            </w:r>
            <w:r>
              <w:rPr>
                <w:sz w:val="21"/>
              </w:rPr>
              <w:t>200</w:t>
            </w:r>
            <w:r>
              <w:rPr>
                <w:color w:val="000000"/>
                <w:sz w:val="21"/>
              </w:rPr>
              <w:t>0高专用竖直理线板（2个一包），用于PDU挂接及垂直理线，支持现场安装。</w:t>
            </w:r>
            <w:r>
              <w:br/>
            </w:r>
            <w:r>
              <w:br/>
            </w:r>
            <w:r>
              <w:rPr>
                <w:b/>
                <w:color w:val="000000"/>
                <w:sz w:val="21"/>
              </w:rPr>
              <w:t>十四、</w:t>
            </w:r>
            <w:r>
              <w:rPr>
                <w:b/>
                <w:color w:val="000000"/>
                <w:sz w:val="21"/>
              </w:rPr>
              <w:t>32A竖直型PDU 国标左安装（数量：20条）</w:t>
            </w:r>
            <w:r>
              <w:br/>
            </w:r>
            <w:r>
              <w:rPr>
                <w:color w:val="000000"/>
                <w:sz w:val="21"/>
              </w:rPr>
              <w:t>PDU,0U机架式，单相32A输入，带接线盒，20个国标10A+4个国标16A输出,左安装。</w:t>
            </w:r>
            <w:r>
              <w:br/>
            </w:r>
            <w:r>
              <w:br/>
            </w:r>
            <w:r>
              <w:rPr>
                <w:b/>
                <w:color w:val="000000"/>
                <w:sz w:val="21"/>
              </w:rPr>
              <w:t>十五、</w:t>
            </w:r>
            <w:r>
              <w:rPr>
                <w:b/>
                <w:color w:val="000000"/>
                <w:sz w:val="21"/>
              </w:rPr>
              <w:t>32A竖直型PDU 国标右安装（数量：21条）</w:t>
            </w:r>
            <w:r>
              <w:br/>
            </w:r>
            <w:r>
              <w:rPr>
                <w:color w:val="000000"/>
                <w:sz w:val="21"/>
              </w:rPr>
              <w:t>0U机架式，单相32A输入，带接线盒，20个国标10A+4个国标16A输出，右安装。</w:t>
            </w:r>
            <w:r>
              <w:br/>
            </w:r>
            <w:r>
              <w:br/>
            </w:r>
            <w:r>
              <w:rPr>
                <w:b/>
                <w:color w:val="000000"/>
                <w:sz w:val="21"/>
              </w:rPr>
              <w:t>十六、轻载固定托盘（数量：</w:t>
            </w:r>
            <w:r>
              <w:rPr>
                <w:b/>
                <w:color w:val="000000"/>
                <w:sz w:val="21"/>
              </w:rPr>
              <w:t>40个）</w:t>
            </w:r>
            <w:r>
              <w:br/>
            </w:r>
            <w:r>
              <w:rPr>
                <w:color w:val="000000"/>
                <w:sz w:val="21"/>
              </w:rPr>
              <w:t>轻载固定托盘，承重</w:t>
            </w:r>
            <w:r>
              <w:rPr>
                <w:color w:val="000000"/>
                <w:sz w:val="21"/>
              </w:rPr>
              <w:t>不低于</w:t>
            </w:r>
            <w:r>
              <w:rPr>
                <w:color w:val="000000"/>
                <w:sz w:val="21"/>
              </w:rPr>
              <w:t>50KG（适用于服务器机柜）。</w:t>
            </w:r>
            <w:r>
              <w:br/>
            </w:r>
            <w:r>
              <w:br/>
            </w:r>
            <w:r>
              <w:rPr>
                <w:b/>
                <w:color w:val="000000"/>
                <w:sz w:val="21"/>
              </w:rPr>
              <w:t>十七、</w:t>
            </w:r>
            <w:r>
              <w:rPr>
                <w:b/>
                <w:color w:val="000000"/>
                <w:sz w:val="21"/>
              </w:rPr>
              <w:t>L型导轨（数量：80对）</w:t>
            </w:r>
            <w:r>
              <w:br/>
            </w:r>
            <w:r>
              <w:rPr>
                <w:color w:val="000000"/>
                <w:sz w:val="21"/>
              </w:rPr>
              <w:t>通用服务器</w:t>
            </w:r>
            <w:r>
              <w:rPr>
                <w:color w:val="000000"/>
                <w:sz w:val="21"/>
              </w:rPr>
              <w:t>L型导轨支架。</w:t>
            </w:r>
            <w:r>
              <w:br/>
            </w:r>
            <w:r>
              <w:br/>
            </w:r>
            <w:r>
              <w:rPr>
                <w:b/>
                <w:color w:val="000000"/>
                <w:sz w:val="21"/>
              </w:rPr>
              <w:t>十八、</w:t>
            </w:r>
            <w:r>
              <w:rPr>
                <w:b/>
                <w:color w:val="000000"/>
                <w:sz w:val="21"/>
              </w:rPr>
              <w:t>1U高盲板（数量：16套）</w:t>
            </w:r>
            <w:r>
              <w:br/>
            </w:r>
            <w:r>
              <w:rPr>
                <w:color w:val="000000"/>
                <w:sz w:val="21"/>
              </w:rPr>
              <w:t>每套含</w:t>
            </w:r>
            <w:r>
              <w:rPr>
                <w:color w:val="000000"/>
                <w:sz w:val="21"/>
              </w:rPr>
              <w:t>50块盲板。</w:t>
            </w:r>
            <w:r>
              <w:br/>
            </w:r>
            <w:r>
              <w:br/>
            </w:r>
            <w:r>
              <w:rPr>
                <w:b/>
                <w:color w:val="000000"/>
                <w:sz w:val="21"/>
              </w:rPr>
              <w:t>十九、强电跨通道线槽（数量：</w:t>
            </w:r>
            <w:r>
              <w:rPr>
                <w:b/>
                <w:color w:val="000000"/>
                <w:sz w:val="21"/>
              </w:rPr>
              <w:t>2个）</w:t>
            </w:r>
            <w:r>
              <w:br/>
            </w:r>
            <w:r>
              <w:rPr>
                <w:color w:val="000000"/>
                <w:sz w:val="21"/>
              </w:rPr>
              <w:t>通道顶部强电跨通道走线</w:t>
            </w:r>
            <w:r>
              <w:rPr>
                <w:color w:val="000000"/>
                <w:sz w:val="21"/>
              </w:rPr>
              <w:t>，通过走线槽进行强弱电物理隔离，用于连接两个通道模组之间的柜顶线槽。</w:t>
            </w:r>
            <w:r>
              <w:br/>
            </w:r>
            <w:r>
              <w:br/>
            </w:r>
            <w:r>
              <w:rPr>
                <w:b/>
                <w:color w:val="000000"/>
                <w:sz w:val="21"/>
              </w:rPr>
              <w:t>二十、弱电跨通道线槽</w:t>
            </w:r>
            <w:r>
              <w:rPr>
                <w:b/>
                <w:color w:val="000000"/>
                <w:sz w:val="21"/>
              </w:rPr>
              <w:t>（数量：</w:t>
            </w:r>
            <w:r>
              <w:rPr>
                <w:b/>
                <w:color w:val="000000"/>
                <w:sz w:val="21"/>
              </w:rPr>
              <w:t>2个）</w:t>
            </w:r>
            <w:r>
              <w:br/>
            </w:r>
            <w:r>
              <w:rPr>
                <w:color w:val="000000"/>
                <w:sz w:val="21"/>
              </w:rPr>
              <w:t>通道顶部弱电跨通道走线</w:t>
            </w:r>
            <w:r>
              <w:rPr>
                <w:color w:val="000000"/>
                <w:sz w:val="21"/>
              </w:rPr>
              <w:t>，通过走线槽进行强弱电物理隔离，用于连接两个通道模组之间的柜顶线槽。</w:t>
            </w:r>
            <w:r>
              <w:br/>
            </w:r>
            <w:r>
              <w:br/>
            </w:r>
            <w:r>
              <w:rPr>
                <w:b/>
                <w:color w:val="000000"/>
                <w:sz w:val="21"/>
              </w:rPr>
              <w:t>二十一、</w:t>
            </w:r>
            <w:r>
              <w:rPr>
                <w:b/>
                <w:color w:val="000000"/>
                <w:sz w:val="21"/>
              </w:rPr>
              <w:t>600宽柜顶线槽 （数量：12个）</w:t>
            </w:r>
            <w:r>
              <w:br/>
            </w:r>
            <w:r>
              <w:rPr>
                <w:sz w:val="21"/>
              </w:rPr>
              <w:t>机柜顶部走线</w:t>
            </w:r>
            <w:r>
              <w:rPr>
                <w:sz w:val="21"/>
              </w:rPr>
              <w:t>，适用于</w:t>
            </w:r>
            <w:r>
              <w:rPr>
                <w:sz w:val="21"/>
              </w:rPr>
              <w:t>600mm宽服务器机柜，用于机柜顶部、机柜行列之间布线，方便管理与排查检修。</w:t>
            </w:r>
            <w:r>
              <w:br/>
            </w:r>
            <w:r>
              <w:br/>
            </w:r>
            <w:r>
              <w:rPr>
                <w:b/>
                <w:color w:val="000000"/>
                <w:sz w:val="21"/>
              </w:rPr>
              <w:t>二十二、</w:t>
            </w:r>
            <w:r>
              <w:rPr>
                <w:b/>
                <w:color w:val="000000"/>
                <w:sz w:val="21"/>
              </w:rPr>
              <w:t>800宽柜顶线槽  （数量：35个）</w:t>
            </w:r>
            <w:r>
              <w:br/>
            </w:r>
            <w:r>
              <w:rPr>
                <w:color w:val="000000"/>
                <w:sz w:val="21"/>
              </w:rPr>
              <w:t>机柜顶部走线</w:t>
            </w:r>
            <w:r>
              <w:rPr>
                <w:color w:val="000000"/>
                <w:sz w:val="21"/>
              </w:rPr>
              <w:t>，适用于</w:t>
            </w:r>
            <w:r>
              <w:rPr>
                <w:color w:val="000000"/>
                <w:sz w:val="21"/>
              </w:rPr>
              <w:t>8</w:t>
            </w:r>
            <w:r>
              <w:rPr>
                <w:sz w:val="21"/>
              </w:rPr>
              <w:t>00mm宽服务器机柜，用于机柜顶部、机柜行列之间布线，方便管理与排查检修。</w:t>
            </w:r>
            <w:r>
              <w:br/>
            </w:r>
            <w:r>
              <w:br/>
            </w:r>
            <w:r>
              <w:rPr>
                <w:b/>
                <w:color w:val="000000"/>
                <w:sz w:val="21"/>
              </w:rPr>
              <w:t>二十三、冷通道门板</w:t>
            </w:r>
            <w:r>
              <w:rPr>
                <w:b/>
                <w:color w:val="000000"/>
                <w:sz w:val="21"/>
              </w:rPr>
              <w:t>（数量：</w:t>
            </w:r>
            <w:r>
              <w:rPr>
                <w:b/>
                <w:color w:val="000000"/>
                <w:sz w:val="21"/>
              </w:rPr>
              <w:t>2套）</w:t>
            </w:r>
            <w:r>
              <w:br/>
            </w:r>
            <w:r>
              <w:rPr>
                <w:b/>
                <w:sz w:val="21"/>
              </w:rPr>
              <w:t>每套含：</w:t>
            </w:r>
            <w:r>
              <w:br/>
            </w:r>
            <w:r>
              <w:rPr>
                <w:color w:val="000000"/>
                <w:sz w:val="21"/>
              </w:rPr>
              <w:t>2000高电动滑动门(含通道两侧门)，适配2000mm高，1200mm深机柜，IC卡指纹读卡器。</w:t>
            </w:r>
            <w:r>
              <w:br/>
            </w:r>
            <w:r>
              <w:br/>
            </w:r>
            <w:r>
              <w:rPr>
                <w:b/>
                <w:color w:val="000000"/>
                <w:sz w:val="21"/>
              </w:rPr>
              <w:t>二十四、冷通道组件</w:t>
            </w:r>
            <w:r>
              <w:rPr>
                <w:b/>
                <w:color w:val="000000"/>
                <w:sz w:val="21"/>
              </w:rPr>
              <w:t>（数量：</w:t>
            </w:r>
            <w:r>
              <w:rPr>
                <w:b/>
                <w:color w:val="000000"/>
                <w:sz w:val="21"/>
              </w:rPr>
              <w:t>1套）</w:t>
            </w:r>
            <w:r>
              <w:br/>
            </w:r>
            <w:r>
              <w:rPr>
                <w:color w:val="000000"/>
                <w:sz w:val="21"/>
              </w:rPr>
              <w:t>密封冷通道由天窗、端门与机柜连接组合而成，具体要求如下：</w:t>
            </w:r>
          </w:p>
          <w:p>
            <w:pPr>
              <w:jc w:val="left"/>
            </w:pPr>
            <w:r>
              <w:rPr>
                <w:color w:val="000000"/>
                <w:sz w:val="21"/>
              </w:rPr>
              <w:t>1. 封闭冷通道组件的所有天窗均应透光，透光材质采用旋转开启钢化玻璃，厚度不低于4mm，保证90%以上的透光率，并提供钢化玻璃检测报告；</w:t>
            </w:r>
          </w:p>
          <w:p>
            <w:pPr>
              <w:jc w:val="left"/>
            </w:pPr>
            <w:r>
              <w:rPr>
                <w:color w:val="000000"/>
                <w:sz w:val="21"/>
              </w:rPr>
              <w:t>2. 封闭冷通道组件两侧门应配备无框玻璃门，为提升微模块的通透效果，方便人员在模块外参观检视，钢化玻璃面积占门板总面积的比例不低于98%。钢化玻璃厚度不低于12mm，符合3C认证要求和GB15763.2标准要求。提供钢化玻璃检验报告；</w:t>
            </w:r>
          </w:p>
          <w:p>
            <w:pPr>
              <w:jc w:val="left"/>
            </w:pPr>
            <w:r>
              <w:rPr>
                <w:color w:val="000000"/>
                <w:sz w:val="21"/>
              </w:rPr>
              <w:t>3.封闭冷通道组件产品应能在内安装水浸、温湿度传感器、摄像头、门磁、门禁等辅助功能组件；</w:t>
            </w:r>
          </w:p>
          <w:p>
            <w:pPr>
              <w:jc w:val="left"/>
            </w:pPr>
            <w:r>
              <w:rPr>
                <w:color w:val="000000"/>
                <w:sz w:val="21"/>
              </w:rPr>
              <w:t>▲4.封闭冷通道的所有天窗必须全部可透光。天窗翻转角度现场可调，支持30度、60度和全部开启，天窗开启角度需提供第三方机构检测报告。为避免人身伤害以及考虑到机房层高，天窗以最大角度翻转时，天窗下沿不能低于机柜顶板，天窗上沿不得高于机柜顶盖600mm以上，提供相应的证明材料；</w:t>
            </w:r>
          </w:p>
          <w:p>
            <w:pPr>
              <w:jc w:val="left"/>
            </w:pPr>
            <w:r>
              <w:rPr>
                <w:color w:val="000000"/>
                <w:sz w:val="21"/>
              </w:rPr>
              <w:t>5.封闭冷通道组件产品应具备与机房气体消防系统联动从而解决通道内消防问题的功能。封闭冷通道顶部应具备消防联动天窗自动翻转功能，在正常状态下，天窗由通电磁铁吸合，为确保顶部密封，天窗需配密封胶圈。一旦发生火警，在消防系统启动之前，天窗处磁铁断电，天窗由于重力作用翻转打开，以便灭火气体迅速进入封闭通道空间内，达到灭火目的；</w:t>
            </w:r>
          </w:p>
          <w:p>
            <w:pPr>
              <w:jc w:val="left"/>
            </w:pPr>
            <w:r>
              <w:rPr>
                <w:color w:val="000000"/>
                <w:sz w:val="21"/>
              </w:rPr>
              <w:t>6.两侧采用电动滑动门，要求与智能门禁、消防信号、红外侦测信号联动；</w:t>
            </w:r>
          </w:p>
          <w:p>
            <w:pPr>
              <w:jc w:val="left"/>
            </w:pPr>
            <w:r>
              <w:rPr>
                <w:color w:val="000000"/>
                <w:sz w:val="21"/>
              </w:rPr>
              <w:t>7.为了避免通道门对人造成伤害，通道门内侧要求配置防夹人传感器；</w:t>
            </w:r>
          </w:p>
          <w:p>
            <w:pPr>
              <w:jc w:val="left"/>
            </w:pPr>
            <w:r>
              <w:rPr>
                <w:color w:val="000000"/>
                <w:sz w:val="21"/>
              </w:rPr>
              <w:t>8.通道内灯光系统要求采用三色可调灯光，光源采用24vdc LED灯条，天窗支架内嵌入式安装，投标人提供三色灯光控制逻辑说明文件；</w:t>
            </w:r>
          </w:p>
          <w:p>
            <w:pPr>
              <w:jc w:val="left"/>
            </w:pPr>
            <w:r>
              <w:rPr>
                <w:color w:val="000000"/>
                <w:sz w:val="21"/>
              </w:rPr>
              <w:t>▲9.通道内提供LED辅助照明系统，满足机房照度300-500LUX，需提供相应第三方机构检测报告证明；</w:t>
            </w:r>
          </w:p>
          <w:p>
            <w:pPr>
              <w:jc w:val="left"/>
            </w:pPr>
            <w:r>
              <w:rPr>
                <w:color w:val="000000"/>
                <w:sz w:val="21"/>
              </w:rPr>
              <w:t>10.通道门为隐藏式滑动门，通道门打开后不影响通道外触摸屏使用；</w:t>
            </w:r>
          </w:p>
          <w:p>
            <w:pPr>
              <w:jc w:val="left"/>
            </w:pPr>
            <w:r>
              <w:rPr>
                <w:color w:val="000000"/>
                <w:sz w:val="21"/>
              </w:rPr>
              <w:t>11.系统框架符合YD 5083-2005《电信设备抗地震性能检测规范》要求；</w:t>
            </w:r>
            <w:r>
              <w:br/>
            </w:r>
            <w:r>
              <w:br/>
            </w:r>
            <w:r>
              <w:rPr>
                <w:b/>
                <w:color w:val="000000"/>
                <w:sz w:val="21"/>
              </w:rPr>
              <w:t>二十五、冷通道</w:t>
            </w:r>
            <w:r>
              <w:rPr>
                <w:b/>
                <w:color w:val="000000"/>
                <w:sz w:val="21"/>
              </w:rPr>
              <w:t>800宽固定天窗 （数量：4个）</w:t>
            </w:r>
            <w:r>
              <w:br/>
            </w:r>
            <w:r>
              <w:rPr>
                <w:color w:val="000000"/>
                <w:sz w:val="21"/>
              </w:rPr>
              <w:t>800宽固定顶板，集成三色LED通道照明灯。</w:t>
            </w:r>
            <w:r>
              <w:br/>
            </w:r>
            <w:r>
              <w:br/>
            </w:r>
            <w:r>
              <w:rPr>
                <w:b/>
                <w:color w:val="000000"/>
                <w:sz w:val="21"/>
              </w:rPr>
              <w:t>二十六、冷通道</w:t>
            </w:r>
            <w:r>
              <w:rPr>
                <w:b/>
                <w:color w:val="000000"/>
                <w:sz w:val="21"/>
              </w:rPr>
              <w:t>600宽开启天窗 （数量：6个）</w:t>
            </w:r>
            <w:r>
              <w:br/>
            </w:r>
            <w:r>
              <w:rPr>
                <w:color w:val="000000"/>
                <w:sz w:val="21"/>
              </w:rPr>
              <w:t>600宽开启顶板，集成三色LED通道照明灯。</w:t>
            </w:r>
            <w:r>
              <w:br/>
            </w:r>
            <w:r>
              <w:br/>
            </w:r>
            <w:r>
              <w:rPr>
                <w:b/>
                <w:color w:val="000000"/>
                <w:sz w:val="21"/>
              </w:rPr>
              <w:t>二十七、冷通道</w:t>
            </w:r>
            <w:r>
              <w:rPr>
                <w:b/>
                <w:color w:val="000000"/>
                <w:sz w:val="21"/>
              </w:rPr>
              <w:t>800宽开启天窗（数量：14个）</w:t>
            </w:r>
            <w:r>
              <w:br/>
            </w:r>
            <w:r>
              <w:rPr>
                <w:color w:val="000000"/>
                <w:sz w:val="21"/>
              </w:rPr>
              <w:t>800宽开启顶板，集成三色LED通道照明灯。</w:t>
            </w:r>
            <w:r>
              <w:br/>
            </w:r>
            <w:r>
              <w:br/>
            </w:r>
            <w:r>
              <w:rPr>
                <w:b/>
                <w:color w:val="000000"/>
                <w:sz w:val="21"/>
              </w:rPr>
              <w:t>二十八、温湿度传感器（数量：</w:t>
            </w:r>
            <w:r>
              <w:rPr>
                <w:b/>
                <w:color w:val="000000"/>
                <w:sz w:val="21"/>
              </w:rPr>
              <w:t>4个）</w:t>
            </w:r>
            <w:r>
              <w:br/>
            </w:r>
            <w:r>
              <w:rPr>
                <w:color w:val="000000"/>
                <w:sz w:val="21"/>
              </w:rPr>
              <w:t>温湿度传感器（带</w:t>
            </w:r>
            <w:r>
              <w:rPr>
                <w:color w:val="000000"/>
                <w:sz w:val="21"/>
              </w:rPr>
              <w:t>LCD，支持级联）。</w:t>
            </w:r>
            <w:r>
              <w:br/>
            </w:r>
            <w:r>
              <w:br/>
            </w:r>
            <w:r>
              <w:rPr>
                <w:b/>
                <w:color w:val="000000"/>
                <w:sz w:val="21"/>
              </w:rPr>
              <w:t>二十九、短信语音告警模块（数量：</w:t>
            </w:r>
            <w:r>
              <w:rPr>
                <w:b/>
                <w:color w:val="000000"/>
                <w:sz w:val="21"/>
              </w:rPr>
              <w:t>1个）</w:t>
            </w:r>
            <w:r>
              <w:br/>
            </w:r>
            <w:r>
              <w:rPr>
                <w:color w:val="000000"/>
                <w:sz w:val="21"/>
              </w:rPr>
              <w:t>调制解调器</w:t>
            </w:r>
            <w:r>
              <w:rPr>
                <w:color w:val="000000"/>
                <w:sz w:val="21"/>
              </w:rPr>
              <w:t>|MODEM|5003-4G MODEM-USB2.0+RS-232+RJ-11</w:t>
            </w:r>
          </w:p>
          <w:p>
            <w:pPr>
              <w:jc w:val="left"/>
            </w:pPr>
            <w:r>
              <w:rPr>
                <w:color w:val="000000"/>
                <w:sz w:val="21"/>
              </w:rPr>
              <w:t>（语音接口）</w:t>
            </w:r>
            <w:r>
              <w:rPr>
                <w:color w:val="000000"/>
                <w:sz w:val="21"/>
              </w:rPr>
              <w:t>-4G全网通语音猫-USB供电5VDC/500mA。</w:t>
            </w:r>
            <w:r>
              <w:br/>
            </w:r>
            <w:r>
              <w:br/>
            </w:r>
            <w:r>
              <w:rPr>
                <w:b/>
                <w:color w:val="000000"/>
                <w:sz w:val="21"/>
              </w:rPr>
              <w:t>三十、管理工具包（数量：</w:t>
            </w:r>
            <w:r>
              <w:rPr>
                <w:b/>
                <w:color w:val="000000"/>
                <w:sz w:val="21"/>
              </w:rPr>
              <w:t>2套）</w:t>
            </w:r>
            <w:r>
              <w:br/>
            </w:r>
            <w:r>
              <w:rPr>
                <w:b/>
                <w:sz w:val="21"/>
              </w:rPr>
              <w:t>每套含：</w:t>
            </w:r>
            <w:r>
              <w:br/>
            </w:r>
            <w:r>
              <w:rPr>
                <w:color w:val="000000"/>
                <w:sz w:val="21"/>
              </w:rPr>
              <w:t>1、采集器数量：</w:t>
            </w:r>
            <w:r>
              <w:rPr>
                <w:sz w:val="21"/>
              </w:rPr>
              <w:t>≥</w:t>
            </w:r>
            <w:r>
              <w:rPr>
                <w:color w:val="000000"/>
                <w:sz w:val="21"/>
              </w:rPr>
              <w:t>1台采集器；</w:t>
            </w:r>
          </w:p>
          <w:p>
            <w:pPr>
              <w:jc w:val="left"/>
            </w:pPr>
            <w:r>
              <w:rPr>
                <w:sz w:val="21"/>
              </w:rPr>
              <w:t>2、温湿度传感器数量：≥</w:t>
            </w:r>
            <w:r>
              <w:rPr>
                <w:color w:val="000000"/>
                <w:sz w:val="21"/>
              </w:rPr>
              <w:t>6个温湿度传感器；</w:t>
            </w:r>
          </w:p>
          <w:p>
            <w:pPr>
              <w:jc w:val="left"/>
            </w:pPr>
            <w:r>
              <w:rPr>
                <w:color w:val="000000"/>
                <w:sz w:val="21"/>
              </w:rPr>
              <w:t>3</w:t>
            </w:r>
            <w:r>
              <w:rPr>
                <w:color w:val="000000"/>
                <w:sz w:val="21"/>
              </w:rPr>
              <w:t>、告警灯数量：</w:t>
            </w:r>
            <w:r>
              <w:rPr>
                <w:sz w:val="21"/>
              </w:rPr>
              <w:t>≥</w:t>
            </w:r>
            <w:r>
              <w:rPr>
                <w:color w:val="000000"/>
                <w:sz w:val="21"/>
              </w:rPr>
              <w:t>2盏声光告警灯；</w:t>
            </w:r>
          </w:p>
          <w:p>
            <w:pPr>
              <w:jc w:val="left"/>
            </w:pPr>
            <w:r>
              <w:rPr>
                <w:color w:val="000000"/>
                <w:sz w:val="21"/>
              </w:rPr>
              <w:t>4</w:t>
            </w:r>
            <w:r>
              <w:rPr>
                <w:color w:val="000000"/>
                <w:sz w:val="21"/>
              </w:rPr>
              <w:t>、红外探测器数量：</w:t>
            </w:r>
            <w:r>
              <w:rPr>
                <w:sz w:val="21"/>
              </w:rPr>
              <w:t>≥</w:t>
            </w:r>
            <w:r>
              <w:rPr>
                <w:color w:val="000000"/>
                <w:sz w:val="21"/>
              </w:rPr>
              <w:t>1个红外探测器；</w:t>
            </w:r>
          </w:p>
          <w:p>
            <w:pPr>
              <w:jc w:val="left"/>
            </w:pPr>
            <w:r>
              <w:rPr>
                <w:color w:val="000000"/>
                <w:sz w:val="21"/>
              </w:rPr>
              <w:t>5</w:t>
            </w:r>
            <w:r>
              <w:rPr>
                <w:color w:val="000000"/>
                <w:sz w:val="21"/>
              </w:rPr>
              <w:t>、带式水浸数量：</w:t>
            </w:r>
            <w:r>
              <w:rPr>
                <w:sz w:val="21"/>
              </w:rPr>
              <w:t>≥</w:t>
            </w:r>
            <w:r>
              <w:rPr>
                <w:color w:val="000000"/>
                <w:sz w:val="21"/>
              </w:rPr>
              <w:t>2条10m带式水浸；</w:t>
            </w:r>
          </w:p>
          <w:p>
            <w:pPr>
              <w:jc w:val="left"/>
            </w:pPr>
            <w:r>
              <w:rPr>
                <w:color w:val="000000"/>
                <w:sz w:val="21"/>
              </w:rPr>
              <w:t>6</w:t>
            </w:r>
            <w:r>
              <w:rPr>
                <w:color w:val="000000"/>
                <w:sz w:val="21"/>
              </w:rPr>
              <w:t>、</w:t>
            </w:r>
            <w:r>
              <w:rPr>
                <w:color w:val="000000"/>
                <w:sz w:val="21"/>
              </w:rPr>
              <w:t>DOAO模块：</w:t>
            </w:r>
            <w:r>
              <w:rPr>
                <w:sz w:val="21"/>
              </w:rPr>
              <w:t>≥</w:t>
            </w:r>
            <w:r>
              <w:rPr>
                <w:color w:val="000000"/>
                <w:sz w:val="21"/>
              </w:rPr>
              <w:t>1个8DOAO；</w:t>
            </w:r>
          </w:p>
          <w:p>
            <w:pPr>
              <w:jc w:val="left"/>
            </w:pPr>
            <w:r>
              <w:rPr>
                <w:color w:val="000000"/>
                <w:sz w:val="21"/>
              </w:rPr>
              <w:t>7</w:t>
            </w:r>
            <w:r>
              <w:rPr>
                <w:color w:val="000000"/>
                <w:sz w:val="21"/>
              </w:rPr>
              <w:t>、</w:t>
            </w:r>
            <w:r>
              <w:rPr>
                <w:color w:val="000000"/>
                <w:sz w:val="21"/>
              </w:rPr>
              <w:t>DI模块：</w:t>
            </w:r>
            <w:r>
              <w:rPr>
                <w:sz w:val="21"/>
              </w:rPr>
              <w:t>≥</w:t>
            </w:r>
            <w:r>
              <w:rPr>
                <w:color w:val="000000"/>
                <w:sz w:val="21"/>
              </w:rPr>
              <w:t>1个4DI；</w:t>
            </w:r>
          </w:p>
          <w:p>
            <w:pPr>
              <w:jc w:val="left"/>
            </w:pPr>
            <w:r>
              <w:rPr>
                <w:color w:val="000000"/>
                <w:sz w:val="21"/>
              </w:rPr>
              <w:t>8</w:t>
            </w:r>
            <w:r>
              <w:rPr>
                <w:color w:val="000000"/>
                <w:sz w:val="21"/>
              </w:rPr>
              <w:t>、状态门磁：</w:t>
            </w:r>
            <w:r>
              <w:rPr>
                <w:sz w:val="21"/>
              </w:rPr>
              <w:t>≥</w:t>
            </w:r>
            <w:r>
              <w:rPr>
                <w:color w:val="000000"/>
                <w:sz w:val="21"/>
              </w:rPr>
              <w:t>3个顶板状态门磁；</w:t>
            </w:r>
          </w:p>
          <w:p>
            <w:pPr>
              <w:jc w:val="left"/>
            </w:pPr>
            <w:r>
              <w:rPr>
                <w:color w:val="000000"/>
                <w:sz w:val="21"/>
              </w:rPr>
              <w:t>9</w:t>
            </w:r>
            <w:r>
              <w:rPr>
                <w:color w:val="000000"/>
                <w:sz w:val="21"/>
              </w:rPr>
              <w:t>、控制盒：</w:t>
            </w:r>
            <w:r>
              <w:rPr>
                <w:sz w:val="21"/>
              </w:rPr>
              <w:t>≥</w:t>
            </w:r>
            <w:r>
              <w:rPr>
                <w:color w:val="000000"/>
                <w:sz w:val="21"/>
              </w:rPr>
              <w:t>1个开启控制盒；</w:t>
            </w:r>
          </w:p>
          <w:p>
            <w:pPr>
              <w:jc w:val="left"/>
            </w:pPr>
            <w:r>
              <w:rPr>
                <w:color w:val="000000"/>
                <w:sz w:val="21"/>
              </w:rPr>
              <w:t>10</w:t>
            </w:r>
            <w:r>
              <w:rPr>
                <w:color w:val="000000"/>
                <w:sz w:val="21"/>
              </w:rPr>
              <w:t>、开启按钮：</w:t>
            </w:r>
            <w:r>
              <w:rPr>
                <w:sz w:val="21"/>
              </w:rPr>
              <w:t>≥</w:t>
            </w:r>
            <w:r>
              <w:rPr>
                <w:color w:val="000000"/>
                <w:sz w:val="21"/>
              </w:rPr>
              <w:t>2个顶部开启按钮；</w:t>
            </w:r>
          </w:p>
          <w:p>
            <w:pPr>
              <w:jc w:val="left"/>
            </w:pPr>
            <w:r>
              <w:rPr>
                <w:color w:val="000000"/>
                <w:sz w:val="21"/>
              </w:rPr>
              <w:t>11</w:t>
            </w:r>
            <w:r>
              <w:rPr>
                <w:color w:val="000000"/>
                <w:sz w:val="21"/>
              </w:rPr>
              <w:t>、按钮防护盖：</w:t>
            </w:r>
            <w:r>
              <w:rPr>
                <w:sz w:val="21"/>
              </w:rPr>
              <w:t>≥</w:t>
            </w:r>
            <w:r>
              <w:rPr>
                <w:color w:val="000000"/>
                <w:sz w:val="21"/>
              </w:rPr>
              <w:t>2个顶部开启按钮防护盖；</w:t>
            </w:r>
          </w:p>
          <w:p>
            <w:pPr>
              <w:jc w:val="left"/>
            </w:pPr>
            <w:r>
              <w:rPr>
                <w:color w:val="000000"/>
                <w:sz w:val="21"/>
              </w:rPr>
              <w:t>12</w:t>
            </w:r>
            <w:r>
              <w:rPr>
                <w:color w:val="000000"/>
                <w:sz w:val="21"/>
              </w:rPr>
              <w:t>、配套线缆：</w:t>
            </w:r>
            <w:r>
              <w:rPr>
                <w:sz w:val="21"/>
              </w:rPr>
              <w:t>≥</w:t>
            </w:r>
            <w:r>
              <w:rPr>
                <w:color w:val="000000"/>
                <w:sz w:val="21"/>
              </w:rPr>
              <w:t>1套顶部开启成套线缆；</w:t>
            </w:r>
          </w:p>
          <w:p>
            <w:pPr>
              <w:jc w:val="left"/>
            </w:pPr>
            <w:r>
              <w:rPr>
                <w:color w:val="000000"/>
                <w:sz w:val="21"/>
              </w:rPr>
              <w:t>13</w:t>
            </w:r>
            <w:r>
              <w:rPr>
                <w:color w:val="000000"/>
                <w:sz w:val="21"/>
              </w:rPr>
              <w:t>、</w:t>
            </w:r>
            <w:r>
              <w:rPr>
                <w:color w:val="000000"/>
                <w:sz w:val="21"/>
              </w:rPr>
              <w:t>HDMI线缆：</w:t>
            </w:r>
            <w:r>
              <w:rPr>
                <w:sz w:val="21"/>
              </w:rPr>
              <w:t>≥</w:t>
            </w:r>
            <w:r>
              <w:rPr>
                <w:color w:val="000000"/>
                <w:sz w:val="21"/>
              </w:rPr>
              <w:t>1条5m</w:t>
            </w:r>
            <w:r>
              <w:rPr>
                <w:sz w:val="24"/>
              </w:rPr>
              <w:t xml:space="preserve"> </w:t>
            </w:r>
            <w:r>
              <w:rPr>
                <w:color w:val="000000"/>
                <w:sz w:val="21"/>
              </w:rPr>
              <w:t>HDMI</w:t>
            </w:r>
            <w:r>
              <w:rPr>
                <w:color w:val="000000"/>
                <w:sz w:val="21"/>
              </w:rPr>
              <w:t>线缆。</w:t>
            </w:r>
            <w:r>
              <w:br/>
            </w:r>
            <w:r>
              <w:br/>
            </w:r>
            <w:r>
              <w:rPr>
                <w:b/>
                <w:color w:val="000000"/>
                <w:sz w:val="21"/>
              </w:rPr>
              <w:t>三十一、照明工具包（数量：</w:t>
            </w:r>
            <w:r>
              <w:rPr>
                <w:b/>
                <w:color w:val="000000"/>
                <w:sz w:val="21"/>
              </w:rPr>
              <w:t>2套）</w:t>
            </w:r>
            <w:r>
              <w:br/>
            </w:r>
            <w:r>
              <w:rPr>
                <w:b/>
                <w:sz w:val="21"/>
              </w:rPr>
              <w:t>每套</w:t>
            </w:r>
            <w:r>
              <w:rPr>
                <w:sz w:val="21"/>
              </w:rPr>
              <w:t>含</w:t>
            </w:r>
            <w:r>
              <w:rPr>
                <w:sz w:val="21"/>
              </w:rPr>
              <w:t>1个照明控制器、1个翘板开关、1套照明线缆。</w:t>
            </w:r>
            <w:r>
              <w:br/>
            </w:r>
            <w:r>
              <w:br/>
            </w:r>
            <w:r>
              <w:rPr>
                <w:b/>
                <w:sz w:val="21"/>
              </w:rPr>
              <w:t>三十二、管控屏包（数量：</w:t>
            </w:r>
            <w:r>
              <w:rPr>
                <w:b/>
                <w:sz w:val="21"/>
              </w:rPr>
              <w:t>2套）</w:t>
            </w:r>
            <w:r>
              <w:br/>
            </w:r>
            <w:r>
              <w:rPr>
                <w:b/>
                <w:sz w:val="21"/>
              </w:rPr>
              <w:t>每套</w:t>
            </w:r>
            <w:r>
              <w:rPr>
                <w:sz w:val="21"/>
              </w:rPr>
              <w:t>含</w:t>
            </w:r>
            <w:r>
              <w:rPr>
                <w:color w:val="000000"/>
                <w:sz w:val="21"/>
              </w:rPr>
              <w:t>1个管控屏、1套管控屏线缆。</w:t>
            </w:r>
            <w:r>
              <w:br/>
            </w:r>
            <w:r>
              <w:br/>
            </w:r>
            <w:r>
              <w:rPr>
                <w:b/>
                <w:color w:val="000000"/>
                <w:sz w:val="21"/>
              </w:rPr>
              <w:t>三十三、</w:t>
            </w:r>
            <w:r>
              <w:rPr>
                <w:b/>
                <w:color w:val="000000"/>
                <w:sz w:val="21"/>
              </w:rPr>
              <w:t>8路智能设备扩展卡（数量：2个）</w:t>
            </w:r>
            <w:r>
              <w:br/>
            </w:r>
            <w:r>
              <w:rPr>
                <w:color w:val="000000"/>
                <w:sz w:val="21"/>
              </w:rPr>
              <w:t>与管理工具包配合使用，智能设备扩展卡，支持</w:t>
            </w:r>
            <w:r>
              <w:rPr>
                <w:color w:val="000000"/>
                <w:sz w:val="21"/>
              </w:rPr>
              <w:t>8路。</w:t>
            </w:r>
            <w:r>
              <w:br/>
            </w:r>
            <w:r>
              <w:br/>
            </w:r>
            <w:r>
              <w:rPr>
                <w:b/>
                <w:color w:val="000000"/>
                <w:sz w:val="21"/>
              </w:rPr>
              <w:t>三十四、</w:t>
            </w:r>
            <w:r>
              <w:rPr>
                <w:b/>
                <w:color w:val="000000"/>
                <w:sz w:val="21"/>
              </w:rPr>
              <w:t>IC卡指纹处理器（数量：7个）</w:t>
            </w:r>
            <w:r>
              <w:br/>
            </w:r>
            <w:r>
              <w:rPr>
                <w:color w:val="000000"/>
                <w:sz w:val="21"/>
              </w:rPr>
              <w:t>IC卡指纹处理器、指纹识别+IC读卡+密码键盘、维根输出、RS485通讯。</w:t>
            </w:r>
            <w:r>
              <w:br/>
            </w:r>
            <w:r>
              <w:br/>
            </w:r>
            <w:r>
              <w:rPr>
                <w:b/>
                <w:color w:val="000000"/>
                <w:sz w:val="21"/>
              </w:rPr>
              <w:t>三十五、</w:t>
            </w:r>
            <w:r>
              <w:rPr>
                <w:b/>
                <w:color w:val="000000"/>
                <w:sz w:val="21"/>
              </w:rPr>
              <w:t>1U双门门禁控制器（数量：8台）</w:t>
            </w:r>
            <w:r>
              <w:br/>
            </w:r>
            <w:r>
              <w:rPr>
                <w:color w:val="000000"/>
                <w:sz w:val="21"/>
              </w:rPr>
              <w:t>1U双门门禁控制箱、支持TCP/IP和RS485通讯-445mm（长）X201mm（宽）X 43mm（高）。</w:t>
            </w:r>
            <w:r>
              <w:br/>
            </w:r>
            <w:r>
              <w:br/>
            </w:r>
            <w:r>
              <w:rPr>
                <w:b/>
                <w:color w:val="000000"/>
                <w:sz w:val="21"/>
              </w:rPr>
              <w:t>三十六、出门按钮（数量：</w:t>
            </w:r>
            <w:r>
              <w:rPr>
                <w:b/>
                <w:color w:val="000000"/>
                <w:sz w:val="21"/>
              </w:rPr>
              <w:t>4个）</w:t>
            </w:r>
            <w:r>
              <w:br/>
            </w:r>
            <w:r>
              <w:rPr>
                <w:color w:val="000000"/>
                <w:sz w:val="21"/>
              </w:rPr>
              <w:t>不锈钢出门按钮，配套门禁使用</w:t>
            </w:r>
            <w:r>
              <w:rPr>
                <w:sz w:val="21"/>
              </w:rPr>
              <w:t>，每套门出门处配置，无需身份验证，尺寸</w:t>
            </w:r>
            <w:r>
              <w:rPr>
                <w:sz w:val="21"/>
              </w:rPr>
              <w:t>91</w:t>
            </w:r>
            <w:r>
              <w:rPr>
                <w:b/>
                <w:sz w:val="21"/>
              </w:rPr>
              <w:t>mm</w:t>
            </w:r>
            <w:r>
              <w:rPr>
                <w:sz w:val="21"/>
              </w:rPr>
              <w:t>×</w:t>
            </w:r>
            <w:r>
              <w:rPr>
                <w:b/>
                <w:sz w:val="21"/>
              </w:rPr>
              <w:t>28mm</w:t>
            </w:r>
            <w:r>
              <w:rPr>
                <w:sz w:val="21"/>
              </w:rPr>
              <w:t>，适合空心门框。</w:t>
            </w:r>
            <w:r>
              <w:br/>
            </w:r>
            <w:r>
              <w:br/>
            </w:r>
            <w:r>
              <w:rPr>
                <w:b/>
                <w:color w:val="000000"/>
                <w:sz w:val="21"/>
              </w:rPr>
              <w:t>三十七、出门按钮（数量：</w:t>
            </w:r>
            <w:r>
              <w:rPr>
                <w:b/>
                <w:color w:val="000000"/>
                <w:sz w:val="21"/>
              </w:rPr>
              <w:t>3个）</w:t>
            </w:r>
            <w:r>
              <w:br/>
            </w:r>
            <w:r>
              <w:rPr>
                <w:color w:val="000000"/>
                <w:sz w:val="21"/>
              </w:rPr>
              <w:t>不锈钢出门按钮，配套门禁使用，每套门出门处配置，无需身份验证，尺寸：</w:t>
            </w:r>
            <w:r>
              <w:rPr>
                <w:color w:val="000000"/>
                <w:sz w:val="21"/>
              </w:rPr>
              <w:t>86mm×86mm×6mm，安装需配标准86暗盒使用。</w:t>
            </w:r>
            <w:r>
              <w:br/>
            </w:r>
            <w:r>
              <w:br/>
            </w:r>
            <w:r>
              <w:rPr>
                <w:b/>
                <w:color w:val="000000"/>
                <w:sz w:val="21"/>
              </w:rPr>
              <w:t>三十八、磁力锁（数量：</w:t>
            </w:r>
            <w:r>
              <w:rPr>
                <w:b/>
                <w:color w:val="000000"/>
                <w:sz w:val="21"/>
              </w:rPr>
              <w:t>5个）</w:t>
            </w:r>
            <w:r>
              <w:br/>
            </w:r>
            <w:r>
              <w:rPr>
                <w:color w:val="000000"/>
                <w:sz w:val="21"/>
              </w:rPr>
              <w:t>单开磁力锁，配套门禁使用，用于控制门的关闭与开启。额定拉力：</w:t>
            </w:r>
            <w:r>
              <w:rPr>
                <w:color w:val="000000"/>
                <w:sz w:val="21"/>
              </w:rPr>
              <w:t>280KG。所控制门的开启角度；</w:t>
            </w:r>
          </w:p>
          <w:p>
            <w:pPr>
              <w:jc w:val="left"/>
            </w:pPr>
            <w:r>
              <w:rPr>
                <w:color w:val="000000"/>
                <w:sz w:val="21"/>
              </w:rPr>
              <w:t>为</w:t>
            </w:r>
            <w:r>
              <w:rPr>
                <w:color w:val="000000"/>
                <w:sz w:val="21"/>
              </w:rPr>
              <w:t>90度。适用于无框玻璃门（加U型支架）、木门、防火门（单门只需一把，双门需配两把）。</w:t>
            </w:r>
            <w:r>
              <w:br/>
            </w:r>
            <w:r>
              <w:br/>
            </w:r>
            <w:r>
              <w:rPr>
                <w:b/>
                <w:color w:val="000000"/>
                <w:sz w:val="21"/>
              </w:rPr>
              <w:t>三十九、磁力锁配件（数量：</w:t>
            </w:r>
            <w:r>
              <w:rPr>
                <w:b/>
                <w:color w:val="000000"/>
                <w:sz w:val="21"/>
              </w:rPr>
              <w:t>5个）</w:t>
            </w:r>
            <w:r>
              <w:br/>
            </w:r>
            <w:r>
              <w:rPr>
                <w:color w:val="000000"/>
                <w:sz w:val="21"/>
              </w:rPr>
              <w:t>包括安装底座、支架、门夹、电源等配件。</w:t>
            </w:r>
            <w:r>
              <w:br/>
            </w:r>
            <w:r>
              <w:br/>
            </w:r>
            <w:r>
              <w:rPr>
                <w:b/>
                <w:color w:val="000000"/>
                <w:sz w:val="21"/>
              </w:rPr>
              <w:t>四十、</w:t>
            </w:r>
            <w:r>
              <w:rPr>
                <w:b/>
                <w:color w:val="000000"/>
                <w:sz w:val="21"/>
              </w:rPr>
              <w:t>IC卡 （数量：20张）</w:t>
            </w:r>
            <w:r>
              <w:br/>
            </w:r>
            <w:r>
              <w:rPr>
                <w:color w:val="000000"/>
                <w:sz w:val="21"/>
              </w:rPr>
              <w:t>门禁系统</w:t>
            </w:r>
            <w:r>
              <w:rPr>
                <w:color w:val="000000"/>
                <w:sz w:val="21"/>
              </w:rPr>
              <w:t>-IC卡-85.5MM(长) X 54MM(宽)X 0.2MM。</w:t>
            </w:r>
            <w:r>
              <w:br/>
            </w:r>
            <w:r>
              <w:br/>
            </w:r>
            <w:r>
              <w:rPr>
                <w:b/>
                <w:color w:val="000000"/>
                <w:sz w:val="21"/>
              </w:rPr>
              <w:t>四十一、</w:t>
            </w:r>
            <w:r>
              <w:rPr>
                <w:b/>
                <w:color w:val="000000"/>
                <w:sz w:val="21"/>
              </w:rPr>
              <w:t>IC卡发卡器 （数量：1个）</w:t>
            </w:r>
            <w:r>
              <w:br/>
            </w:r>
            <w:r>
              <w:rPr>
                <w:color w:val="000000"/>
                <w:sz w:val="21"/>
              </w:rPr>
              <w:t>IC卡发卡器(USB接口)。</w:t>
            </w:r>
            <w:r>
              <w:br/>
            </w:r>
            <w:r>
              <w:br/>
            </w:r>
            <w:r>
              <w:rPr>
                <w:b/>
                <w:color w:val="000000"/>
                <w:sz w:val="21"/>
              </w:rPr>
              <w:t>四十二、指纹采集器</w:t>
            </w:r>
            <w:r>
              <w:rPr>
                <w:b/>
                <w:color w:val="000000"/>
                <w:sz w:val="21"/>
              </w:rPr>
              <w:t>（数量：</w:t>
            </w:r>
            <w:r>
              <w:rPr>
                <w:b/>
                <w:color w:val="000000"/>
                <w:sz w:val="21"/>
              </w:rPr>
              <w:t>1个）</w:t>
            </w:r>
            <w:r>
              <w:br/>
            </w:r>
            <w:r>
              <w:rPr>
                <w:color w:val="000000"/>
                <w:sz w:val="21"/>
              </w:rPr>
              <w:t>配套生物特征指纹采集器，包括采集指纹图像、提取指纹特征、保存数据和进行指纹比对。</w:t>
            </w:r>
            <w:r>
              <w:br/>
            </w:r>
            <w:r>
              <w:br/>
            </w:r>
            <w:r>
              <w:rPr>
                <w:b/>
                <w:color w:val="000000"/>
                <w:sz w:val="21"/>
              </w:rPr>
              <w:t>四十三、</w:t>
            </w:r>
            <w:r>
              <w:rPr>
                <w:b/>
                <w:color w:val="000000"/>
                <w:sz w:val="21"/>
              </w:rPr>
              <w:t>POE网络高清红外半球 （数量：12个）</w:t>
            </w:r>
            <w:r>
              <w:br/>
            </w:r>
            <w:r>
              <w:rPr>
                <w:color w:val="000000"/>
                <w:sz w:val="21"/>
              </w:rPr>
              <w:t>POE网络高清红外半球，1/3" CMOS 200万像素2.7mm-9mm@F1.2手动变焦自动光圈1600*1200 20米红外防水防暴，标配电源，带SD卡接口，DC12V/PoE，吸顶（选配对应支架）</w:t>
            </w:r>
            <w:r>
              <w:br/>
            </w:r>
            <w:r>
              <w:br/>
            </w:r>
            <w:r>
              <w:rPr>
                <w:b/>
                <w:color w:val="000000"/>
                <w:sz w:val="21"/>
              </w:rPr>
              <w:t>四十四、</w:t>
            </w:r>
            <w:r>
              <w:rPr>
                <w:b/>
                <w:color w:val="000000"/>
                <w:sz w:val="21"/>
              </w:rPr>
              <w:t>16路长延时NVR （数量：1台）</w:t>
            </w:r>
            <w:r>
              <w:br/>
            </w:r>
            <w:r>
              <w:rPr>
                <w:color w:val="000000"/>
                <w:sz w:val="21"/>
              </w:rPr>
              <w:t>长延时</w:t>
            </w:r>
            <w:r>
              <w:rPr>
                <w:color w:val="000000"/>
                <w:sz w:val="21"/>
              </w:rPr>
              <w:t>16路NVR，支持16路D1网络视频输入/2U高度/可插8块SATA硬盘/硬盘容量最高支持4T/AC220V供电，19英寸机架安装，标准16路D1格式视频，16T硬盘空间可存储60天。</w:t>
            </w:r>
            <w:r>
              <w:br/>
            </w:r>
            <w:r>
              <w:br/>
            </w:r>
            <w:r>
              <w:rPr>
                <w:b/>
                <w:color w:val="000000"/>
                <w:sz w:val="21"/>
              </w:rPr>
              <w:t>四十五、</w:t>
            </w:r>
            <w:r>
              <w:rPr>
                <w:b/>
                <w:color w:val="000000"/>
                <w:sz w:val="21"/>
              </w:rPr>
              <w:t>2T硬盘 （数量：4块）</w:t>
            </w:r>
            <w:r>
              <w:br/>
            </w:r>
            <w:r>
              <w:rPr>
                <w:color w:val="000000"/>
                <w:sz w:val="21"/>
              </w:rPr>
              <w:t>2T硬盘，2T监控专用SATA硬盘</w:t>
            </w:r>
            <w:r>
              <w:rPr>
                <w:color w:val="000000"/>
                <w:sz w:val="21"/>
              </w:rPr>
              <w:t>，</w:t>
            </w:r>
            <w:r>
              <w:rPr>
                <w:color w:val="000000"/>
                <w:sz w:val="21"/>
              </w:rPr>
              <w:t>≥5</w:t>
            </w:r>
            <w:r>
              <w:rPr>
                <w:color w:val="000000"/>
                <w:sz w:val="21"/>
              </w:rPr>
              <w:t>400</w:t>
            </w:r>
            <w:r>
              <w:rPr>
                <w:color w:val="000000"/>
                <w:sz w:val="21"/>
              </w:rPr>
              <w:t>r</w:t>
            </w:r>
            <w:r>
              <w:rPr>
                <w:color w:val="000000"/>
                <w:sz w:val="21"/>
              </w:rPr>
              <w:t>pm</w:t>
            </w:r>
            <w:r>
              <w:rPr>
                <w:color w:val="000000"/>
                <w:sz w:val="21"/>
              </w:rPr>
              <w:t>。</w:t>
            </w:r>
            <w:r>
              <w:br/>
            </w:r>
            <w:r>
              <w:br/>
            </w:r>
            <w:r>
              <w:rPr>
                <w:b/>
                <w:color w:val="000000"/>
                <w:sz w:val="21"/>
              </w:rPr>
              <w:t>四十六、</w:t>
            </w:r>
            <w:r>
              <w:rPr>
                <w:b/>
                <w:color w:val="000000"/>
                <w:sz w:val="21"/>
              </w:rPr>
              <w:t>POE智能交换机  （数量：1台）</w:t>
            </w:r>
            <w:r>
              <w:br/>
            </w:r>
            <w:r>
              <w:rPr>
                <w:color w:val="000000"/>
                <w:sz w:val="21"/>
              </w:rPr>
              <w:t>1.固化10/100/1000M以太网电口≥16个，100/1000M SFP千兆光接口≥2个。</w:t>
            </w:r>
          </w:p>
          <w:p>
            <w:pPr>
              <w:jc w:val="left"/>
            </w:pPr>
            <w:r>
              <w:rPr>
                <w:color w:val="000000"/>
                <w:sz w:val="21"/>
              </w:rPr>
              <w:t>2.交换容量≥430Gbps，包转发率≥80Mpps。</w:t>
            </w:r>
          </w:p>
          <w:p>
            <w:pPr>
              <w:jc w:val="left"/>
            </w:pPr>
            <w:r>
              <w:rPr>
                <w:color w:val="000000"/>
                <w:sz w:val="21"/>
              </w:rPr>
              <w:t>3.设备尺寸小，要求支持放入400*300*100的标准弱电箱中部署，保障室内环境的美观。</w:t>
            </w:r>
          </w:p>
          <w:p>
            <w:pPr>
              <w:jc w:val="left"/>
            </w:pPr>
            <w:r>
              <w:rPr>
                <w:color w:val="000000"/>
                <w:sz w:val="21"/>
              </w:rPr>
              <w:t>4.要求所投产品支持POE和POE+远程供电，POE供电功率≥125W</w:t>
            </w:r>
          </w:p>
          <w:p>
            <w:pPr>
              <w:jc w:val="left"/>
            </w:pPr>
            <w:r>
              <w:rPr>
                <w:color w:val="000000"/>
                <w:sz w:val="21"/>
              </w:rPr>
              <w:t>5.要求设备采用静音设计，噪声值＜20dB</w:t>
            </w:r>
          </w:p>
          <w:p>
            <w:pPr>
              <w:jc w:val="left"/>
            </w:pPr>
            <w:r>
              <w:rPr>
                <w:color w:val="000000"/>
                <w:sz w:val="21"/>
              </w:rPr>
              <w:t>6.为保证设备在受到外接机械碰撞时能够正常运行，要求所投交换机IK防护测试级别至少达到IK05，提供国家认可的检测机构出具的IK防护等级测试报告以及检测机构官网查询截图。</w:t>
            </w:r>
          </w:p>
          <w:p>
            <w:pPr>
              <w:jc w:val="left"/>
            </w:pPr>
            <w:r>
              <w:rPr>
                <w:color w:val="000000"/>
                <w:sz w:val="21"/>
              </w:rPr>
              <w:t>7.要求设备采用金属外壳和金属网口设计，提供官网截图。</w:t>
            </w:r>
          </w:p>
          <w:p>
            <w:pPr>
              <w:jc w:val="left"/>
            </w:pPr>
            <w:r>
              <w:rPr>
                <w:color w:val="000000"/>
                <w:sz w:val="21"/>
              </w:rPr>
              <w:t>8.支持端口浪涌抗扰度≥8KV（即具备8KV的防雷能力），要求提供官网截图作为证明。</w:t>
            </w:r>
          </w:p>
          <w:p>
            <w:pPr>
              <w:jc w:val="left"/>
            </w:pPr>
            <w:r>
              <w:rPr>
                <w:color w:val="000000"/>
                <w:sz w:val="21"/>
              </w:rPr>
              <w:t>9.支持专门针对CPU的保护机制，能够针对发往CPU处理的各种报文进行流区分和优先级队列分级处理，保护交换机在各种环境下稳定工作。</w:t>
            </w:r>
          </w:p>
          <w:p>
            <w:pPr>
              <w:jc w:val="left"/>
            </w:pPr>
            <w:r>
              <w:rPr>
                <w:color w:val="000000"/>
                <w:sz w:val="21"/>
              </w:rPr>
              <w:t>10.支持零配置上线。根据不同区域的业务创建相应业务模板后，绑定设备区域位置信息，设备开箱上电后配置即可自动从软件下发，无需在接入设备端刷入配置；投标时提供 具有CMA或CAL或CNAS认证章的第三方机构检验报告证明；</w:t>
            </w:r>
          </w:p>
          <w:p>
            <w:pPr>
              <w:jc w:val="left"/>
            </w:pPr>
            <w:r>
              <w:rPr>
                <w:color w:val="000000"/>
                <w:sz w:val="21"/>
              </w:rPr>
              <w:t>11.▲支持通过excel批量导入、基于楼栋交换机端口、微信小程序扫码三种方式绑定设备区域位置管理资产信息，适应在网络开局阶段的工作流程，提供高效的资产登记和网络规划方案；投标时提供具有CMA或CAL或CNAS认证章的第三方机构检验报告证明；</w:t>
            </w:r>
          </w:p>
          <w:p>
            <w:pPr>
              <w:jc w:val="left"/>
            </w:pPr>
            <w:r>
              <w:rPr>
                <w:color w:val="000000"/>
                <w:sz w:val="21"/>
              </w:rPr>
              <w:t>12.支持创建交换机的业务模板，支持图形化界面提前规划各端口业务；投标时提供 具有CMA或CAL或CNAS认证章的第三方机构检验报告证明；</w:t>
            </w:r>
          </w:p>
          <w:p>
            <w:pPr>
              <w:jc w:val="left"/>
            </w:pPr>
            <w:r>
              <w:rPr>
                <w:color w:val="000000"/>
                <w:sz w:val="21"/>
              </w:rPr>
              <w:t>13.当交换机出现故障，支持替换用的新设备的零配置替换，新设备上电后配置自动下发，无需手动配置。投标时提供具有CMA或CAL或CNAS认证章的第三方机构检验报告证明；</w:t>
            </w:r>
          </w:p>
          <w:p>
            <w:pPr>
              <w:jc w:val="left"/>
            </w:pPr>
            <w:r>
              <w:rPr>
                <w:color w:val="000000"/>
                <w:sz w:val="21"/>
              </w:rPr>
              <w:t>14.当交换机出现故障，替换用的新设备支持智能零替换。支持自适应不同型号间的设备替换，以及替换后新设备支持终端在任意端口接入，并且终端在原有设备接入端口的配置可自动跟随到新设备端口；投标时提供具有CMA或CAL或CNAS认证章的第三方机构检验报告证明；</w:t>
            </w:r>
          </w:p>
          <w:p>
            <w:pPr>
              <w:jc w:val="left"/>
            </w:pPr>
            <w:r>
              <w:rPr>
                <w:color w:val="000000"/>
                <w:sz w:val="21"/>
              </w:rPr>
              <w:t>15.支持光模块与光链路运维检测与故障告警，并可在拓扑中呈现并查看详细信息，包括提供告警原因分析与处理建议；投标时提供具有CMA或CAL或CNAS认证章的第三方机构检验报告证明；</w:t>
            </w:r>
            <w:r>
              <w:br/>
            </w:r>
            <w:r>
              <w:br/>
            </w:r>
            <w:r>
              <w:rPr>
                <w:b/>
                <w:color w:val="000000"/>
                <w:sz w:val="21"/>
              </w:rPr>
              <w:t>四十七、模块化</w:t>
            </w:r>
            <w:r>
              <w:rPr>
                <w:b/>
                <w:color w:val="000000"/>
                <w:sz w:val="21"/>
              </w:rPr>
              <w:t>UPS主机  （数量：1台）</w:t>
            </w:r>
            <w:r>
              <w:br/>
            </w:r>
            <w:r>
              <w:rPr>
                <w:color w:val="000000"/>
                <w:sz w:val="21"/>
              </w:rPr>
              <w:t>1. UPS标准内置输入，输出，维修旁路断路器，要求为UPS 同品牌，请提供安装断路器的设备整体及(断路器安装位置)局部清晰实物照片证明。</w:t>
            </w:r>
          </w:p>
          <w:p>
            <w:pPr>
              <w:jc w:val="left"/>
            </w:pPr>
            <w:r>
              <w:rPr>
                <w:color w:val="000000"/>
                <w:sz w:val="21"/>
              </w:rPr>
              <w:t>2.为了在满足供电容量需求前提下减少UPS功率模块并联数量以优化均流及环流等指标，要求支持单个UPS功率模块容量≥40KVA，每套机架最大满配容量按≥160KVA设计。需提交彩页、手册证明。</w:t>
            </w:r>
          </w:p>
          <w:p>
            <w:pPr>
              <w:jc w:val="left"/>
            </w:pPr>
            <w:r>
              <w:rPr>
                <w:color w:val="000000"/>
                <w:sz w:val="21"/>
              </w:rPr>
              <w:t>▲3.UPS应采用分散控制的逻辑，每个功率模块均要求内置完整的整流、逆变及控制系统，任意模块的功率或控制电路故障都不影响UPS系统整体工作运行，保证系统控制不会出现单点故障。请提供控制逻辑详细说明材料(含控制系统拓扑图)并依据证明，并提交彩页、手册、第三方机构检测报告。</w:t>
            </w:r>
          </w:p>
          <w:p>
            <w:pPr>
              <w:jc w:val="left"/>
            </w:pPr>
            <w:r>
              <w:rPr>
                <w:color w:val="000000"/>
                <w:sz w:val="21"/>
              </w:rPr>
              <w:t>4.UPS电气柜内功率模块交/直流端口并联要求采用铜排汇流方式，禁止电缆+接线端子方式，请提供UPS电气柜内功率模块背部交/直流端口并联设计实物照片证明。</w:t>
            </w:r>
          </w:p>
          <w:p>
            <w:pPr>
              <w:jc w:val="left"/>
            </w:pPr>
            <w:r>
              <w:rPr>
                <w:color w:val="000000"/>
                <w:sz w:val="21"/>
              </w:rPr>
              <w:t>5.输入、输出布线分区独立，避免交叉走线带来的安全隐患，请提供设备整体和局部清晰实物照片证明。</w:t>
            </w:r>
          </w:p>
          <w:p>
            <w:pPr>
              <w:jc w:val="left"/>
            </w:pPr>
            <w:r>
              <w:rPr>
                <w:color w:val="000000"/>
                <w:sz w:val="21"/>
              </w:rPr>
              <w:t>6.为保证旁路抗冲击能力及扩容要求，不允许采用存在于各功率模块内部的分散式静态旁路单元，要求采用统一的公共静态旁路模块(容量要求≥160KW)，旁路模块应可插拔维护，其故障不影响UPS系统输出；需详细说明配置公共静态旁路模块容量，并提交产品彩页、手册证明。</w:t>
            </w:r>
          </w:p>
          <w:p>
            <w:pPr>
              <w:jc w:val="left"/>
            </w:pPr>
            <w:r>
              <w:rPr>
                <w:color w:val="000000"/>
                <w:sz w:val="21"/>
              </w:rPr>
              <w:t>7.环境条件：在下列条件下，设备应能连续正常工作，并满足性能规范要求</w:t>
            </w:r>
          </w:p>
          <w:p>
            <w:pPr>
              <w:jc w:val="left"/>
            </w:pPr>
            <w:r>
              <w:rPr>
                <w:color w:val="000000"/>
                <w:sz w:val="21"/>
              </w:rPr>
              <w:t>1)环境温度：</w:t>
            </w:r>
          </w:p>
          <w:p>
            <w:pPr>
              <w:jc w:val="left"/>
            </w:pPr>
            <w:r>
              <w:rPr>
                <w:color w:val="000000"/>
                <w:sz w:val="21"/>
              </w:rPr>
              <w:t>工作温度：</w:t>
            </w:r>
            <w:r>
              <w:rPr>
                <w:color w:val="000000"/>
                <w:sz w:val="21"/>
              </w:rPr>
              <w:t>0～+40℃。</w:t>
            </w:r>
          </w:p>
          <w:p>
            <w:pPr>
              <w:jc w:val="left"/>
            </w:pPr>
            <w:r>
              <w:rPr>
                <w:color w:val="000000"/>
                <w:sz w:val="21"/>
              </w:rPr>
              <w:t>相对湿度：</w:t>
            </w:r>
            <w:r>
              <w:rPr>
                <w:color w:val="000000"/>
                <w:sz w:val="21"/>
              </w:rPr>
              <w:t>≤95%（25℃,无凝露）</w:t>
            </w:r>
          </w:p>
          <w:p>
            <w:pPr>
              <w:jc w:val="left"/>
            </w:pPr>
            <w:r>
              <w:rPr>
                <w:color w:val="000000"/>
                <w:sz w:val="21"/>
              </w:rPr>
              <w:t>2)海拔高度：0～1500米</w:t>
            </w:r>
          </w:p>
          <w:p>
            <w:pPr>
              <w:jc w:val="left"/>
            </w:pPr>
            <w:r>
              <w:rPr>
                <w:color w:val="000000"/>
                <w:sz w:val="21"/>
              </w:rPr>
              <w:t>8.设备电气性能</w:t>
            </w:r>
          </w:p>
          <w:p>
            <w:pPr>
              <w:jc w:val="left"/>
            </w:pPr>
            <w:r>
              <w:rPr>
                <w:color w:val="000000"/>
                <w:sz w:val="21"/>
              </w:rPr>
              <w:t>1)输入电压：380VAC (－25%～＋25%满载)（投标方应详细答复投标产品的实际指标，并提供彩页官网链接证明）</w:t>
            </w:r>
          </w:p>
          <w:p>
            <w:pPr>
              <w:jc w:val="left"/>
            </w:pPr>
            <w:r>
              <w:rPr>
                <w:color w:val="000000"/>
                <w:sz w:val="21"/>
              </w:rPr>
              <w:t>2)输入频率：40～70Hz</w:t>
            </w:r>
          </w:p>
          <w:p>
            <w:pPr>
              <w:jc w:val="left"/>
            </w:pPr>
            <w:r>
              <w:rPr>
                <w:color w:val="000000"/>
                <w:sz w:val="21"/>
              </w:rPr>
              <w:t>3)整流器输入性能应符合满足YD/T 2165-2010《通信用模块化不间断电源》标准要求。</w:t>
            </w:r>
          </w:p>
          <w:p>
            <w:pPr>
              <w:jc w:val="left"/>
            </w:pPr>
            <w:r>
              <w:rPr>
                <w:color w:val="000000"/>
                <w:sz w:val="21"/>
              </w:rPr>
              <w:t>25%～100%负载率下，UPS输入谐波电流总含量要求不大于3%。</w:t>
            </w:r>
          </w:p>
          <w:p>
            <w:pPr>
              <w:jc w:val="left"/>
            </w:pPr>
            <w:r>
              <w:rPr>
                <w:color w:val="000000"/>
                <w:sz w:val="21"/>
              </w:rPr>
              <w:t>25%~100%负载率下，UPS输入功率因数不低于0.99。</w:t>
            </w:r>
          </w:p>
          <w:p>
            <w:pPr>
              <w:jc w:val="left"/>
            </w:pPr>
            <w:r>
              <w:rPr>
                <w:color w:val="000000"/>
                <w:sz w:val="21"/>
              </w:rPr>
              <w:t>投标方需提供投标产品的第三方机构检测报告证明以上内容。</w:t>
            </w:r>
          </w:p>
          <w:p>
            <w:pPr>
              <w:jc w:val="left"/>
            </w:pPr>
            <w:r>
              <w:rPr>
                <w:color w:val="000000"/>
                <w:sz w:val="21"/>
              </w:rPr>
              <w:t>4)整流器输出指标</w:t>
            </w:r>
          </w:p>
          <w:p>
            <w:pPr>
              <w:jc w:val="left"/>
            </w:pPr>
            <w:r>
              <w:rPr>
                <w:color w:val="000000"/>
                <w:sz w:val="21"/>
              </w:rPr>
              <w:t>具有电池均充功能，能够自动控制均充和浮充转换，具备充电温度补偿功能和电池定期自动测试功能。</w:t>
            </w:r>
          </w:p>
          <w:p>
            <w:pPr>
              <w:jc w:val="left"/>
            </w:pPr>
            <w:r>
              <w:rPr>
                <w:color w:val="000000"/>
                <w:sz w:val="21"/>
              </w:rPr>
              <w:t>5)逆变器输出要求：</w:t>
            </w:r>
          </w:p>
          <w:p>
            <w:pPr>
              <w:jc w:val="left"/>
            </w:pPr>
            <w:r>
              <w:rPr>
                <w:color w:val="000000"/>
                <w:sz w:val="21"/>
              </w:rPr>
              <w:t>输出电压：</w:t>
            </w:r>
            <w:r>
              <w:rPr>
                <w:color w:val="000000"/>
                <w:sz w:val="21"/>
              </w:rPr>
              <w:t xml:space="preserve"> </w:t>
            </w:r>
            <w:r>
              <w:rPr>
                <w:color w:val="000000"/>
                <w:sz w:val="21"/>
              </w:rPr>
              <w:t>380VAC(线)/220VAC（相），稳态精度：±1％。</w:t>
            </w:r>
          </w:p>
          <w:p>
            <w:pPr>
              <w:jc w:val="left"/>
            </w:pPr>
            <w:r>
              <w:rPr>
                <w:color w:val="000000"/>
                <w:sz w:val="21"/>
              </w:rPr>
              <w:t>6)输出频率范围：输出频率应满足±0.5～±3Hz可调</w:t>
            </w:r>
          </w:p>
          <w:p>
            <w:pPr>
              <w:jc w:val="left"/>
            </w:pPr>
            <w:r>
              <w:rPr>
                <w:color w:val="000000"/>
                <w:sz w:val="21"/>
              </w:rPr>
              <w:t>输出频率精度：</w:t>
            </w:r>
            <w:r>
              <w:rPr>
                <w:color w:val="000000"/>
                <w:sz w:val="21"/>
              </w:rPr>
              <w:t>±0.1%(内同步), 输出频率应不发生突变</w:t>
            </w:r>
          </w:p>
          <w:p>
            <w:pPr>
              <w:jc w:val="left"/>
            </w:pPr>
            <w:r>
              <w:rPr>
                <w:color w:val="000000"/>
                <w:sz w:val="21"/>
              </w:rPr>
              <w:t>7)输出波形为连续的正弦波，在带100%不均衡负载时，波形失真度 ：</w:t>
            </w:r>
          </w:p>
          <w:p>
            <w:pPr>
              <w:jc w:val="left"/>
            </w:pPr>
            <w:r>
              <w:rPr>
                <w:color w:val="000000"/>
                <w:sz w:val="21"/>
              </w:rPr>
              <w:t xml:space="preserve">    </w:t>
            </w:r>
            <w:r>
              <w:rPr>
                <w:color w:val="000000"/>
                <w:sz w:val="21"/>
              </w:rPr>
              <w:t>线性负载</w:t>
            </w:r>
            <w:r>
              <w:rPr>
                <w:color w:val="000000"/>
                <w:sz w:val="21"/>
              </w:rPr>
              <w:t xml:space="preserve">  </w:t>
            </w:r>
            <w:r>
              <w:rPr>
                <w:color w:val="000000"/>
                <w:sz w:val="21"/>
              </w:rPr>
              <w:t>≤2％</w:t>
            </w:r>
          </w:p>
          <w:p>
            <w:pPr>
              <w:jc w:val="left"/>
            </w:pPr>
            <w:r>
              <w:rPr>
                <w:color w:val="000000"/>
                <w:sz w:val="21"/>
              </w:rPr>
              <w:t xml:space="preserve">    </w:t>
            </w:r>
            <w:r>
              <w:rPr>
                <w:color w:val="000000"/>
                <w:sz w:val="21"/>
              </w:rPr>
              <w:t>非线性负载</w:t>
            </w:r>
            <w:r>
              <w:rPr>
                <w:color w:val="000000"/>
                <w:sz w:val="21"/>
              </w:rPr>
              <w:t>≤3％</w:t>
            </w:r>
          </w:p>
          <w:p>
            <w:pPr>
              <w:jc w:val="left"/>
            </w:pPr>
            <w:r>
              <w:rPr>
                <w:color w:val="000000"/>
                <w:sz w:val="21"/>
              </w:rPr>
              <w:t>8)输出电流峰值系数（UPS所允许的最大非正弦波峰值电流与输出电流有效值之比）≥3：1</w:t>
            </w:r>
          </w:p>
          <w:p>
            <w:pPr>
              <w:jc w:val="left"/>
            </w:pPr>
            <w:r>
              <w:rPr>
                <w:color w:val="000000"/>
                <w:sz w:val="21"/>
              </w:rPr>
              <w:t>9)逆变器过载能力：</w:t>
            </w:r>
          </w:p>
          <w:p>
            <w:pPr>
              <w:jc w:val="left"/>
            </w:pPr>
            <w:r>
              <w:rPr>
                <w:color w:val="000000"/>
                <w:sz w:val="21"/>
              </w:rPr>
              <w:t>110%额定电流，60min</w:t>
            </w:r>
          </w:p>
          <w:p>
            <w:pPr>
              <w:jc w:val="left"/>
            </w:pPr>
            <w:r>
              <w:rPr>
                <w:color w:val="000000"/>
                <w:sz w:val="21"/>
              </w:rPr>
              <w:t>125%额定电流，10min</w:t>
            </w:r>
          </w:p>
          <w:p>
            <w:pPr>
              <w:jc w:val="left"/>
            </w:pPr>
            <w:r>
              <w:rPr>
                <w:color w:val="000000"/>
                <w:sz w:val="21"/>
              </w:rPr>
              <w:t>150%额定电流，60s</w:t>
            </w:r>
          </w:p>
          <w:p>
            <w:pPr>
              <w:jc w:val="left"/>
            </w:pPr>
            <w:r>
              <w:rPr>
                <w:color w:val="000000"/>
                <w:sz w:val="21"/>
              </w:rPr>
              <w:t>10)三相负载不平衡度100%时，三相输出电压不平衡度满足：</w:t>
            </w:r>
          </w:p>
          <w:p>
            <w:pPr>
              <w:jc w:val="left"/>
            </w:pPr>
            <w:r>
              <w:rPr>
                <w:color w:val="000000"/>
                <w:sz w:val="21"/>
              </w:rPr>
              <w:t xml:space="preserve">     </w:t>
            </w:r>
            <w:r>
              <w:rPr>
                <w:color w:val="000000"/>
                <w:sz w:val="21"/>
              </w:rPr>
              <w:t>＜</w:t>
            </w:r>
            <w:r>
              <w:rPr>
                <w:color w:val="000000"/>
                <w:sz w:val="21"/>
              </w:rPr>
              <w:t>±0.5％（平衡负载）</w:t>
            </w:r>
          </w:p>
          <w:p>
            <w:pPr>
              <w:jc w:val="left"/>
            </w:pPr>
            <w:r>
              <w:rPr>
                <w:color w:val="000000"/>
                <w:sz w:val="21"/>
              </w:rPr>
              <w:t xml:space="preserve">     </w:t>
            </w:r>
            <w:r>
              <w:rPr>
                <w:color w:val="000000"/>
                <w:sz w:val="21"/>
              </w:rPr>
              <w:t>＜</w:t>
            </w:r>
            <w:r>
              <w:rPr>
                <w:color w:val="000000"/>
                <w:sz w:val="21"/>
              </w:rPr>
              <w:t>±3.0％（100％不平衡负载）</w:t>
            </w:r>
          </w:p>
          <w:p>
            <w:pPr>
              <w:jc w:val="left"/>
            </w:pPr>
            <w:r>
              <w:rPr>
                <w:color w:val="000000"/>
                <w:sz w:val="21"/>
              </w:rPr>
              <w:t>11) 输出电压相位偏差</w:t>
            </w:r>
          </w:p>
          <w:p>
            <w:pPr>
              <w:jc w:val="left"/>
            </w:pPr>
            <w:r>
              <w:rPr>
                <w:color w:val="000000"/>
                <w:sz w:val="21"/>
              </w:rPr>
              <w:t>在</w:t>
            </w:r>
            <w:r>
              <w:rPr>
                <w:color w:val="000000"/>
                <w:sz w:val="21"/>
              </w:rPr>
              <w:t>100%不平衡整流性负载时，三相输出电压相位差≤1°。</w:t>
            </w:r>
          </w:p>
          <w:p>
            <w:pPr>
              <w:jc w:val="left"/>
            </w:pPr>
            <w:r>
              <w:rPr>
                <w:color w:val="000000"/>
                <w:sz w:val="21"/>
              </w:rPr>
              <w:t>12)噪音（距离设备1米处）：&lt; 65dB（A）</w:t>
            </w:r>
          </w:p>
          <w:p>
            <w:pPr>
              <w:jc w:val="left"/>
            </w:pPr>
            <w:r>
              <w:rPr>
                <w:color w:val="000000"/>
                <w:sz w:val="21"/>
              </w:rPr>
              <w:t>13)动态电压瞬变范围:</w:t>
            </w:r>
          </w:p>
          <w:p>
            <w:pPr>
              <w:jc w:val="left"/>
            </w:pPr>
            <w:r>
              <w:rPr>
                <w:color w:val="000000"/>
                <w:sz w:val="21"/>
              </w:rPr>
              <w:t xml:space="preserve">    </w:t>
            </w:r>
            <w:r>
              <w:rPr>
                <w:color w:val="000000"/>
                <w:sz w:val="21"/>
              </w:rPr>
              <w:t>交流输入电压不变，负载从</w:t>
            </w:r>
            <w:r>
              <w:rPr>
                <w:color w:val="000000"/>
                <w:sz w:val="21"/>
              </w:rPr>
              <w:t>0－100%－0变化，交流输入中断或恢复供电时的输出电压变化量＜额定输出电压的±3％。</w:t>
            </w:r>
          </w:p>
          <w:p>
            <w:pPr>
              <w:jc w:val="left"/>
            </w:pPr>
            <w:r>
              <w:rPr>
                <w:color w:val="000000"/>
                <w:sz w:val="21"/>
              </w:rPr>
              <w:t>14)瞬变响应恢复时间:</w:t>
            </w:r>
          </w:p>
          <w:p>
            <w:pPr>
              <w:jc w:val="left"/>
            </w:pPr>
            <w:r>
              <w:rPr>
                <w:color w:val="000000"/>
                <w:sz w:val="21"/>
              </w:rPr>
              <w:t>从输出电压发生阶跃变化起到恢复到稳压精度范围内时止所需要的时间小于</w:t>
            </w:r>
            <w:r>
              <w:rPr>
                <w:color w:val="000000"/>
                <w:sz w:val="21"/>
              </w:rPr>
              <w:t>20ms。</w:t>
            </w:r>
          </w:p>
          <w:p>
            <w:pPr>
              <w:jc w:val="left"/>
            </w:pPr>
            <w:r>
              <w:rPr>
                <w:color w:val="000000"/>
                <w:sz w:val="21"/>
              </w:rPr>
              <w:t>15)市电电池切换时间</w:t>
            </w:r>
          </w:p>
          <w:p>
            <w:pPr>
              <w:jc w:val="left"/>
            </w:pPr>
            <w:r>
              <w:rPr>
                <w:color w:val="000000"/>
                <w:sz w:val="21"/>
              </w:rPr>
              <w:t xml:space="preserve">    </w:t>
            </w:r>
            <w:r>
              <w:rPr>
                <w:color w:val="000000"/>
                <w:sz w:val="21"/>
              </w:rPr>
              <w:t>UPS在市电和电池两种状态间切换的时间应为0。</w:t>
            </w:r>
          </w:p>
          <w:p>
            <w:pPr>
              <w:jc w:val="left"/>
            </w:pPr>
            <w:r>
              <w:rPr>
                <w:color w:val="000000"/>
                <w:sz w:val="21"/>
              </w:rPr>
              <w:t>16)旁路逆变切换时间:</w:t>
            </w:r>
          </w:p>
          <w:p>
            <w:pPr>
              <w:jc w:val="left"/>
            </w:pPr>
            <w:r>
              <w:rPr>
                <w:color w:val="000000"/>
                <w:sz w:val="21"/>
              </w:rPr>
              <w:t xml:space="preserve">    </w:t>
            </w:r>
            <w:r>
              <w:rPr>
                <w:color w:val="000000"/>
                <w:sz w:val="21"/>
              </w:rPr>
              <w:t>从逆变器停止工作时起，到电网直接供电时止或从电网直接供电起到恢复逆变器工作时止所需要的时间</w:t>
            </w:r>
            <w:r>
              <w:rPr>
                <w:color w:val="000000"/>
                <w:sz w:val="21"/>
              </w:rPr>
              <w:t>0ms。</w:t>
            </w:r>
          </w:p>
          <w:p>
            <w:pPr>
              <w:jc w:val="left"/>
            </w:pPr>
            <w:r>
              <w:rPr>
                <w:color w:val="000000"/>
                <w:sz w:val="21"/>
              </w:rPr>
              <w:t>17)市电模式下，UPS系统在线模式下：效率在50%负载时应超过96.5%，效率在100%负载时应不小于96%。请提供应标产品第三方检测机构检验报告证明。</w:t>
            </w:r>
          </w:p>
          <w:p>
            <w:pPr>
              <w:jc w:val="left"/>
            </w:pPr>
            <w:r>
              <w:rPr>
                <w:color w:val="000000"/>
                <w:sz w:val="21"/>
              </w:rPr>
              <w:t>10.设备监控性能</w:t>
            </w:r>
          </w:p>
          <w:p>
            <w:pPr>
              <w:jc w:val="left"/>
            </w:pPr>
            <w:r>
              <w:rPr>
                <w:color w:val="000000"/>
                <w:sz w:val="21"/>
              </w:rPr>
              <w:t>1)设备应能提供全中文监控及操作界面，采用9英寸及以上尺寸液晶彩色触摸屏，单屏可管理供配电系统，显示配电模拟图。能够动态实时显示运行状态、输入输出电压、电流以及故障告警信息等。</w:t>
            </w:r>
          </w:p>
          <w:p>
            <w:pPr>
              <w:jc w:val="left"/>
            </w:pPr>
            <w:r>
              <w:rPr>
                <w:color w:val="000000"/>
                <w:sz w:val="21"/>
              </w:rPr>
              <w:t>UPS系统应具备RS232或RS485/422、SNMP通讯口，并提供与通信接口配套使用的通信线缆和各种告警信号输出端子，通信协议应符合电网交1999(625)号文《通信局（站）电源、空调及环境集中监控管理系统前端智能设备通讯协议》要求，系统应具有下列主要功能：</w:t>
            </w:r>
          </w:p>
          <w:p>
            <w:pPr>
              <w:jc w:val="left"/>
            </w:pPr>
            <w:r>
              <w:rPr>
                <w:color w:val="000000"/>
                <w:sz w:val="21"/>
              </w:rPr>
              <w:t>实时监控</w:t>
            </w:r>
            <w:r>
              <w:rPr>
                <w:color w:val="000000"/>
                <w:sz w:val="21"/>
              </w:rPr>
              <w:t>UPS的工作状态：系统正常工作方式/电池逆变/旁路供电、过载、蓄电池放电电压低、蓄电池充放电状态、市电故障、功率模块状态（正常/故障退出）、UPS系统故障和运行状态记录；</w:t>
            </w:r>
          </w:p>
          <w:p>
            <w:pPr>
              <w:jc w:val="left"/>
            </w:pPr>
            <w:r>
              <w:rPr>
                <w:color w:val="000000"/>
                <w:sz w:val="21"/>
              </w:rPr>
              <w:t>实时监控主路输入的开关状态，</w:t>
            </w:r>
            <w:r>
              <w:rPr>
                <w:color w:val="000000"/>
                <w:sz w:val="21"/>
              </w:rPr>
              <w:t>UPS输入开关状态、UPS输出开关状态、UPS维修旁路开关状态。</w:t>
            </w:r>
          </w:p>
          <w:p>
            <w:pPr>
              <w:jc w:val="left"/>
            </w:pPr>
            <w:r>
              <w:rPr>
                <w:color w:val="000000"/>
                <w:sz w:val="21"/>
              </w:rPr>
              <w:t>2)电池管理功能</w:t>
            </w:r>
          </w:p>
          <w:p>
            <w:pPr>
              <w:jc w:val="left"/>
            </w:pPr>
            <w:r>
              <w:rPr>
                <w:color w:val="000000"/>
                <w:sz w:val="21"/>
              </w:rPr>
              <w:t>UPS系统应支持电池节数可调，具有定期对电池组进行自动浮充、均充转换、自动温度补偿、电池组放电及记录功能；</w:t>
            </w:r>
          </w:p>
          <w:p>
            <w:pPr>
              <w:jc w:val="left"/>
            </w:pPr>
            <w:r>
              <w:rPr>
                <w:color w:val="000000"/>
                <w:sz w:val="21"/>
              </w:rPr>
              <w:t>3)系统应具有三遥性能</w:t>
            </w:r>
          </w:p>
          <w:p>
            <w:pPr>
              <w:jc w:val="left"/>
            </w:pPr>
            <w:r>
              <w:rPr>
                <w:color w:val="000000"/>
                <w:sz w:val="21"/>
              </w:rPr>
              <w:t xml:space="preserve">    </w:t>
            </w:r>
            <w:r>
              <w:rPr>
                <w:color w:val="000000"/>
                <w:sz w:val="21"/>
              </w:rPr>
              <w:t>遥测项目：三相输入电压，直流输入电压，三相输出电压，三相输出电流，输出频率</w:t>
            </w:r>
          </w:p>
          <w:p>
            <w:pPr>
              <w:jc w:val="left"/>
            </w:pPr>
            <w:r>
              <w:rPr>
                <w:color w:val="000000"/>
                <w:sz w:val="21"/>
              </w:rPr>
              <w:t>遥信项目：同步</w:t>
            </w:r>
            <w:r>
              <w:rPr>
                <w:color w:val="000000"/>
                <w:sz w:val="21"/>
              </w:rPr>
              <w:t>/不同步状态，UPS/旁路供电，蓄电池放电电压低，市电故障，整流器故障，逆变器故障，旁路故障。</w:t>
            </w:r>
          </w:p>
          <w:p>
            <w:pPr>
              <w:jc w:val="left"/>
            </w:pPr>
            <w:r>
              <w:rPr>
                <w:color w:val="000000"/>
                <w:sz w:val="21"/>
              </w:rPr>
              <w:t xml:space="preserve">    </w:t>
            </w:r>
            <w:r>
              <w:rPr>
                <w:color w:val="000000"/>
                <w:sz w:val="21"/>
              </w:rPr>
              <w:t>对遥信项目，要求设备能够对每一类故障或状态提供继电器干接点。</w:t>
            </w:r>
          </w:p>
          <w:p>
            <w:pPr>
              <w:jc w:val="left"/>
            </w:pPr>
            <w:r>
              <w:rPr>
                <w:color w:val="000000"/>
                <w:sz w:val="21"/>
              </w:rPr>
              <w:t>4)设备运行参数的设置</w:t>
            </w:r>
          </w:p>
          <w:p>
            <w:pPr>
              <w:jc w:val="left"/>
            </w:pPr>
            <w:r>
              <w:rPr>
                <w:color w:val="000000"/>
                <w:sz w:val="21"/>
              </w:rPr>
              <w:t xml:space="preserve">   </w:t>
            </w:r>
            <w:r>
              <w:rPr>
                <w:color w:val="000000"/>
                <w:sz w:val="21"/>
              </w:rPr>
              <w:t>设备应具有智能判断功能，对于超常规的参数设置（错误命令），应能自动拒绝。</w:t>
            </w:r>
          </w:p>
          <w:p>
            <w:pPr>
              <w:jc w:val="left"/>
            </w:pPr>
            <w:r>
              <w:rPr>
                <w:color w:val="000000"/>
                <w:sz w:val="21"/>
              </w:rPr>
              <w:t>5)准确度</w:t>
            </w:r>
          </w:p>
          <w:p>
            <w:pPr>
              <w:jc w:val="left"/>
            </w:pPr>
            <w:r>
              <w:rPr>
                <w:color w:val="000000"/>
                <w:sz w:val="21"/>
              </w:rPr>
              <w:t>对三遥量：</w:t>
            </w:r>
          </w:p>
          <w:p>
            <w:pPr>
              <w:jc w:val="left"/>
            </w:pPr>
            <w:r>
              <w:rPr>
                <w:color w:val="000000"/>
                <w:sz w:val="21"/>
              </w:rPr>
              <w:t>开关量准确度应达到</w:t>
            </w:r>
            <w:r>
              <w:rPr>
                <w:color w:val="000000"/>
                <w:sz w:val="21"/>
              </w:rPr>
              <w:t xml:space="preserve"> </w:t>
            </w:r>
            <w:r>
              <w:rPr>
                <w:color w:val="000000"/>
                <w:sz w:val="21"/>
              </w:rPr>
              <w:t>100%；</w:t>
            </w:r>
          </w:p>
          <w:p>
            <w:pPr>
              <w:jc w:val="left"/>
            </w:pPr>
            <w:r>
              <w:rPr>
                <w:color w:val="000000"/>
                <w:sz w:val="21"/>
              </w:rPr>
              <w:t>模拟量精确度应达到</w:t>
            </w:r>
            <w:r>
              <w:rPr>
                <w:color w:val="000000"/>
                <w:sz w:val="21"/>
              </w:rPr>
              <w:t>：直流电压误差</w:t>
            </w:r>
            <w:r>
              <w:rPr>
                <w:color w:val="000000"/>
                <w:sz w:val="21"/>
              </w:rPr>
              <w:t>≤±0.5%</w:t>
            </w:r>
          </w:p>
          <w:p>
            <w:pPr>
              <w:jc w:val="left"/>
            </w:pPr>
            <w:r>
              <w:rPr>
                <w:color w:val="000000"/>
                <w:sz w:val="21"/>
              </w:rPr>
              <w:t xml:space="preserve">                    </w:t>
            </w:r>
            <w:r>
              <w:rPr>
                <w:color w:val="000000"/>
                <w:sz w:val="21"/>
              </w:rPr>
              <w:t>其它电量误差</w:t>
            </w:r>
            <w:r>
              <w:rPr>
                <w:color w:val="000000"/>
                <w:sz w:val="21"/>
              </w:rPr>
              <w:t>≤±2%</w:t>
            </w:r>
          </w:p>
          <w:p>
            <w:pPr>
              <w:jc w:val="left"/>
            </w:pPr>
            <w:r>
              <w:rPr>
                <w:color w:val="000000"/>
                <w:sz w:val="21"/>
              </w:rPr>
              <w:t xml:space="preserve">                    </w:t>
            </w:r>
            <w:r>
              <w:rPr>
                <w:color w:val="000000"/>
                <w:sz w:val="21"/>
              </w:rPr>
              <w:t>非电量误差</w:t>
            </w:r>
            <w:r>
              <w:rPr>
                <w:color w:val="000000"/>
                <w:sz w:val="21"/>
              </w:rPr>
              <w:t xml:space="preserve"> </w:t>
            </w:r>
            <w:r>
              <w:rPr>
                <w:color w:val="000000"/>
                <w:sz w:val="21"/>
              </w:rPr>
              <w:t>≤5%</w:t>
            </w:r>
          </w:p>
          <w:p>
            <w:pPr>
              <w:jc w:val="left"/>
            </w:pPr>
            <w:r>
              <w:rPr>
                <w:color w:val="000000"/>
                <w:sz w:val="21"/>
              </w:rPr>
              <w:t>设备显示面板或表头显示值应与从通信接口读出的三遥量值保持一致。</w:t>
            </w:r>
          </w:p>
          <w:p>
            <w:pPr>
              <w:jc w:val="left"/>
            </w:pPr>
            <w:r>
              <w:rPr>
                <w:color w:val="000000"/>
                <w:sz w:val="21"/>
              </w:rPr>
              <w:t>11.设备机械性能</w:t>
            </w:r>
          </w:p>
          <w:p>
            <w:pPr>
              <w:jc w:val="left"/>
            </w:pPr>
            <w:r>
              <w:rPr>
                <w:color w:val="000000"/>
                <w:sz w:val="21"/>
              </w:rPr>
              <w:t>1)</w:t>
            </w:r>
            <w:r>
              <w:rPr>
                <w:color w:val="000000"/>
                <w:sz w:val="21"/>
              </w:rPr>
              <w:t>外观工艺、检查：机柜表面喷涂均匀、无破损；信号灯、开关、测量显示装置布局合理。</w:t>
            </w:r>
          </w:p>
          <w:p>
            <w:pPr>
              <w:jc w:val="left"/>
            </w:pPr>
            <w:r>
              <w:rPr>
                <w:color w:val="000000"/>
                <w:sz w:val="21"/>
              </w:rPr>
              <w:t>2)结构工艺：部件排列合理、整齐；导线颜色和截面合理，布放平整，编号合理；接插件牢固；电源进出线符合工程需要；维修安全及方便；具备抗震措施。</w:t>
            </w:r>
          </w:p>
          <w:p>
            <w:pPr>
              <w:jc w:val="left"/>
            </w:pPr>
            <w:r>
              <w:rPr>
                <w:color w:val="000000"/>
                <w:sz w:val="21"/>
              </w:rPr>
              <w:t>3)机架组装：有防振加固安装孔，接地应用铜质螺母，其直径≥M8。</w:t>
            </w:r>
          </w:p>
          <w:p>
            <w:pPr>
              <w:jc w:val="left"/>
            </w:pPr>
            <w:r>
              <w:rPr>
                <w:color w:val="000000"/>
                <w:sz w:val="21"/>
              </w:rPr>
              <w:t>4)标牌、标记：应平整清晰。</w:t>
            </w:r>
          </w:p>
          <w:p>
            <w:pPr>
              <w:jc w:val="left"/>
            </w:pPr>
            <w:r>
              <w:rPr>
                <w:color w:val="000000"/>
                <w:sz w:val="21"/>
              </w:rPr>
              <w:t>12. 产品要求：提供所投产品的测试报告、节能认证证书、抗震测试证书和报告。</w:t>
            </w:r>
            <w:r>
              <w:br/>
            </w:r>
            <w:r>
              <w:br/>
            </w:r>
            <w:r>
              <w:rPr>
                <w:b/>
                <w:color w:val="000000"/>
                <w:sz w:val="21"/>
              </w:rPr>
              <w:t>四十八、功率模块</w:t>
            </w:r>
            <w:r>
              <w:rPr>
                <w:b/>
                <w:color w:val="000000"/>
                <w:sz w:val="21"/>
              </w:rPr>
              <w:t xml:space="preserve"> </w:t>
            </w:r>
            <w:r>
              <w:rPr>
                <w:b/>
                <w:color w:val="000000"/>
                <w:sz w:val="21"/>
              </w:rPr>
              <w:t>（数量：</w:t>
            </w:r>
            <w:r>
              <w:rPr>
                <w:b/>
                <w:color w:val="000000"/>
                <w:sz w:val="21"/>
              </w:rPr>
              <w:t>3个）</w:t>
            </w:r>
            <w:r>
              <w:br/>
            </w:r>
            <w:r>
              <w:rPr>
                <w:color w:val="000000"/>
                <w:sz w:val="21"/>
              </w:rPr>
              <w:t>1.</w:t>
            </w:r>
            <w:r>
              <w:rPr>
                <w:color w:val="000000"/>
                <w:sz w:val="21"/>
              </w:rPr>
              <w:t>40KVA 功率模块,</w:t>
            </w:r>
            <w:r>
              <w:rPr>
                <w:color w:val="000000"/>
                <w:sz w:val="21"/>
              </w:rPr>
              <w:t>高度</w:t>
            </w:r>
            <w:r>
              <w:rPr>
                <w:color w:val="000000"/>
                <w:sz w:val="21"/>
              </w:rPr>
              <w:t>3U</w:t>
            </w:r>
            <w:r>
              <w:rPr>
                <w:color w:val="000000"/>
                <w:sz w:val="21"/>
              </w:rPr>
              <w:t>；</w:t>
            </w:r>
          </w:p>
          <w:p>
            <w:pPr>
              <w:jc w:val="left"/>
            </w:pPr>
            <w:r>
              <w:rPr>
                <w:color w:val="000000"/>
                <w:sz w:val="21"/>
              </w:rPr>
              <w:t>2.系统容量支持分期部署，降低用户初始投资成本；</w:t>
            </w:r>
          </w:p>
          <w:p>
            <w:pPr>
              <w:jc w:val="left"/>
            </w:pPr>
            <w:r>
              <w:rPr>
                <w:color w:val="000000"/>
                <w:sz w:val="21"/>
              </w:rPr>
              <w:t>3.功率模块，旁路模块均可快速更换，便于维护；</w:t>
            </w:r>
            <w:r>
              <w:br/>
            </w:r>
            <w:r>
              <w:br/>
            </w:r>
            <w:r>
              <w:rPr>
                <w:b/>
                <w:color w:val="000000"/>
                <w:sz w:val="21"/>
              </w:rPr>
              <w:t>四十九、网路管理卡</w:t>
            </w:r>
            <w:r>
              <w:rPr>
                <w:b/>
                <w:color w:val="000000"/>
                <w:sz w:val="21"/>
              </w:rPr>
              <w:t xml:space="preserve"> </w:t>
            </w:r>
            <w:r>
              <w:rPr>
                <w:b/>
                <w:color w:val="000000"/>
                <w:sz w:val="21"/>
              </w:rPr>
              <w:t>（数量：</w:t>
            </w:r>
            <w:r>
              <w:rPr>
                <w:b/>
                <w:color w:val="000000"/>
                <w:sz w:val="21"/>
              </w:rPr>
              <w:t>1块）</w:t>
            </w:r>
            <w:r>
              <w:br/>
            </w:r>
            <w:r>
              <w:rPr>
                <w:color w:val="000000"/>
                <w:sz w:val="21"/>
              </w:rPr>
              <w:t>UPS远程网络管理卡，附带管理软件，可通过</w:t>
            </w:r>
            <w:r>
              <w:rPr>
                <w:color w:val="000000"/>
                <w:sz w:val="21"/>
              </w:rPr>
              <w:t>WEB</w:t>
            </w:r>
            <w:r>
              <w:rPr>
                <w:color w:val="000000"/>
                <w:sz w:val="21"/>
              </w:rPr>
              <w:t>功能来进行管理，</w:t>
            </w:r>
            <w:r>
              <w:rPr>
                <w:sz w:val="21"/>
              </w:rPr>
              <w:t>≥</w:t>
            </w:r>
            <w:r>
              <w:rPr>
                <w:color w:val="000000"/>
                <w:sz w:val="21"/>
              </w:rPr>
              <w:t>1</w:t>
            </w:r>
            <w:r>
              <w:rPr>
                <w:color w:val="000000"/>
                <w:sz w:val="21"/>
              </w:rPr>
              <w:t>0/100</w:t>
            </w:r>
            <w:r>
              <w:rPr>
                <w:color w:val="000000"/>
                <w:sz w:val="21"/>
              </w:rPr>
              <w:t>MB</w:t>
            </w:r>
            <w:r>
              <w:rPr>
                <w:color w:val="000000"/>
                <w:sz w:val="21"/>
              </w:rPr>
              <w:t>/</w:t>
            </w:r>
            <w:r>
              <w:rPr>
                <w:color w:val="000000"/>
                <w:sz w:val="21"/>
              </w:rPr>
              <w:t>S以太网自适应。</w:t>
            </w:r>
            <w:r>
              <w:br/>
            </w:r>
            <w:r>
              <w:br/>
            </w:r>
            <w:r>
              <w:rPr>
                <w:b/>
                <w:color w:val="000000"/>
                <w:sz w:val="21"/>
              </w:rPr>
              <w:t>五十、阀控式铅酸电池</w:t>
            </w:r>
            <w:r>
              <w:rPr>
                <w:b/>
                <w:color w:val="000000"/>
                <w:sz w:val="21"/>
              </w:rPr>
              <w:t xml:space="preserve"> </w:t>
            </w:r>
            <w:r>
              <w:rPr>
                <w:b/>
                <w:color w:val="000000"/>
                <w:sz w:val="21"/>
              </w:rPr>
              <w:t>（数量：</w:t>
            </w:r>
            <w:r>
              <w:rPr>
                <w:b/>
                <w:color w:val="000000"/>
                <w:sz w:val="21"/>
              </w:rPr>
              <w:t>64节）</w:t>
            </w:r>
            <w:r>
              <w:br/>
            </w:r>
            <w:r>
              <w:rPr>
                <w:color w:val="000000"/>
                <w:sz w:val="21"/>
              </w:rPr>
              <w:t>12V120Ah，要求电池为密封的阀控铅酸免维护电池，设计浮充寿命为25℃情况下不低于10年。</w:t>
            </w:r>
            <w:r>
              <w:br/>
            </w:r>
            <w:r>
              <w:br/>
            </w:r>
            <w:r>
              <w:rPr>
                <w:b/>
                <w:color w:val="000000"/>
                <w:sz w:val="21"/>
              </w:rPr>
              <w:t>五十一、电池架</w:t>
            </w:r>
            <w:r>
              <w:rPr>
                <w:b/>
                <w:color w:val="000000"/>
                <w:sz w:val="21"/>
              </w:rPr>
              <w:t>（数量：</w:t>
            </w:r>
            <w:r>
              <w:rPr>
                <w:b/>
                <w:color w:val="000000"/>
                <w:sz w:val="21"/>
              </w:rPr>
              <w:t>2个）</w:t>
            </w:r>
            <w:r>
              <w:br/>
            </w:r>
            <w:r>
              <w:rPr>
                <w:color w:val="000000"/>
                <w:sz w:val="21"/>
              </w:rPr>
              <w:t>安装</w:t>
            </w:r>
            <w:r>
              <w:rPr>
                <w:color w:val="000000"/>
                <w:sz w:val="21"/>
              </w:rPr>
              <w:t>32节120Ah电池，定制四层双列摆放。</w:t>
            </w:r>
            <w:r>
              <w:br/>
            </w:r>
            <w:r>
              <w:br/>
            </w:r>
            <w:r>
              <w:rPr>
                <w:b/>
                <w:color w:val="000000"/>
                <w:sz w:val="21"/>
              </w:rPr>
              <w:t>五十二、电池开关（数量：</w:t>
            </w:r>
            <w:r>
              <w:rPr>
                <w:b/>
                <w:color w:val="000000"/>
                <w:sz w:val="21"/>
              </w:rPr>
              <w:t>2套）</w:t>
            </w:r>
            <w:r>
              <w:br/>
            </w:r>
            <w:r>
              <w:rPr>
                <w:b/>
                <w:sz w:val="21"/>
              </w:rPr>
              <w:t>每套含：</w:t>
            </w:r>
            <w:r>
              <w:rPr>
                <w:color w:val="000000"/>
                <w:sz w:val="21"/>
              </w:rPr>
              <w:t>配套</w:t>
            </w:r>
            <w:r>
              <w:rPr>
                <w:color w:val="000000"/>
                <w:sz w:val="21"/>
              </w:rPr>
              <w:t>UPS电池开关，具备空开功能，防雷防浪涌</w:t>
            </w:r>
            <w:r>
              <w:rPr>
                <w:color w:val="000000"/>
                <w:sz w:val="21"/>
              </w:rPr>
              <w:t>。</w:t>
            </w:r>
          </w:p>
          <w:p>
            <w:pPr>
              <w:jc w:val="left"/>
            </w:pPr>
            <w:r>
              <w:br/>
            </w:r>
            <w:r>
              <w:rPr>
                <w:b/>
                <w:color w:val="000000"/>
                <w:sz w:val="21"/>
              </w:rPr>
              <w:t>五十三、加深组件（数量：</w:t>
            </w:r>
            <w:r>
              <w:rPr>
                <w:b/>
                <w:color w:val="000000"/>
                <w:sz w:val="21"/>
              </w:rPr>
              <w:t>1套）</w:t>
            </w:r>
            <w:r>
              <w:br/>
            </w:r>
            <w:r>
              <w:rPr>
                <w:color w:val="000000"/>
                <w:sz w:val="21"/>
              </w:rPr>
              <w:t>加深尾框，深度由</w:t>
            </w:r>
            <w:r>
              <w:rPr>
                <w:color w:val="000000"/>
                <w:sz w:val="21"/>
              </w:rPr>
              <w:t>1100mm加深为1200mm,满足6套空调的组件。</w:t>
            </w:r>
            <w:r>
              <w:br/>
            </w:r>
            <w:r>
              <w:br/>
            </w:r>
            <w:r>
              <w:rPr>
                <w:b/>
                <w:sz w:val="21"/>
              </w:rPr>
              <w:t>五十四、列间空调室外机（数量：</w:t>
            </w:r>
            <w:r>
              <w:rPr>
                <w:b/>
                <w:sz w:val="21"/>
              </w:rPr>
              <w:t>6台）</w:t>
            </w:r>
            <w:r>
              <w:br/>
            </w:r>
            <w:r>
              <w:rPr>
                <w:sz w:val="21"/>
              </w:rPr>
              <w:t>适合夏季室外环境温度</w:t>
            </w:r>
            <w:r>
              <w:rPr>
                <w:sz w:val="21"/>
              </w:rPr>
              <w:t>40℃使用</w:t>
            </w:r>
          </w:p>
          <w:p>
            <w:pPr>
              <w:jc w:val="left"/>
            </w:pPr>
            <w:r>
              <w:rPr>
                <w:sz w:val="21"/>
              </w:rPr>
              <w:t>1）材质：室外机框架应用全铝结构，具有良好的刚性和防腐性能，适应恶劣环境。</w:t>
            </w:r>
          </w:p>
          <w:p>
            <w:pPr>
              <w:jc w:val="left"/>
            </w:pPr>
            <w:r>
              <w:rPr>
                <w:sz w:val="21"/>
              </w:rPr>
              <w:t>2）电源形式：380-415V/3/50,380-415V/3/60,440-480V/3/60。满载电流（A）：≤2A。</w:t>
            </w:r>
          </w:p>
          <w:p>
            <w:pPr>
              <w:jc w:val="left"/>
            </w:pPr>
            <w:r>
              <w:rPr>
                <w:sz w:val="21"/>
              </w:rPr>
              <w:t>3）室外运行环境：温度-30℃—﹢45℃，湿度：≤95%RH。</w:t>
            </w:r>
          </w:p>
          <w:p>
            <w:pPr>
              <w:jc w:val="left"/>
            </w:pPr>
            <w:r>
              <w:rPr>
                <w:sz w:val="21"/>
              </w:rPr>
              <w:t>4）室外风机应可根据室外温度无级调速，减少风机能耗。</w:t>
            </w:r>
            <w:r>
              <w:br/>
            </w:r>
            <w:r>
              <w:br/>
            </w:r>
            <w:r>
              <w:rPr>
                <w:b/>
                <w:sz w:val="21"/>
              </w:rPr>
              <w:t>五十五、列间空调室内机（数量：</w:t>
            </w:r>
            <w:r>
              <w:rPr>
                <w:b/>
                <w:sz w:val="21"/>
              </w:rPr>
              <w:t>6台）</w:t>
            </w:r>
            <w:r>
              <w:br/>
            </w:r>
            <w:r>
              <w:rPr>
                <w:sz w:val="21"/>
              </w:rPr>
              <w:t>1.列间空调总冷量（KW）≥42kW。需提供投标产品宣传彩页证明。</w:t>
            </w:r>
          </w:p>
          <w:p>
            <w:pPr>
              <w:jc w:val="left"/>
            </w:pPr>
            <w:r>
              <w:rPr>
                <w:sz w:val="21"/>
              </w:rPr>
              <w:t>2．每台列间空调配置不少于8台EC风机，请提供相关证明；</w:t>
            </w:r>
          </w:p>
          <w:p>
            <w:pPr>
              <w:jc w:val="left"/>
            </w:pPr>
            <w:r>
              <w:rPr>
                <w:sz w:val="21"/>
              </w:rPr>
              <w:t>3．风量（m3/h）≥8500；（需提供证明材料）；</w:t>
            </w:r>
          </w:p>
          <w:p>
            <w:pPr>
              <w:jc w:val="left"/>
            </w:pPr>
            <w:r>
              <w:rPr>
                <w:sz w:val="21"/>
              </w:rPr>
              <w:t>4. 加热量（kW）≥ 6；</w:t>
            </w:r>
          </w:p>
          <w:p>
            <w:pPr>
              <w:jc w:val="left"/>
            </w:pPr>
            <w:r>
              <w:rPr>
                <w:sz w:val="21"/>
              </w:rPr>
              <w:t>5. 加湿量（kg/h）≥ 1.5；</w:t>
            </w:r>
          </w:p>
          <w:p>
            <w:pPr>
              <w:jc w:val="left"/>
            </w:pPr>
            <w:r>
              <w:rPr>
                <w:sz w:val="21"/>
              </w:rPr>
              <w:t>6．制冷剂：采用环保高效R410A的制冷剂</w:t>
            </w:r>
          </w:p>
          <w:p>
            <w:pPr>
              <w:jc w:val="left"/>
            </w:pPr>
            <w:r>
              <w:rPr>
                <w:sz w:val="21"/>
              </w:rPr>
              <w:t>7．送风方式：列间精密空调要求送风方式为水平送风，应标配厂家出风导流板，且送风方向可自由调节。每台列间精密空调都应具有独立的控制系统、显示器、加热器、独立的温湿度传感器。以保证每台空调的正常运行及高精度运行。</w:t>
            </w:r>
          </w:p>
          <w:p>
            <w:pPr>
              <w:jc w:val="left"/>
            </w:pPr>
            <w:r>
              <w:rPr>
                <w:sz w:val="21"/>
              </w:rPr>
              <w:t>8. 整机能效比≥3.5，提供同系列机组第三方报告。</w:t>
            </w:r>
          </w:p>
          <w:p>
            <w:pPr>
              <w:jc w:val="left"/>
            </w:pPr>
            <w:r>
              <w:rPr>
                <w:sz w:val="21"/>
              </w:rPr>
              <w:t>9. 每台列间精密空调均内置不少于2个送风温度传感器和1个回风温湿度传感器。同时，每台空调可配置不少于10个外置温度传感器，放置于冷通道内各机架的进风侧，对机架进风温度进行监测；</w:t>
            </w:r>
          </w:p>
          <w:p>
            <w:pPr>
              <w:jc w:val="left"/>
            </w:pPr>
            <w:r>
              <w:rPr>
                <w:sz w:val="21"/>
              </w:rPr>
              <w:t>10.列间空调可提供不少于六种控制方式来调节制冷量输出，实现微模块内杜绝热点和高效节能。请提供相关说明材料。</w:t>
            </w:r>
          </w:p>
          <w:p>
            <w:pPr>
              <w:jc w:val="left"/>
            </w:pPr>
            <w:r>
              <w:rPr>
                <w:sz w:val="21"/>
              </w:rPr>
              <w:t>11. 机房专用空调应具有高效节能性，压缩机采用的高质量涡旋压缩机，具有较高的能效比。</w:t>
            </w:r>
          </w:p>
          <w:p>
            <w:pPr>
              <w:jc w:val="left"/>
            </w:pPr>
            <w:r>
              <w:rPr>
                <w:sz w:val="21"/>
              </w:rPr>
              <w:t>12.风机形式：混流直流EC风机。</w:t>
            </w:r>
          </w:p>
          <w:p>
            <w:pPr>
              <w:jc w:val="left"/>
            </w:pPr>
            <w:r>
              <w:rPr>
                <w:sz w:val="21"/>
              </w:rPr>
              <w:t>13. 同一区域可以将不低于16台机组进行统一控制、轮巡管理。控制功能包括：备份自动切换功能，当群组中机组发生故障时，备份机组自动投入运行，提高空调系统的可靠性；轮巡功能：定时切换备份机组。</w:t>
            </w:r>
          </w:p>
          <w:p>
            <w:pPr>
              <w:jc w:val="left"/>
            </w:pPr>
            <w:r>
              <w:rPr>
                <w:sz w:val="21"/>
              </w:rPr>
              <w:t>14.空调机组需具备节能认证、抗震认证证书。</w:t>
            </w:r>
          </w:p>
          <w:p>
            <w:pPr>
              <w:jc w:val="left"/>
            </w:pPr>
            <w:r>
              <w:rPr>
                <w:sz w:val="21"/>
              </w:rPr>
              <w:t>15.蒸发器：采用大面积内螺纹铜管蒸发器，保证换热效率。</w:t>
            </w:r>
          </w:p>
          <w:p>
            <w:pPr>
              <w:jc w:val="left"/>
            </w:pPr>
            <w:r>
              <w:rPr>
                <w:sz w:val="21"/>
              </w:rPr>
              <w:t>16. 监控接口及通讯协议：具备TCP/IP或RS485接口，支持Modbus及SNMP协议。</w:t>
            </w:r>
            <w:r>
              <w:br/>
            </w:r>
            <w:r>
              <w:br/>
            </w:r>
            <w:r>
              <w:rPr>
                <w:b/>
                <w:sz w:val="21"/>
              </w:rPr>
              <w:t>五十六、风冷列间空调（数量：</w:t>
            </w:r>
            <w:r>
              <w:rPr>
                <w:b/>
                <w:sz w:val="21"/>
              </w:rPr>
              <w:t>2台）</w:t>
            </w:r>
            <w:r>
              <w:br/>
            </w:r>
            <w:r>
              <w:rPr>
                <w:sz w:val="21"/>
              </w:rPr>
              <w:t>1、★基本要求：风冷型下送风机房精密空调机组，在室内干球温度24℃，室外冷凝温度45℃工况下，制冷量≥30.1KW、显冷量≥27KW、送风量≥</w:t>
            </w:r>
            <w:r>
              <w:rPr>
                <w:sz w:val="21"/>
              </w:rPr>
              <w:t>9</w:t>
            </w:r>
            <w:r>
              <w:rPr>
                <w:sz w:val="21"/>
              </w:rPr>
              <w:t>000m3/h，采用不受水质影响的远红外加湿器，加湿量≥5kg/h；</w:t>
            </w:r>
          </w:p>
          <w:p>
            <w:pPr>
              <w:jc w:val="left"/>
            </w:pPr>
            <w:r>
              <w:rPr>
                <w:sz w:val="21"/>
              </w:rPr>
              <w:t>2、机械性能：空调机组机柜表面应喷涂均匀、无破损，信号灯、开关、测量显示装置布局合理。部件排列合理、整齐；导线颜色和截面合理，布放平整；接插件牢固；进出线符合工程需要；具备抗震措施。</w:t>
            </w:r>
          </w:p>
          <w:p>
            <w:pPr>
              <w:jc w:val="left"/>
            </w:pPr>
            <w:r>
              <w:rPr>
                <w:sz w:val="21"/>
              </w:rPr>
              <w:t>3、电气性能：输入电压允许波动范围为380V -10%～+15%、频率：50HZ±2HZ。</w:t>
            </w:r>
          </w:p>
          <w:p>
            <w:pPr>
              <w:jc w:val="left"/>
            </w:pPr>
            <w:r>
              <w:rPr>
                <w:sz w:val="21"/>
              </w:rPr>
              <w:t>4、机组适应环境：室内温度：0℃至40℃；室外温度：-15℃至+45℃；湿度：≤95%RH；</w:t>
            </w:r>
          </w:p>
          <w:p>
            <w:pPr>
              <w:jc w:val="left"/>
            </w:pPr>
            <w:r>
              <w:rPr>
                <w:sz w:val="21"/>
              </w:rPr>
              <w:t>5、温湿度控制性能：应能按要求自动调节室内温度、湿度，具有制冷、加热、加湿、除湿等功能。温度调节范围为+17℃～+28℃；温度调节精度±2℃，温度变化率&lt;5℃/小时；湿度调节范围：20～80%RH，湿度调节精度：±5%RH。</w:t>
            </w:r>
          </w:p>
          <w:p>
            <w:pPr>
              <w:jc w:val="left"/>
            </w:pPr>
            <w:r>
              <w:rPr>
                <w:sz w:val="21"/>
              </w:rPr>
              <w:t>6、▲室内风机：采用高效率、高可靠性的后倾离心式的EBM风机，输入功率为1400-1450w</w:t>
            </w:r>
            <w:r>
              <w:rPr>
                <w:sz w:val="21"/>
              </w:rPr>
              <w:t>（根据实际环境自适应变化）</w:t>
            </w:r>
            <w:r>
              <w:rPr>
                <w:sz w:val="21"/>
              </w:rPr>
              <w:t>、整机静压</w:t>
            </w:r>
            <w:r>
              <w:rPr>
                <w:sz w:val="21"/>
              </w:rPr>
              <w:t>0-50Pa、效率为30-40%，提供具有CNAS或CMA认可的第三方机构出具投标同型号的节能产品试验报告佐证，报告需包含静压、输入功率及效率等参数。</w:t>
            </w:r>
          </w:p>
          <w:p>
            <w:pPr>
              <w:jc w:val="left"/>
            </w:pPr>
            <w:r>
              <w:rPr>
                <w:sz w:val="21"/>
              </w:rPr>
              <w:t>7、控制系统：采用模糊逻辑控制或PID调节技术，具有单片机控制方式的先进的PACC微处理控制器，要求为自主研发品牌，不允许外购，以提高系统可靠性，不接受采用可编程（PLC）控制方式，提供具有CNAS或CMA认可的第三方机构出具投标同型号的节能产品试验报告佐证，报告需要包含控制方式。</w:t>
            </w:r>
          </w:p>
          <w:p>
            <w:pPr>
              <w:jc w:val="left"/>
            </w:pPr>
            <w:r>
              <w:rPr>
                <w:sz w:val="21"/>
              </w:rPr>
              <w:t>8、管理功能</w:t>
            </w:r>
          </w:p>
          <w:p>
            <w:pPr>
              <w:jc w:val="left"/>
            </w:pPr>
            <w:r>
              <w:rPr>
                <w:sz w:val="21"/>
              </w:rPr>
              <w:t>1）具有大容量的故障报警记录储存的功能，存储历史告警信息不小于200条，提供投标产品用户手册关键页。</w:t>
            </w:r>
          </w:p>
          <w:p>
            <w:pPr>
              <w:jc w:val="left"/>
            </w:pPr>
            <w:r>
              <w:rPr>
                <w:sz w:val="21"/>
              </w:rPr>
              <w:t>2）具备参数自动保护功能，即使停电后也可以保存运行参数和告警记录。</w:t>
            </w:r>
          </w:p>
          <w:p>
            <w:pPr>
              <w:jc w:val="left"/>
            </w:pPr>
            <w:r>
              <w:rPr>
                <w:sz w:val="21"/>
              </w:rPr>
              <w:t>3）具有过压、欠压等报警及故、障诊断，告警记录功能，自动保护，自动恢复，自动重启动等功能。</w:t>
            </w:r>
          </w:p>
          <w:p>
            <w:pPr>
              <w:jc w:val="left"/>
            </w:pPr>
            <w:r>
              <w:rPr>
                <w:sz w:val="21"/>
              </w:rPr>
              <w:t>4）控制系统应具有多级密码保护功能。</w:t>
            </w:r>
          </w:p>
          <w:p>
            <w:pPr>
              <w:jc w:val="left"/>
            </w:pPr>
            <w:r>
              <w:rPr>
                <w:sz w:val="21"/>
              </w:rPr>
              <w:t>9、压缩机：采用高效涡旋式压缩机，输入功率为</w:t>
            </w:r>
            <w:r>
              <w:rPr>
                <w:sz w:val="21"/>
              </w:rPr>
              <w:t>≥7.50kw</w:t>
            </w:r>
            <w:r>
              <w:rPr>
                <w:sz w:val="21"/>
              </w:rPr>
              <w:t>。提供具有</w:t>
            </w:r>
            <w:r>
              <w:rPr>
                <w:sz w:val="21"/>
              </w:rPr>
              <w:t>CNAS或CMA认可的第三方机构出具投标同型号的节能产品试验报告佐证，报告需包含压缩机类型、输入功率、制冷剂等参数和压缩机螺纹连接方式实物图片。</w:t>
            </w:r>
          </w:p>
          <w:p>
            <w:pPr>
              <w:jc w:val="left"/>
            </w:pPr>
            <w:r>
              <w:rPr>
                <w:sz w:val="21"/>
              </w:rPr>
              <w:t>10、制冷剂：空调机组应采用一等品环保型R410A制冷剂，提供制冷剂厂家的一等品环保合格证明。</w:t>
            </w:r>
          </w:p>
          <w:p>
            <w:pPr>
              <w:jc w:val="left"/>
            </w:pPr>
            <w:r>
              <w:rPr>
                <w:sz w:val="21"/>
              </w:rPr>
              <w:t>11、机房空调具有三遥功能：</w:t>
            </w:r>
          </w:p>
          <w:p>
            <w:pPr>
              <w:jc w:val="left"/>
            </w:pPr>
            <w:r>
              <w:rPr>
                <w:sz w:val="21"/>
              </w:rPr>
              <w:t>a.遥测项目：送风温度、回风温度、送风湿度、回风湿度、显示机组工作状态等；</w:t>
            </w:r>
          </w:p>
          <w:p>
            <w:pPr>
              <w:jc w:val="left"/>
            </w:pPr>
            <w:r>
              <w:rPr>
                <w:sz w:val="21"/>
              </w:rPr>
              <w:t>b.遥信项目：开/关机，电压、电流过高/低，回风温度过高/低，回风湿度过高/低，过滤器正常/堵塞，风机正常/故障，压缩机正常/故障等 ；</w:t>
            </w:r>
          </w:p>
          <w:p>
            <w:pPr>
              <w:jc w:val="left"/>
            </w:pPr>
            <w:r>
              <w:rPr>
                <w:sz w:val="21"/>
              </w:rPr>
              <w:t>c.遥控项目：空调开/关机；</w:t>
            </w:r>
          </w:p>
          <w:p>
            <w:pPr>
              <w:jc w:val="left"/>
            </w:pPr>
            <w:r>
              <w:rPr>
                <w:sz w:val="21"/>
              </w:rPr>
              <w:t>12、具备联动与群控功能</w:t>
            </w:r>
          </w:p>
          <w:p>
            <w:pPr>
              <w:jc w:val="left"/>
            </w:pPr>
            <w:r>
              <w:rPr>
                <w:sz w:val="21"/>
              </w:rPr>
              <w:t>a、具备微电脑控制器现场联控不小于32台空调机组，多种联控模式可根据机房现场情况进行选择，以实现节能和降低制冷系统的全寿命成本；</w:t>
            </w:r>
          </w:p>
          <w:p>
            <w:pPr>
              <w:jc w:val="left"/>
            </w:pPr>
            <w:r>
              <w:rPr>
                <w:sz w:val="21"/>
              </w:rPr>
              <w:t>b、备份：自动切换功能，当群组中机组发生故障时，备份机组自动投入运行，提高 空调系统的可靠性；</w:t>
            </w:r>
          </w:p>
          <w:p>
            <w:pPr>
              <w:jc w:val="left"/>
            </w:pPr>
            <w:r>
              <w:rPr>
                <w:sz w:val="21"/>
              </w:rPr>
              <w:t>c、轮巡：定时切换备份机组；</w:t>
            </w:r>
          </w:p>
          <w:p>
            <w:pPr>
              <w:jc w:val="left"/>
            </w:pPr>
            <w:r>
              <w:rPr>
                <w:sz w:val="21"/>
              </w:rPr>
              <w:t>d、层叠：根据机房内热负荷 的变化自动控制机组中空调机的运行数量；</w:t>
            </w:r>
          </w:p>
          <w:p>
            <w:pPr>
              <w:jc w:val="left"/>
            </w:pPr>
            <w:r>
              <w:rPr>
                <w:sz w:val="21"/>
              </w:rPr>
              <w:t>e、避免竞争运行：避免同一机房内多台空调机同时运行在相反的运行状态（制冷/加热、加湿/除湿），达到节能的目的；</w:t>
            </w:r>
          </w:p>
          <w:p>
            <w:pPr>
              <w:jc w:val="left"/>
            </w:pPr>
            <w:r>
              <w:rPr>
                <w:sz w:val="21"/>
              </w:rPr>
              <w:t>13、通信接口：机组控制主板标配内置RS485接口，提供免费标准的通信协议；能够实现灵活的主备机切换功能，实现机组自动切换、轮流值班功能；方便的远程开关机和管理功能，远程告警及查询和远程故障处理及消声；提供主板内置RS485端口用户手册关键页和实物照片。</w:t>
            </w:r>
          </w:p>
          <w:p>
            <w:pPr>
              <w:jc w:val="left"/>
            </w:pPr>
            <w:r>
              <w:rPr>
                <w:sz w:val="21"/>
              </w:rPr>
              <w:t>14、过滤网：过滤网应紧贴蒸发盘管安装，面积与蒸发器面积相等，降低气流阻力，减少风机功率，提供过滤网安装位置实物图片。</w:t>
            </w:r>
          </w:p>
          <w:p>
            <w:pPr>
              <w:jc w:val="left"/>
            </w:pPr>
            <w:r>
              <w:rPr>
                <w:sz w:val="21"/>
              </w:rPr>
              <w:t>15、蒸发器：采用V型大面积微通道蒸发器，使蒸发器表面的空气分配更加均衡，使热交换更快，更有效率，提供产品用户手册系统结构布局图和实物照片。</w:t>
            </w:r>
          </w:p>
          <w:p>
            <w:pPr>
              <w:jc w:val="left"/>
            </w:pPr>
            <w:r>
              <w:rPr>
                <w:sz w:val="21"/>
              </w:rPr>
              <w:t>16、可靠性要求：机房精密空调系统应具有高可靠性，要求机组平均无故障时间MTBF≥10万小时，提供蒸发器的爆破实验测试报告。</w:t>
            </w:r>
          </w:p>
          <w:p>
            <w:pPr>
              <w:jc w:val="left"/>
            </w:pPr>
            <w:r>
              <w:rPr>
                <w:sz w:val="21"/>
              </w:rPr>
              <w:t>17、换热管：室内机换热器应采用微通道换热管型，室内机蒸发器翅片应采用开窗片式，蒸发器设计压力均为4100Kpa，换热管直径及壁厚32/1.3mm,提</w:t>
            </w:r>
            <w:r>
              <w:rPr>
                <w:sz w:val="21"/>
              </w:rPr>
              <w:t>供第三方检测机构节能产品试验报告，报告需包含换热管型、翅片片型、设计压力和管壁</w:t>
            </w:r>
            <w:r>
              <w:rPr>
                <w:sz w:val="21"/>
              </w:rPr>
              <w:t>厚等参数。</w:t>
            </w:r>
          </w:p>
          <w:p>
            <w:pPr>
              <w:jc w:val="left"/>
            </w:pPr>
            <w:r>
              <w:rPr>
                <w:sz w:val="21"/>
              </w:rPr>
              <w:t>18、节能指标：空调压缩机能效比COP值≥3.2，空调机组全年能效比AEER≥4.0，提供具有CNAS或CMA认可的第三方机构出具投标同型号的节能产品试验报告佐证，报告需包含COP、AEER等参数。</w:t>
            </w:r>
          </w:p>
          <w:p>
            <w:pPr>
              <w:jc w:val="left"/>
            </w:pPr>
            <w:r>
              <w:rPr>
                <w:sz w:val="21"/>
              </w:rPr>
              <w:t>19、室外机：具有良好的刚性和防腐性能，适应多种环境条件,安装方式支持可水平或垂直安装，室外机选配须按照广东年平均温度40℃或以上；</w:t>
            </w:r>
          </w:p>
          <w:p>
            <w:pPr>
              <w:jc w:val="left"/>
            </w:pPr>
            <w:r>
              <w:rPr>
                <w:sz w:val="21"/>
              </w:rPr>
              <w:t>20、冷凝器：风冷冷凝器的风机电机、风机调速器、压力控制器等应有良好的防水性能，采用内螺纹管套非亲水翅片。</w:t>
            </w:r>
          </w:p>
          <w:p>
            <w:pPr>
              <w:jc w:val="left"/>
            </w:pPr>
            <w:r>
              <w:rPr>
                <w:sz w:val="21"/>
              </w:rPr>
              <w:t>21、室外风机：采用无级变速控制装置，全调速、低噪音。风扇调速装置，可根据冷凝压力的高低无级调节风机的转速，以保证系统冷凝压力的稳定。</w:t>
            </w:r>
          </w:p>
          <w:p>
            <w:pPr>
              <w:jc w:val="left"/>
            </w:pPr>
            <w:r>
              <w:rPr>
                <w:sz w:val="21"/>
              </w:rPr>
              <w:t>22、抗震能力：空调机组抗震能力应达到≥9级烈度，提供投标产品同系列的信息通信设备抗震性能合格证。</w:t>
            </w:r>
          </w:p>
          <w:p>
            <w:pPr>
              <w:jc w:val="left"/>
            </w:pPr>
            <w:r>
              <w:rPr>
                <w:sz w:val="21"/>
              </w:rPr>
              <w:t>23、膨胀阀：采用热力膨胀阀，同时取温度和压力信号，精准调节制冷剂流量，提供产品用户手册关键页。</w:t>
            </w:r>
          </w:p>
          <w:p>
            <w:pPr>
              <w:jc w:val="left"/>
            </w:pPr>
            <w:r>
              <w:rPr>
                <w:sz w:val="21"/>
              </w:rPr>
              <w:t>24、维护特性：完全100%正面维护，背面和侧面不需要维护空间。</w:t>
            </w:r>
          </w:p>
          <w:p>
            <w:pPr>
              <w:jc w:val="left"/>
            </w:pPr>
            <w:r>
              <w:rPr>
                <w:sz w:val="21"/>
              </w:rPr>
              <w:t>25、空气洁净度：空气过滤器采用不锈钢材料外框，可多次冲洗功能，洁净能力达到G4等级。</w:t>
            </w:r>
          </w:p>
          <w:p>
            <w:pPr>
              <w:jc w:val="left"/>
            </w:pPr>
            <w:r>
              <w:rPr>
                <w:sz w:val="21"/>
              </w:rPr>
              <w:t>26、显示屏：空调机组独立配备物理按键的240×128点阵蓝色背光液晶显示操作屏，能显示温湿度曲线，具有图形显示机组内各组件的运行状态的功能，提供机组物理按键的显示屏实物图片和产品用户手册关键页；</w:t>
            </w:r>
          </w:p>
          <w:p>
            <w:pPr>
              <w:jc w:val="left"/>
            </w:pPr>
            <w:r>
              <w:rPr>
                <w:sz w:val="21"/>
              </w:rPr>
              <w:t>27、漏水告警：机组应标配漏水告警器，探测到漏水时，机组应声光报警，并自动关闭加湿上水系统。</w:t>
            </w:r>
          </w:p>
          <w:p>
            <w:pPr>
              <w:jc w:val="left"/>
            </w:pPr>
            <w:r>
              <w:rPr>
                <w:sz w:val="21"/>
              </w:rPr>
              <w:t>28、设备尺寸：现场安装条件限制，室内机尺寸（宽*深*高mm）≤1000*1000*2000mm。</w:t>
            </w:r>
          </w:p>
          <w:p>
            <w:pPr>
              <w:jc w:val="left"/>
            </w:pPr>
            <w:r>
              <w:rPr>
                <w:sz w:val="21"/>
              </w:rPr>
              <w:t>29、设备净重：为保证空调机组用材质量，室内机组净重≥360kg，提供产品铭牌参数照片；</w:t>
            </w:r>
          </w:p>
          <w:p>
            <w:pPr>
              <w:jc w:val="left"/>
            </w:pPr>
            <w:r>
              <w:rPr>
                <w:sz w:val="21"/>
              </w:rPr>
              <w:t>30、产品自主产权：投标设备须为自主设计、研发、生产能力，不得提供OEM/ODM产品，提供节能产品认证证书中的申请人、制造商和生产企业应为同一主体公司。</w:t>
            </w:r>
          </w:p>
          <w:p>
            <w:pPr>
              <w:jc w:val="left"/>
            </w:pPr>
            <w:r>
              <w:rPr>
                <w:sz w:val="21"/>
              </w:rPr>
              <w:t>31、运行电流：机组满负荷运行最大电流为32A，制冷消耗功率为10kw,提供产品铭牌参数佐证。</w:t>
            </w:r>
          </w:p>
          <w:p>
            <w:pPr>
              <w:jc w:val="left"/>
            </w:pPr>
            <w:r>
              <w:rPr>
                <w:sz w:val="21"/>
              </w:rPr>
              <w:t>32、服务能力：提供机房精密空调产品至少三年质保期，并且具备本地化售后服务点及备品备件仓库，保证能提供7×24小时应急响应现场服务及备品备件应急响应能力，提供相关佐证材料。</w:t>
            </w:r>
          </w:p>
          <w:p>
            <w:pPr>
              <w:jc w:val="left"/>
            </w:pPr>
            <w:r>
              <w:rPr>
                <w:sz w:val="21"/>
              </w:rPr>
              <w:t>33、品质要求</w:t>
            </w:r>
          </w:p>
          <w:p>
            <w:pPr>
              <w:jc w:val="left"/>
            </w:pPr>
            <w:r>
              <w:rPr>
                <w:sz w:val="21"/>
              </w:rPr>
              <w:t>1）所投的机房精密空调产品应为同一品牌、同一系列高品质产品，提供佐证材料。</w:t>
            </w:r>
          </w:p>
          <w:p>
            <w:pPr>
              <w:jc w:val="left"/>
            </w:pPr>
            <w:r>
              <w:rPr>
                <w:sz w:val="21"/>
              </w:rPr>
              <w:t>2）提供产品公开彩页并提供官方可查询网址为准。</w:t>
            </w:r>
          </w:p>
          <w:p>
            <w:pPr>
              <w:jc w:val="left"/>
            </w:pPr>
            <w:r>
              <w:rPr>
                <w:sz w:val="21"/>
              </w:rPr>
              <w:t>3）具有CNAS实验室国家认可证书(实验室测试资质须含《GB/T 19413-2010计算机和数据处理机房用单元式空气调节机》的测试资质，且冷量段相符合)，提供证书报告证明。</w:t>
            </w:r>
          </w:p>
          <w:p>
            <w:pPr>
              <w:jc w:val="left"/>
            </w:pPr>
            <w:r>
              <w:rPr>
                <w:sz w:val="21"/>
              </w:rPr>
              <w:t>34、安装安规</w:t>
            </w:r>
          </w:p>
          <w:p>
            <w:pPr>
              <w:jc w:val="left"/>
            </w:pPr>
            <w:r>
              <w:rPr>
                <w:sz w:val="21"/>
              </w:rPr>
              <w:t>1)中标人负责本项目货物运输、搬运、安装调试所需附材(如铜管、保温管、制冷剂、信号线等)，安装标准严格执行厂商或国标，开机调试均由中标人负责。</w:t>
            </w:r>
          </w:p>
          <w:p>
            <w:pPr>
              <w:jc w:val="left"/>
            </w:pPr>
            <w:r>
              <w:rPr>
                <w:sz w:val="21"/>
              </w:rPr>
              <w:t>2)中标人需负责对输入线缆更换及原旧空调拆搬等服务工作。</w:t>
            </w:r>
            <w:r>
              <w:br/>
            </w:r>
            <w:r>
              <w:br/>
            </w:r>
            <w:r>
              <w:rPr>
                <w:b/>
                <w:color w:val="000000"/>
                <w:sz w:val="21"/>
              </w:rPr>
              <w:t>五十七、数字</w:t>
            </w:r>
            <w:r>
              <w:rPr>
                <w:b/>
                <w:color w:val="000000"/>
                <w:sz w:val="21"/>
              </w:rPr>
              <w:t>KVM切换器（数量：4台）</w:t>
            </w:r>
            <w:r>
              <w:br/>
            </w:r>
            <w:r>
              <w:rPr>
                <w:b/>
                <w:sz w:val="21"/>
              </w:rPr>
              <w:t>每台数字</w:t>
            </w:r>
            <w:r>
              <w:rPr>
                <w:b/>
                <w:sz w:val="21"/>
              </w:rPr>
              <w:t>KVM切换器：</w:t>
            </w:r>
            <w:r>
              <w:br/>
            </w:r>
            <w:r>
              <w:rPr>
                <w:color w:val="000000"/>
                <w:sz w:val="21"/>
              </w:rPr>
              <w:t>1)显示分辨率：远程分辨率最高支持：1920*1200@60HZ；</w:t>
            </w:r>
          </w:p>
          <w:p>
            <w:pPr>
              <w:jc w:val="left"/>
            </w:pPr>
            <w:r>
              <w:rPr>
                <w:color w:val="000000"/>
                <w:sz w:val="21"/>
              </w:rPr>
              <w:t>2)单台设备至少支持2个远程用户和本地3组用户并发操作，提供6组USB接口，1组PS2键鼠接口，并提供2个VGA输出显示，1组DVI视频显示，1组HDMI视频显示接口；</w:t>
            </w:r>
          </w:p>
          <w:p>
            <w:pPr>
              <w:jc w:val="left"/>
            </w:pPr>
            <w:r>
              <w:rPr>
                <w:color w:val="000000"/>
                <w:sz w:val="21"/>
              </w:rPr>
              <w:t>3)双千兆网络接口，支持10/100/1000M网络接口设计；</w:t>
            </w:r>
          </w:p>
          <w:p>
            <w:pPr>
              <w:jc w:val="left"/>
            </w:pPr>
            <w:r>
              <w:rPr>
                <w:color w:val="000000"/>
                <w:sz w:val="21"/>
              </w:rPr>
              <w:t>4)支持双电源接入设计，提高设备的可靠性；</w:t>
            </w:r>
          </w:p>
          <w:p>
            <w:pPr>
              <w:jc w:val="left"/>
            </w:pPr>
            <w:r>
              <w:rPr>
                <w:color w:val="000000"/>
                <w:sz w:val="21"/>
              </w:rPr>
              <w:t>5)KVM系统设备掉电或出现故障，仍能保证服务器鼠标、键盘、显示器处于激活状态，换上备用即可重新管理服务器，而不影响服务器的正常工作；</w:t>
            </w:r>
            <w:r>
              <w:br/>
            </w:r>
            <w:r>
              <w:br/>
            </w:r>
            <w:r>
              <w:rPr>
                <w:b/>
                <w:color w:val="000000"/>
                <w:sz w:val="21"/>
              </w:rPr>
              <w:t>五十八、</w:t>
            </w:r>
            <w:r>
              <w:rPr>
                <w:b/>
                <w:color w:val="000000"/>
                <w:sz w:val="21"/>
              </w:rPr>
              <w:t>KVM模块（数量：120台）</w:t>
            </w:r>
            <w:r>
              <w:br/>
            </w:r>
            <w:r>
              <w:rPr>
                <w:color w:val="000000"/>
                <w:sz w:val="21"/>
              </w:rPr>
              <w:t>电脑端模块</w:t>
            </w:r>
            <w:r>
              <w:rPr>
                <w:color w:val="000000"/>
                <w:sz w:val="21"/>
              </w:rPr>
              <w:t>- USB, 支持虚拟媒体, 支持50米传输距离, 分辨率达1600 x 1200。</w:t>
            </w:r>
            <w:r>
              <w:br/>
            </w:r>
            <w:r>
              <w:br/>
            </w:r>
            <w:r>
              <w:rPr>
                <w:b/>
                <w:color w:val="000000"/>
                <w:sz w:val="21"/>
              </w:rPr>
              <w:t>五十九、串口管理主机（数量：</w:t>
            </w:r>
            <w:r>
              <w:rPr>
                <w:b/>
                <w:color w:val="000000"/>
                <w:sz w:val="21"/>
              </w:rPr>
              <w:t>1台）</w:t>
            </w:r>
            <w:r>
              <w:br/>
            </w:r>
            <w:r>
              <w:rPr>
                <w:color w:val="000000"/>
                <w:sz w:val="21"/>
              </w:rPr>
              <w:t>1.1U机架式；</w:t>
            </w:r>
          </w:p>
          <w:p>
            <w:pPr>
              <w:jc w:val="left"/>
            </w:pPr>
            <w:r>
              <w:rPr>
                <w:color w:val="000000"/>
                <w:sz w:val="21"/>
              </w:rPr>
              <w:t>2.双电源双网络接口冗余；</w:t>
            </w:r>
          </w:p>
          <w:p>
            <w:pPr>
              <w:jc w:val="left"/>
            </w:pPr>
            <w:r>
              <w:rPr>
                <w:color w:val="000000"/>
                <w:sz w:val="21"/>
              </w:rPr>
              <w:t>3.支持远程登陆管理操作及调试，支持网线直连Console口设备，无需通过转接头；</w:t>
            </w:r>
          </w:p>
          <w:p>
            <w:pPr>
              <w:jc w:val="left"/>
            </w:pPr>
            <w:r>
              <w:rPr>
                <w:color w:val="000000"/>
                <w:sz w:val="21"/>
              </w:rPr>
              <w:t>4.三级用户访问权限设定，管理更安全；</w:t>
            </w:r>
          </w:p>
          <w:p>
            <w:pPr>
              <w:jc w:val="left"/>
            </w:pPr>
            <w:r>
              <w:rPr>
                <w:color w:val="000000"/>
                <w:sz w:val="21"/>
              </w:rPr>
              <w:t>5.支持VT100控制协议；</w:t>
            </w:r>
          </w:p>
          <w:p>
            <w:pPr>
              <w:jc w:val="left"/>
            </w:pPr>
            <w:r>
              <w:rPr>
                <w:color w:val="000000"/>
                <w:sz w:val="21"/>
              </w:rPr>
              <w:t>6.支持IP地址黑名单过滤功能，增加安全性；</w:t>
            </w:r>
          </w:p>
          <w:p>
            <w:pPr>
              <w:jc w:val="left"/>
            </w:pPr>
            <w:r>
              <w:rPr>
                <w:color w:val="000000"/>
                <w:sz w:val="21"/>
              </w:rPr>
              <w:t>7.支持远程重启设备及固件更新；</w:t>
            </w:r>
          </w:p>
          <w:p>
            <w:pPr>
              <w:jc w:val="left"/>
            </w:pPr>
            <w:r>
              <w:rPr>
                <w:color w:val="000000"/>
                <w:sz w:val="21"/>
              </w:rPr>
              <w:t>8.支持端口命名备注以及位置信息，显示更加直观；</w:t>
            </w:r>
          </w:p>
          <w:p>
            <w:pPr>
              <w:jc w:val="left"/>
            </w:pPr>
            <w:r>
              <w:rPr>
                <w:color w:val="000000"/>
                <w:sz w:val="21"/>
              </w:rPr>
              <w:t>9.WEB提供日志修改记录功能；</w:t>
            </w:r>
          </w:p>
          <w:p>
            <w:pPr>
              <w:jc w:val="left"/>
            </w:pPr>
            <w:r>
              <w:rPr>
                <w:color w:val="000000"/>
                <w:sz w:val="21"/>
              </w:rPr>
              <w:t>10.支持多种浏览器及内核 ，Internet explorer9以上，360，Firefox，chrome等；</w:t>
            </w:r>
          </w:p>
          <w:p>
            <w:pPr>
              <w:jc w:val="left"/>
            </w:pPr>
            <w:r>
              <w:rPr>
                <w:color w:val="000000"/>
                <w:sz w:val="21"/>
              </w:rPr>
              <w:t>11.支持波特率（baud）2400 4800 9600 14400 19200 38400 56000 57600 115200 bps；</w:t>
            </w:r>
          </w:p>
          <w:p>
            <w:pPr>
              <w:jc w:val="left"/>
            </w:pPr>
            <w:r>
              <w:rPr>
                <w:color w:val="000000"/>
                <w:sz w:val="21"/>
              </w:rPr>
              <w:t>12.网页通过图形化界面进行访问更加直观；</w:t>
            </w:r>
          </w:p>
          <w:p>
            <w:pPr>
              <w:jc w:val="left"/>
            </w:pPr>
            <w:r>
              <w:rPr>
                <w:color w:val="000000"/>
                <w:sz w:val="21"/>
              </w:rPr>
              <w:t>13.网页图形界面支持中英文；</w:t>
            </w:r>
          </w:p>
          <w:p>
            <w:pPr>
              <w:jc w:val="left"/>
            </w:pPr>
            <w:r>
              <w:rPr>
                <w:color w:val="000000"/>
                <w:sz w:val="21"/>
              </w:rPr>
              <w:t>14.支持DES 3DES以及AES加密方式；</w:t>
            </w:r>
          </w:p>
          <w:p>
            <w:pPr>
              <w:jc w:val="left"/>
            </w:pPr>
            <w:r>
              <w:rPr>
                <w:color w:val="000000"/>
                <w:sz w:val="21"/>
              </w:rPr>
              <w:t>15.可以整合集控软件进行集中管理控制。</w:t>
            </w:r>
            <w:r>
              <w:br/>
            </w:r>
            <w:r>
              <w:br/>
            </w:r>
            <w:r>
              <w:rPr>
                <w:b/>
                <w:color w:val="000000"/>
                <w:sz w:val="21"/>
              </w:rPr>
              <w:t>六十、串口连接模块（数量：</w:t>
            </w:r>
            <w:r>
              <w:rPr>
                <w:b/>
                <w:color w:val="000000"/>
                <w:sz w:val="21"/>
              </w:rPr>
              <w:t>32个）</w:t>
            </w:r>
            <w:r>
              <w:br/>
            </w:r>
            <w:r>
              <w:rPr>
                <w:color w:val="000000"/>
                <w:sz w:val="21"/>
              </w:rPr>
              <w:t>配套数字服务器</w:t>
            </w:r>
            <w:r>
              <w:rPr>
                <w:color w:val="000000"/>
                <w:sz w:val="21"/>
              </w:rPr>
              <w:t>串口连接模块</w:t>
            </w:r>
            <w:r>
              <w:rPr>
                <w:color w:val="000000"/>
                <w:sz w:val="21"/>
              </w:rPr>
              <w:t>，连接服务器至</w:t>
            </w:r>
            <w:r>
              <w:rPr>
                <w:color w:val="000000"/>
                <w:sz w:val="21"/>
              </w:rPr>
              <w:t>KVM。</w:t>
            </w:r>
            <w:r>
              <w:br/>
            </w:r>
            <w:r>
              <w:br/>
            </w:r>
            <w:r>
              <w:rPr>
                <w:b/>
                <w:color w:val="000000"/>
                <w:sz w:val="21"/>
              </w:rPr>
              <w:t>六十一、</w:t>
            </w:r>
            <w:r>
              <w:rPr>
                <w:b/>
                <w:color w:val="000000"/>
                <w:sz w:val="21"/>
              </w:rPr>
              <w:t>KVM集中控管软件（数量：1个）</w:t>
            </w:r>
            <w:r>
              <w:br/>
            </w:r>
            <w:r>
              <w:rPr>
                <w:color w:val="000000"/>
                <w:sz w:val="21"/>
              </w:rPr>
              <w:t>1)自定义热键远程控制：用户可根据自身的使用环境要求自定义远程快捷热键，并进行远程发送，可方便灵活的实现特殊功能按键的远程控制。</w:t>
            </w:r>
          </w:p>
          <w:p>
            <w:pPr>
              <w:jc w:val="left"/>
            </w:pPr>
            <w:r>
              <w:rPr>
                <w:color w:val="000000"/>
                <w:sz w:val="21"/>
              </w:rPr>
              <w:t>2)单机完整功能：当KVM集中管理系统维护或故障时，数字式KVM交换机单机工作站控制端可提供双通道的冗余设计，可实现物理连接的可靠保证，具备完整的管理功能，提供本地CAT5远程管理和基于IP的远程数字管理，更有效的提供客户多方位和多条件环境下的管理要求，提供日志、安全管理、用户权限管理、通讯加密管理等。</w:t>
            </w:r>
          </w:p>
          <w:p>
            <w:pPr>
              <w:jc w:val="left"/>
            </w:pPr>
            <w:r>
              <w:rPr>
                <w:color w:val="000000"/>
                <w:sz w:val="21"/>
              </w:rPr>
              <w:t>3)设备轮巡：设备需要支持对接入服务器的轮巡功能，对接入服务器的状态进行实时监控</w:t>
            </w:r>
          </w:p>
          <w:p>
            <w:pPr>
              <w:jc w:val="left"/>
            </w:pPr>
            <w:r>
              <w:rPr>
                <w:color w:val="000000"/>
                <w:sz w:val="21"/>
              </w:rPr>
              <w:t>4)访问终端：远程OVER IP控制技术，基于WEB操作管理平台，CAT5远程控制适用于各种操作系统平台应用，方便用户的使用和维护</w:t>
            </w:r>
          </w:p>
          <w:p>
            <w:pPr>
              <w:jc w:val="left"/>
            </w:pPr>
            <w:r>
              <w:rPr>
                <w:color w:val="000000"/>
                <w:sz w:val="21"/>
              </w:rPr>
              <w:t>5)快速访问：设备支持键入IP地址，可以直接登陆目标服务器的功能</w:t>
            </w:r>
          </w:p>
          <w:p>
            <w:pPr>
              <w:jc w:val="both"/>
            </w:pPr>
            <w:r>
              <w:rPr>
                <w:color w:val="000000"/>
                <w:sz w:val="21"/>
              </w:rPr>
              <w:t>6)鼠标同步：具备鼠标精准同步功能，保证操作人员在远程不会产生延迟而流畅地操作服务器。</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管理主机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color w:val="000000"/>
                <w:sz w:val="21"/>
              </w:rPr>
              <w:t>1、 总体要求</w:t>
            </w:r>
          </w:p>
          <w:p>
            <w:pPr>
              <w:jc w:val="left"/>
            </w:pPr>
            <w:r>
              <w:rPr>
                <w:color w:val="000000"/>
                <w:sz w:val="21"/>
              </w:rPr>
              <w:t>（</w:t>
            </w:r>
            <w:r>
              <w:rPr>
                <w:color w:val="000000"/>
                <w:sz w:val="21"/>
              </w:rPr>
              <w:t>1） 管理监控系统应能够监控微模块内的各种智能设备(包括但不限于UPS和机房空调)的运行情况，以及包括温湿度、漏水、红外探测、门磁、机房消防告警等在内的各类模拟量和开关量信号，并设定报警阈值。能进行实时的遥测、遥信、遥控和遥调功能，记录和分析相关监控数据，实现网络化的远程监控。同时在操作间大屏幕显示详细内容参数，在此要求下配置各个子系统所需设备，须详细描述此次项目的监控对象及监控方案；</w:t>
            </w:r>
          </w:p>
          <w:p>
            <w:pPr>
              <w:jc w:val="left"/>
            </w:pPr>
            <w:r>
              <w:rPr>
                <w:color w:val="000000"/>
                <w:sz w:val="21"/>
              </w:rPr>
              <w:t>（</w:t>
            </w:r>
            <w:r>
              <w:rPr>
                <w:color w:val="000000"/>
                <w:sz w:val="21"/>
              </w:rPr>
              <w:t>2） 微模块内环境监测：环境须支持采集点不少于6个温湿度传感器、2条带式漏水感应绳、1个红外微波双鉴入侵探测器、1个门磁传感器。并提供1只声光告警灯作为微模块本地告警用；</w:t>
            </w:r>
          </w:p>
          <w:p>
            <w:pPr>
              <w:jc w:val="left"/>
            </w:pPr>
            <w:r>
              <w:rPr>
                <w:color w:val="000000"/>
                <w:sz w:val="21"/>
              </w:rPr>
              <w:t>（</w:t>
            </w:r>
            <w:r>
              <w:rPr>
                <w:color w:val="000000"/>
                <w:sz w:val="21"/>
              </w:rPr>
              <w:t>3） 微模块PUE计量：动环管理单元应支持监测微模块的PUE值，并提供不少于1000条历史数据的记录和查询，提供证明材料；</w:t>
            </w:r>
          </w:p>
          <w:p>
            <w:pPr>
              <w:jc w:val="left"/>
            </w:pPr>
            <w:r>
              <w:rPr>
                <w:color w:val="000000"/>
                <w:sz w:val="21"/>
              </w:rPr>
              <w:t>（</w:t>
            </w:r>
            <w:r>
              <w:rPr>
                <w:color w:val="000000"/>
                <w:sz w:val="21"/>
              </w:rPr>
              <w:t>4）▲冷通道的一端设置本地触摸屏，触摸屏尺寸不小于15寸，工业电容屏，不允许采用PAD，触摸屏的MTBF大于50000小时。触摸屏上可以显示模块内部PUE值、告警、供电容量、制冷容量、温场等信息。提供触摸屏MTBF的计算书和触摸屏界面截图；</w:t>
            </w:r>
          </w:p>
          <w:p>
            <w:pPr>
              <w:jc w:val="left"/>
            </w:pPr>
            <w:r>
              <w:rPr>
                <w:color w:val="000000"/>
                <w:sz w:val="21"/>
              </w:rPr>
              <w:t>2、 监控功能</w:t>
            </w:r>
          </w:p>
          <w:p>
            <w:pPr>
              <w:jc w:val="left"/>
            </w:pPr>
            <w:r>
              <w:rPr>
                <w:color w:val="000000"/>
                <w:sz w:val="21"/>
              </w:rPr>
              <w:t>（</w:t>
            </w:r>
            <w:r>
              <w:rPr>
                <w:color w:val="000000"/>
                <w:sz w:val="21"/>
              </w:rPr>
              <w:t>1） 动环监控系统应能够监控微模块内的各种智能设备(包括但不限于UPS和行间空调)的运行情况，以及包括温湿度、漏水、红外探测、门磁、机房消防告警等在内的各类模拟量和开关量信号，并设定报警阈值。能进行实时的遥测、遥信、遥控和遥调功能，记录和分析相关监控数据，实现网络化的远程监控；</w:t>
            </w:r>
          </w:p>
          <w:p>
            <w:pPr>
              <w:jc w:val="left"/>
            </w:pPr>
            <w:r>
              <w:rPr>
                <w:color w:val="000000"/>
                <w:sz w:val="21"/>
              </w:rPr>
              <w:t>（</w:t>
            </w:r>
            <w:r>
              <w:rPr>
                <w:color w:val="000000"/>
                <w:sz w:val="21"/>
              </w:rPr>
              <w:t>2） 遥测：压缩机、风机、水泵、加热器、加湿器、去湿器、滤网等的运行状态与参数；空调制冷温度、送风温度、回风温度、送风湿度、回风湿度、风机转速（高/中/低）；</w:t>
            </w:r>
          </w:p>
          <w:p>
            <w:pPr>
              <w:jc w:val="left"/>
            </w:pPr>
            <w:r>
              <w:rPr>
                <w:color w:val="000000"/>
                <w:sz w:val="21"/>
              </w:rPr>
              <w:t>遥信：风机工作状态，故障告警；</w:t>
            </w:r>
          </w:p>
          <w:p>
            <w:pPr>
              <w:jc w:val="left"/>
            </w:pPr>
            <w:r>
              <w:rPr>
                <w:color w:val="000000"/>
                <w:sz w:val="21"/>
              </w:rPr>
              <w:t>遥控：开</w:t>
            </w:r>
            <w:r>
              <w:rPr>
                <w:color w:val="000000"/>
                <w:sz w:val="21"/>
              </w:rPr>
              <w:t>/关机。</w:t>
            </w:r>
          </w:p>
          <w:p>
            <w:pPr>
              <w:jc w:val="left"/>
            </w:pPr>
            <w:r>
              <w:rPr>
                <w:color w:val="000000"/>
                <w:sz w:val="21"/>
              </w:rPr>
              <w:t>3、 动环监控主机性能要求</w:t>
            </w:r>
          </w:p>
          <w:p>
            <w:pPr>
              <w:jc w:val="left"/>
            </w:pPr>
            <w:r>
              <w:rPr>
                <w:color w:val="000000"/>
                <w:sz w:val="21"/>
              </w:rPr>
              <w:t>（</w:t>
            </w:r>
            <w:r>
              <w:rPr>
                <w:color w:val="000000"/>
                <w:sz w:val="21"/>
              </w:rPr>
              <w:t>1）监控采集器可实现Web访问、数字量输入/输出、模拟量输入/输出、传感器、UPS、空调和PDU等设备的接入，提供USB、显示器接口、HDMI等接口，满足TCP/IP、光纤、RS232/485组网方式的要求。</w:t>
            </w:r>
          </w:p>
          <w:p>
            <w:pPr>
              <w:jc w:val="left"/>
            </w:pPr>
            <w:r>
              <w:rPr>
                <w:color w:val="000000"/>
                <w:sz w:val="21"/>
              </w:rPr>
              <w:t>（</w:t>
            </w:r>
            <w:r>
              <w:rPr>
                <w:color w:val="000000"/>
                <w:sz w:val="21"/>
              </w:rPr>
              <w:t>2） 监控采集器应采用双网卡设计，可将监控采集器对机房物理基础设施信息的采集与向BMS楼宇管理系统的上报隔离；</w:t>
            </w:r>
          </w:p>
          <w:p>
            <w:pPr>
              <w:jc w:val="left"/>
            </w:pPr>
            <w:r>
              <w:rPr>
                <w:color w:val="000000"/>
                <w:sz w:val="21"/>
              </w:rPr>
              <w:t>（</w:t>
            </w:r>
            <w:r>
              <w:rPr>
                <w:color w:val="000000"/>
                <w:sz w:val="21"/>
              </w:rPr>
              <w:t>3）监控采集器应采用双电源设计，以提升供电可靠性，须提供相应证明材料。</w:t>
            </w:r>
          </w:p>
          <w:p>
            <w:pPr>
              <w:jc w:val="left"/>
            </w:pPr>
            <w:r>
              <w:rPr>
                <w:color w:val="000000"/>
                <w:sz w:val="21"/>
              </w:rPr>
              <w:t>（</w:t>
            </w:r>
            <w:r>
              <w:rPr>
                <w:color w:val="000000"/>
                <w:sz w:val="21"/>
              </w:rPr>
              <w:t>4）采集器采用插槽式可扩展设计，具备四个插槽。插卡类型包括：串口COM卡、开关量模拟量扩展卡、USB口扩展卡等。</w:t>
            </w:r>
          </w:p>
          <w:p>
            <w:pPr>
              <w:jc w:val="left"/>
            </w:pPr>
            <w:r>
              <w:rPr>
                <w:color w:val="000000"/>
                <w:sz w:val="21"/>
              </w:rPr>
              <w:t>（</w:t>
            </w:r>
            <w:r>
              <w:rPr>
                <w:color w:val="000000"/>
                <w:sz w:val="21"/>
              </w:rPr>
              <w:t>5）★采集器CPU不低于主频</w:t>
            </w:r>
            <w:r>
              <w:rPr>
                <w:sz w:val="21"/>
              </w:rPr>
              <w:t>2.08GHz</w:t>
            </w:r>
            <w:r>
              <w:rPr>
                <w:sz w:val="21"/>
              </w:rPr>
              <w:t>。使用</w:t>
            </w:r>
            <w:r>
              <w:rPr>
                <w:sz w:val="21"/>
              </w:rPr>
              <w:t>Linux系统，具备优良的采集和信号处理能力，内存不少于4G，硬盘不少于32G。</w:t>
            </w:r>
            <w:r>
              <w:rPr>
                <w:color w:val="000000"/>
                <w:sz w:val="21"/>
              </w:rPr>
              <w:t>采集器应具备千兆光纤接口，满足远距离组网的需求。须提供证明材料。</w:t>
            </w:r>
          </w:p>
          <w:p>
            <w:pPr>
              <w:jc w:val="left"/>
            </w:pPr>
            <w:r>
              <w:rPr>
                <w:color w:val="000000"/>
                <w:sz w:val="21"/>
              </w:rPr>
              <w:t>（</w:t>
            </w:r>
            <w:r>
              <w:rPr>
                <w:color w:val="000000"/>
                <w:sz w:val="21"/>
              </w:rPr>
              <w:t>6）为节省网络资源，微模块内的各种智能设备（包括但不限于UPS、行间精密制冷单元、冷通道顶板开启控制器等）及传感器接入监控采集器应全部采用RS485串口通信方式，不占用任何IP地址；</w:t>
            </w:r>
          </w:p>
          <w:p>
            <w:pPr>
              <w:jc w:val="left"/>
            </w:pPr>
            <w:r>
              <w:rPr>
                <w:color w:val="000000"/>
                <w:sz w:val="21"/>
              </w:rPr>
              <w:t>（</w:t>
            </w:r>
            <w:r>
              <w:rPr>
                <w:color w:val="000000"/>
                <w:sz w:val="21"/>
              </w:rPr>
              <w:t>7）本项目中，系统使用的所有采集器和传感器等设备，必须是成熟可靠的量产设备，与微模块为同一厂家生产。</w:t>
            </w:r>
          </w:p>
          <w:p>
            <w:pPr>
              <w:jc w:val="left"/>
            </w:pPr>
            <w:r>
              <w:rPr>
                <w:color w:val="000000"/>
                <w:sz w:val="21"/>
              </w:rPr>
              <w:t>（</w:t>
            </w:r>
            <w:r>
              <w:rPr>
                <w:color w:val="000000"/>
                <w:sz w:val="21"/>
              </w:rPr>
              <w:t>8）动环主机需具有社会公共安全产品认证证书，提供证书扫描件。</w:t>
            </w:r>
          </w:p>
          <w:p>
            <w:pPr>
              <w:jc w:val="left"/>
            </w:pPr>
            <w:r>
              <w:rPr>
                <w:color w:val="000000"/>
                <w:sz w:val="21"/>
              </w:rPr>
              <w:t>（</w:t>
            </w:r>
            <w:r>
              <w:rPr>
                <w:color w:val="000000"/>
                <w:sz w:val="21"/>
              </w:rPr>
              <w:t>9）须提供第三方安全认证机构提供的软件漏洞扫描报告,证明无信息安全隐患</w:t>
            </w:r>
          </w:p>
          <w:p>
            <w:pPr>
              <w:jc w:val="left"/>
            </w:pPr>
            <w:r>
              <w:rPr>
                <w:color w:val="000000"/>
                <w:sz w:val="21"/>
              </w:rPr>
              <w:t>4、系统管理要求</w:t>
            </w:r>
          </w:p>
          <w:p>
            <w:pPr>
              <w:jc w:val="left"/>
            </w:pPr>
            <w:r>
              <w:rPr>
                <w:color w:val="000000"/>
                <w:sz w:val="21"/>
              </w:rPr>
              <w:t>（</w:t>
            </w:r>
            <w:r>
              <w:rPr>
                <w:color w:val="000000"/>
                <w:sz w:val="21"/>
              </w:rPr>
              <w:t>1）告警管理要求：</w:t>
            </w:r>
          </w:p>
          <w:p>
            <w:pPr>
              <w:jc w:val="left"/>
            </w:pPr>
            <w:r>
              <w:rPr>
                <w:color w:val="000000"/>
                <w:sz w:val="21"/>
              </w:rPr>
              <w:t>系统需提供三级告警，一般告警；重要告警；紧急告警。具备告警确认功能，已经确认的告警不再发送告警通知。</w:t>
            </w:r>
          </w:p>
          <w:p>
            <w:pPr>
              <w:jc w:val="left"/>
            </w:pPr>
            <w:r>
              <w:rPr>
                <w:color w:val="000000"/>
                <w:sz w:val="21"/>
              </w:rPr>
              <w:t>（</w:t>
            </w:r>
            <w:r>
              <w:rPr>
                <w:color w:val="000000"/>
                <w:sz w:val="21"/>
              </w:rPr>
              <w:t>2）界面管理要求：</w:t>
            </w:r>
          </w:p>
          <w:p>
            <w:pPr>
              <w:jc w:val="left"/>
            </w:pPr>
            <w:r>
              <w:rPr>
                <w:color w:val="000000"/>
                <w:sz w:val="21"/>
              </w:rPr>
              <w:t>机房总览界面应分为动力环境和</w:t>
            </w:r>
            <w:r>
              <w:rPr>
                <w:color w:val="000000"/>
                <w:sz w:val="21"/>
              </w:rPr>
              <w:t>IT设备两个主页。</w:t>
            </w:r>
          </w:p>
          <w:p>
            <w:pPr>
              <w:jc w:val="left"/>
            </w:pPr>
            <w:r>
              <w:rPr>
                <w:color w:val="000000"/>
                <w:sz w:val="21"/>
              </w:rPr>
              <w:t>动力环境界面包括动力环境告警、冷热通道温度展示、实时功耗展示、电能消耗展示、当前的系统负载率和</w:t>
            </w:r>
            <w:r>
              <w:rPr>
                <w:color w:val="000000"/>
                <w:sz w:val="21"/>
              </w:rPr>
              <w:t>PUE展示等内容。</w:t>
            </w:r>
          </w:p>
          <w:p>
            <w:pPr>
              <w:jc w:val="left"/>
            </w:pPr>
            <w:r>
              <w:rPr>
                <w:color w:val="000000"/>
                <w:sz w:val="21"/>
              </w:rPr>
              <w:t>（</w:t>
            </w:r>
            <w:r>
              <w:rPr>
                <w:color w:val="000000"/>
                <w:sz w:val="21"/>
              </w:rPr>
              <w:t>3）视频管理要求：</w:t>
            </w:r>
          </w:p>
          <w:p>
            <w:pPr>
              <w:jc w:val="left"/>
            </w:pPr>
            <w:r>
              <w:rPr>
                <w:color w:val="000000"/>
                <w:sz w:val="21"/>
              </w:rPr>
              <w:t>视频浏览：支持以</w:t>
            </w:r>
            <w:r>
              <w:rPr>
                <w:color w:val="000000"/>
                <w:sz w:val="21"/>
              </w:rPr>
              <w:t>IE方式浏览NVR和摄像机视频，界面采用多画面分割显示。支持一机同屏1~4画面等规格画面显示方式。</w:t>
            </w:r>
          </w:p>
          <w:p>
            <w:pPr>
              <w:jc w:val="left"/>
            </w:pPr>
            <w:r>
              <w:rPr>
                <w:color w:val="000000"/>
                <w:sz w:val="21"/>
              </w:rPr>
              <w:t>视频回放：支持回放同一机房多路实时视频或多个机房单路实时视频，支持视频录像、慢速回放、抓图等功能。</w:t>
            </w:r>
          </w:p>
          <w:p>
            <w:pPr>
              <w:jc w:val="left"/>
            </w:pPr>
            <w:r>
              <w:rPr>
                <w:color w:val="000000"/>
                <w:sz w:val="21"/>
              </w:rPr>
              <w:t>（</w:t>
            </w:r>
            <w:r>
              <w:rPr>
                <w:color w:val="000000"/>
                <w:sz w:val="21"/>
              </w:rPr>
              <w:t>4）门禁管理要求：支持微模块或机房门和卡的管理和配置功能，包括出入查询、门锁远程控制和门禁的管理配置。支持ID卡刷卡门禁刷卡方式。</w:t>
            </w:r>
          </w:p>
          <w:p>
            <w:pPr>
              <w:jc w:val="left"/>
            </w:pPr>
            <w:r>
              <w:rPr>
                <w:color w:val="000000"/>
                <w:sz w:val="21"/>
              </w:rPr>
              <w:t>（</w:t>
            </w:r>
            <w:r>
              <w:rPr>
                <w:color w:val="000000"/>
                <w:sz w:val="21"/>
              </w:rPr>
              <w:t>5）暖通管理要求：</w:t>
            </w:r>
          </w:p>
          <w:p>
            <w:pPr>
              <w:jc w:val="left"/>
            </w:pPr>
            <w:r>
              <w:rPr>
                <w:color w:val="000000"/>
                <w:sz w:val="21"/>
              </w:rPr>
              <w:t>可通过智能串口实现对空调的管理、空调运行状态展示、遥测数据调整和远程开关机控制。</w:t>
            </w:r>
          </w:p>
          <w:p>
            <w:pPr>
              <w:jc w:val="left"/>
            </w:pPr>
            <w:r>
              <w:rPr>
                <w:color w:val="000000"/>
                <w:sz w:val="21"/>
              </w:rPr>
              <w:t>空调群控：支持以环境温度等信号，实现以群组为单位的自动群控。可根据机房具体情况设置空调群组。需提供截图证明</w:t>
            </w:r>
          </w:p>
          <w:p>
            <w:pPr>
              <w:jc w:val="left"/>
            </w:pPr>
            <w:r>
              <w:rPr>
                <w:color w:val="000000"/>
                <w:sz w:val="21"/>
              </w:rPr>
              <w:t>（</w:t>
            </w:r>
            <w:r>
              <w:rPr>
                <w:color w:val="000000"/>
                <w:sz w:val="21"/>
              </w:rPr>
              <w:t>6）电能管理：可按照用户自定义的规则显示实时和历史能耗数据，记录并显示不少于1000条能耗历史记录。</w:t>
            </w:r>
          </w:p>
          <w:p>
            <w:pPr>
              <w:jc w:val="left"/>
            </w:pPr>
            <w:r>
              <w:rPr>
                <w:color w:val="000000"/>
                <w:sz w:val="21"/>
              </w:rPr>
              <w:t>PUE计算：支持根据配置统计信号的种类计算PUE值，可提供功率或电能计算PUE的模式。</w:t>
            </w:r>
          </w:p>
          <w:p>
            <w:pPr>
              <w:jc w:val="left"/>
            </w:pPr>
            <w:r>
              <w:rPr>
                <w:color w:val="000000"/>
                <w:sz w:val="21"/>
              </w:rPr>
              <w:t>（</w:t>
            </w:r>
            <w:r>
              <w:rPr>
                <w:color w:val="000000"/>
                <w:sz w:val="21"/>
              </w:rPr>
              <w:t>7）报表管理要求：</w:t>
            </w:r>
          </w:p>
          <w:p>
            <w:pPr>
              <w:jc w:val="left"/>
            </w:pPr>
            <w:r>
              <w:rPr>
                <w:color w:val="000000"/>
                <w:sz w:val="21"/>
              </w:rPr>
              <w:t>需具备多种标准报表，通过设定报表格式和查询时间，即可方便的导出报表。报表能以数据报表、曲线报表方式呈现。并可设置曲线报表的格式。同一个坐标系中最多可设定多条曲线。需提供报表类型和报表样表。</w:t>
            </w:r>
          </w:p>
          <w:p>
            <w:pPr>
              <w:jc w:val="left"/>
            </w:pPr>
            <w:r>
              <w:rPr>
                <w:color w:val="000000"/>
                <w:sz w:val="21"/>
              </w:rPr>
              <w:t>（</w:t>
            </w:r>
            <w:r>
              <w:rPr>
                <w:color w:val="000000"/>
                <w:sz w:val="21"/>
              </w:rPr>
              <w:t>8）权限管理要求：需提供至少4级操作权限（管理员、工程师、操作员、浏览者）。</w:t>
            </w:r>
          </w:p>
          <w:p>
            <w:pPr>
              <w:jc w:val="left"/>
            </w:pPr>
            <w:r>
              <w:rPr>
                <w:color w:val="000000"/>
                <w:sz w:val="21"/>
              </w:rPr>
              <w:t>（</w:t>
            </w:r>
            <w:r>
              <w:rPr>
                <w:color w:val="000000"/>
                <w:sz w:val="21"/>
              </w:rPr>
              <w:t>9）访问方式要求：根据网络情况，能支持DHCP动态获取和手动静态设置两种IP设置方式，同时支持DNS域名解析功能。</w:t>
            </w:r>
          </w:p>
          <w:p>
            <w:pPr>
              <w:jc w:val="left"/>
            </w:pPr>
            <w:r>
              <w:rPr>
                <w:color w:val="000000"/>
                <w:sz w:val="21"/>
              </w:rPr>
              <w:t>（</w:t>
            </w:r>
            <w:r>
              <w:rPr>
                <w:color w:val="000000"/>
                <w:sz w:val="21"/>
              </w:rPr>
              <w:t>10）访问控制要求：为保证系统安全运行，最多可以允许限定数量（如3个）可访问的上层管理平台IP地址做系统访问。</w:t>
            </w:r>
          </w:p>
          <w:p>
            <w:pPr>
              <w:jc w:val="left"/>
            </w:pPr>
            <w:r>
              <w:rPr>
                <w:color w:val="000000"/>
                <w:sz w:val="21"/>
              </w:rPr>
              <w:t>（</w:t>
            </w:r>
            <w:r>
              <w:rPr>
                <w:color w:val="000000"/>
                <w:sz w:val="21"/>
              </w:rPr>
              <w:t>11）时间同步要求：要求从服务器上自动获取时间。并支持按照时间间隔、选择时区和校时协议类型做系统时间的校准。</w:t>
            </w:r>
          </w:p>
          <w:p>
            <w:pPr>
              <w:jc w:val="left"/>
            </w:pPr>
            <w:r>
              <w:rPr>
                <w:color w:val="000000"/>
                <w:sz w:val="21"/>
              </w:rPr>
              <w:t>5、系统一般要求</w:t>
            </w:r>
          </w:p>
          <w:p>
            <w:pPr>
              <w:jc w:val="left"/>
            </w:pPr>
            <w:r>
              <w:rPr>
                <w:color w:val="000000"/>
                <w:sz w:val="21"/>
              </w:rPr>
              <w:t>（</w:t>
            </w:r>
            <w:r>
              <w:rPr>
                <w:color w:val="000000"/>
                <w:sz w:val="21"/>
              </w:rPr>
              <w:t>1）模块化结构设计：所有监控单元需采用模块化设计，系统扩容维护方便，采用B/S架构，不需要安装任何客户端软件，安全可靠。</w:t>
            </w:r>
          </w:p>
          <w:p>
            <w:pPr>
              <w:jc w:val="left"/>
            </w:pPr>
            <w:r>
              <w:rPr>
                <w:color w:val="000000"/>
                <w:sz w:val="21"/>
              </w:rPr>
              <w:t>（</w:t>
            </w:r>
            <w:r>
              <w:rPr>
                <w:color w:val="000000"/>
                <w:sz w:val="21"/>
              </w:rPr>
              <w:t>2）系统高可靠性：能够7×24×365不间断地连续工作，平均无故障时间(MTBF)大于20万小时，平均修复时间(MTTR)小于2小时。</w:t>
            </w:r>
          </w:p>
          <w:p>
            <w:pPr>
              <w:jc w:val="left"/>
            </w:pPr>
            <w:r>
              <w:rPr>
                <w:color w:val="000000"/>
                <w:sz w:val="21"/>
              </w:rPr>
              <w:t>（</w:t>
            </w:r>
            <w:r>
              <w:rPr>
                <w:color w:val="000000"/>
                <w:sz w:val="21"/>
              </w:rPr>
              <w:t>3）系统安全性控制：服务器应采用Linux操作系统，系统稳定可靠，不易受到病毒感染和黑客攻击。</w:t>
            </w:r>
          </w:p>
          <w:p>
            <w:pPr>
              <w:jc w:val="left"/>
            </w:pPr>
            <w:r>
              <w:rPr>
                <w:color w:val="000000"/>
                <w:sz w:val="21"/>
              </w:rPr>
              <w:t>（</w:t>
            </w:r>
            <w:r>
              <w:rPr>
                <w:color w:val="000000"/>
                <w:sz w:val="21"/>
              </w:rPr>
              <w:t>4）用户权限管理：支持对所有操作人员按其工作性质分配不同的权限，并有完善的密码管理功能，有效的保证系统及数据的安全。</w:t>
            </w:r>
          </w:p>
          <w:p>
            <w:pPr>
              <w:jc w:val="left"/>
            </w:pPr>
            <w:r>
              <w:rPr>
                <w:color w:val="000000"/>
                <w:sz w:val="21"/>
              </w:rPr>
              <w:t>6、监控服务器要求</w:t>
            </w:r>
          </w:p>
          <w:p>
            <w:pPr>
              <w:jc w:val="left"/>
            </w:pPr>
            <w:r>
              <w:rPr>
                <w:color w:val="000000"/>
                <w:sz w:val="21"/>
              </w:rPr>
              <w:t>机架式</w:t>
            </w:r>
            <w:r>
              <w:rPr>
                <w:color w:val="000000"/>
                <w:sz w:val="21"/>
              </w:rPr>
              <w:t>1U、服务器≥</w:t>
            </w:r>
            <w:r>
              <w:rPr>
                <w:color w:val="000000"/>
                <w:sz w:val="21"/>
              </w:rPr>
              <w:t>4</w:t>
            </w:r>
            <w:r>
              <w:rPr>
                <w:color w:val="000000"/>
                <w:sz w:val="21"/>
              </w:rPr>
              <w:t>核</w:t>
            </w:r>
            <w:r>
              <w:rPr>
                <w:color w:val="000000"/>
                <w:sz w:val="21"/>
              </w:rPr>
              <w:t>2.5GHZ处理器、内存≥16GB、功率500W,100V~240V交流自适应、硬盘≥2T。</w:t>
            </w:r>
          </w:p>
          <w:p>
            <w:pPr>
              <w:jc w:val="left"/>
            </w:pPr>
            <w:r>
              <w:rPr>
                <w:color w:val="000000"/>
                <w:sz w:val="21"/>
              </w:rPr>
              <w:t>7、监控界面要求</w:t>
            </w:r>
          </w:p>
          <w:p>
            <w:pPr>
              <w:jc w:val="left"/>
            </w:pPr>
            <w:r>
              <w:rPr>
                <w:color w:val="000000"/>
                <w:sz w:val="21"/>
              </w:rPr>
              <w:t>（</w:t>
            </w:r>
            <w:r>
              <w:rPr>
                <w:color w:val="000000"/>
                <w:sz w:val="21"/>
              </w:rPr>
              <w:t>1）场地导航：支持通过地图界面，实现场地的快速进入。</w:t>
            </w:r>
          </w:p>
          <w:p>
            <w:pPr>
              <w:jc w:val="left"/>
            </w:pPr>
            <w:r>
              <w:rPr>
                <w:color w:val="000000"/>
                <w:sz w:val="21"/>
              </w:rPr>
              <w:t>（</w:t>
            </w:r>
            <w:r>
              <w:rPr>
                <w:color w:val="000000"/>
                <w:sz w:val="21"/>
              </w:rPr>
              <w:t>2）三维主页界面：三维的形式展现整体机房的效果，3D仿真应支持多种视图方式，至少提供正视、俯视、左视和右视五种视图方式。系统应支持以三维的形式展现整体机房的效果，可以做到镜头拉升,前进/后退及以360旋转方式展示机房及封闭通道。</w:t>
            </w:r>
          </w:p>
          <w:p>
            <w:pPr>
              <w:jc w:val="left"/>
            </w:pPr>
            <w:r>
              <w:rPr>
                <w:color w:val="000000"/>
                <w:sz w:val="21"/>
              </w:rPr>
              <w:t>（</w:t>
            </w:r>
            <w:r>
              <w:rPr>
                <w:color w:val="000000"/>
                <w:sz w:val="21"/>
              </w:rPr>
              <w:t>3）可放大缩小,前进/后退及以360旋转方式展示封闭通道及机房。以图形的方式呈现机房的告警和重要运行参数包括：PUE值、能耗情况、温度曲线。如果通道内部有UPS、空调等设备，需显示设备的主要运行参数。需提供截图证明。</w:t>
            </w:r>
          </w:p>
          <w:p>
            <w:pPr>
              <w:jc w:val="left"/>
            </w:pPr>
            <w:r>
              <w:rPr>
                <w:color w:val="000000"/>
                <w:sz w:val="21"/>
              </w:rPr>
              <w:t>8、机柜管理功能要求</w:t>
            </w:r>
          </w:p>
          <w:p>
            <w:pPr>
              <w:jc w:val="left"/>
            </w:pPr>
            <w:r>
              <w:rPr>
                <w:color w:val="000000"/>
                <w:sz w:val="21"/>
              </w:rPr>
              <w:t>对</w:t>
            </w:r>
            <w:r>
              <w:rPr>
                <w:color w:val="000000"/>
                <w:sz w:val="21"/>
              </w:rPr>
              <w:t>IDC的机柜做管理和呈现，应包含机柜展示，空间容量，机柜能耗，机柜配电，PDU配电，历史温湿度曲线，实时温湿度，当前机柜告警和资产列表等内容。需提供截图证明。</w:t>
            </w:r>
          </w:p>
          <w:p>
            <w:pPr>
              <w:jc w:val="left"/>
            </w:pPr>
            <w:r>
              <w:rPr>
                <w:color w:val="000000"/>
                <w:sz w:val="21"/>
              </w:rPr>
              <w:t>9、资产容量管理要求</w:t>
            </w:r>
          </w:p>
          <w:p>
            <w:pPr>
              <w:jc w:val="left"/>
            </w:pPr>
            <w:r>
              <w:rPr>
                <w:color w:val="000000"/>
                <w:sz w:val="21"/>
              </w:rPr>
              <w:t>应支持对机架资产的基础信息管理，实现机架电力、空间</w:t>
            </w:r>
            <w:r>
              <w:rPr>
                <w:color w:val="000000"/>
                <w:sz w:val="21"/>
              </w:rPr>
              <w:t>(U位)和冷量等纬度的容量管理。系统以3D可视化方式展示机架电力、空间和冷量的状况，以及IT设施在机架中的U位位置信息。资产容量管理可提供在线录入功能。</w:t>
            </w:r>
          </w:p>
          <w:p>
            <w:pPr>
              <w:jc w:val="left"/>
            </w:pPr>
            <w:r>
              <w:rPr>
                <w:color w:val="000000"/>
                <w:sz w:val="21"/>
              </w:rPr>
              <w:t>在</w:t>
            </w:r>
            <w:r>
              <w:rPr>
                <w:color w:val="000000"/>
                <w:sz w:val="21"/>
              </w:rPr>
              <w:t>3D视图中，以不同的颜色区块代表容量占比的等级：</w:t>
            </w:r>
          </w:p>
          <w:p>
            <w:pPr>
              <w:jc w:val="left"/>
            </w:pPr>
            <w:r>
              <w:rPr>
                <w:color w:val="000000"/>
                <w:sz w:val="21"/>
              </w:rPr>
              <w:t>0%&lt; 容量 &lt;=50%，区块颜色绿色。</w:t>
            </w:r>
          </w:p>
          <w:p>
            <w:pPr>
              <w:jc w:val="left"/>
            </w:pPr>
            <w:r>
              <w:rPr>
                <w:color w:val="000000"/>
                <w:sz w:val="21"/>
              </w:rPr>
              <w:t>50%&lt; 容量 &lt;=75%，区块颜色黄色。</w:t>
            </w:r>
          </w:p>
          <w:p>
            <w:pPr>
              <w:jc w:val="left"/>
            </w:pPr>
            <w:r>
              <w:rPr>
                <w:color w:val="000000"/>
                <w:sz w:val="21"/>
              </w:rPr>
              <w:t>75%&lt; 容量 &lt;=100%，区块颜色红色。</w:t>
            </w:r>
          </w:p>
          <w:p>
            <w:pPr>
              <w:jc w:val="left"/>
            </w:pPr>
            <w:r>
              <w:rPr>
                <w:color w:val="000000"/>
                <w:sz w:val="21"/>
              </w:rPr>
              <w:t>需提供截图证明。</w:t>
            </w:r>
          </w:p>
          <w:p>
            <w:pPr>
              <w:jc w:val="left"/>
            </w:pPr>
            <w:r>
              <w:rPr>
                <w:color w:val="000000"/>
                <w:sz w:val="21"/>
              </w:rPr>
              <w:t>10、维保管理要求</w:t>
            </w:r>
          </w:p>
          <w:p>
            <w:pPr>
              <w:jc w:val="left"/>
            </w:pPr>
            <w:r>
              <w:rPr>
                <w:color w:val="000000"/>
                <w:sz w:val="21"/>
              </w:rPr>
              <w:t>可对资产的维保情况进行管理，实现设备维保到期自动提醒。并以邮件方式提醒。需提供截图证明。</w:t>
            </w:r>
          </w:p>
          <w:p>
            <w:pPr>
              <w:jc w:val="left"/>
            </w:pPr>
            <w:r>
              <w:rPr>
                <w:color w:val="000000"/>
                <w:sz w:val="21"/>
              </w:rPr>
              <w:t>11、门禁管理要求</w:t>
            </w:r>
          </w:p>
          <w:p>
            <w:pPr>
              <w:jc w:val="left"/>
            </w:pPr>
            <w:r>
              <w:rPr>
                <w:color w:val="000000"/>
                <w:sz w:val="21"/>
              </w:rPr>
              <w:t>系统应内置门禁管理模块，实现微模块和机柜门的管理，支持指纹和刷卡模式。包括出入浏览、控制和门禁的管理配置。提供各机房出入状况列表，包括刷卡时间、人员、刷卡人信息及头像等信息。选择机房，可对机房的门禁进行远程开门控制。</w:t>
            </w:r>
          </w:p>
          <w:p>
            <w:pPr>
              <w:jc w:val="left"/>
            </w:pPr>
            <w:r>
              <w:rPr>
                <w:color w:val="000000"/>
                <w:sz w:val="21"/>
              </w:rPr>
              <w:t>系统应提供门禁运行参数配置功能，可对单个和批量门禁运行参数进行设置，配置内容包括卡配置管理、指纹配置管理、门配置管理和门禁准进时段管理等。</w:t>
            </w:r>
          </w:p>
          <w:p>
            <w:pPr>
              <w:jc w:val="left"/>
            </w:pPr>
            <w:r>
              <w:rPr>
                <w:color w:val="000000"/>
                <w:sz w:val="21"/>
              </w:rPr>
              <w:t>12、视频管理要求</w:t>
            </w:r>
          </w:p>
          <w:p>
            <w:pPr>
              <w:jc w:val="left"/>
            </w:pPr>
            <w:r>
              <w:rPr>
                <w:color w:val="000000"/>
                <w:sz w:val="21"/>
              </w:rPr>
              <w:t>视频监控功能，可对连接的</w:t>
            </w:r>
            <w:r>
              <w:rPr>
                <w:color w:val="000000"/>
                <w:sz w:val="21"/>
              </w:rPr>
              <w:t>NVR和摄像机，进行管理。</w:t>
            </w:r>
          </w:p>
          <w:p>
            <w:pPr>
              <w:jc w:val="left"/>
            </w:pPr>
            <w:r>
              <w:rPr>
                <w:color w:val="000000"/>
                <w:sz w:val="21"/>
              </w:rPr>
              <w:t>可实时监视各机房视频信息，应支持多画面分割显示或回放机房多路实时视频，支持一机同屏</w:t>
            </w:r>
            <w:r>
              <w:rPr>
                <w:color w:val="000000"/>
                <w:sz w:val="21"/>
              </w:rPr>
              <w:t>1、4、9画面等规格画面显示方式。能获取历史视频信息和实时视频信息，并对摄像机进行控制。</w:t>
            </w:r>
          </w:p>
          <w:p>
            <w:pPr>
              <w:jc w:val="left"/>
            </w:pPr>
            <w:r>
              <w:rPr>
                <w:color w:val="000000"/>
                <w:sz w:val="21"/>
              </w:rPr>
              <w:t>应能将摄像机的视频文件下载，以便在本地使用视频文件。</w:t>
            </w:r>
          </w:p>
          <w:p>
            <w:pPr>
              <w:jc w:val="left"/>
            </w:pPr>
            <w:r>
              <w:rPr>
                <w:color w:val="000000"/>
                <w:sz w:val="21"/>
              </w:rPr>
              <w:t>应可以对视频设备进行控制，控制范围包括云台、镜头等。</w:t>
            </w:r>
          </w:p>
          <w:p>
            <w:pPr>
              <w:jc w:val="left"/>
            </w:pPr>
            <w:r>
              <w:rPr>
                <w:color w:val="000000"/>
                <w:sz w:val="21"/>
              </w:rPr>
              <w:t>需提供截图证明。</w:t>
            </w:r>
          </w:p>
          <w:p>
            <w:pPr>
              <w:jc w:val="left"/>
            </w:pPr>
            <w:r>
              <w:rPr>
                <w:color w:val="000000"/>
                <w:sz w:val="21"/>
              </w:rPr>
              <w:t>13、报表管理要求</w:t>
            </w:r>
          </w:p>
          <w:p>
            <w:pPr>
              <w:jc w:val="left"/>
            </w:pPr>
            <w:r>
              <w:rPr>
                <w:color w:val="000000"/>
                <w:sz w:val="21"/>
              </w:rPr>
              <w:t>为更好的使用监控系统的数据，需要提供完善的报表功能。系统内置的报表分为基础报表和分析报告。</w:t>
            </w:r>
          </w:p>
          <w:p>
            <w:pPr>
              <w:jc w:val="left"/>
            </w:pPr>
            <w:r>
              <w:rPr>
                <w:color w:val="000000"/>
                <w:sz w:val="21"/>
              </w:rPr>
              <w:t>基础报表：应提供历史信号报表、告警记录报表、通知发送记录报表、控制记录报表、门禁刷卡记录报表等报表。</w:t>
            </w:r>
          </w:p>
          <w:p>
            <w:pPr>
              <w:jc w:val="left"/>
            </w:pPr>
            <w:r>
              <w:rPr>
                <w:color w:val="000000"/>
                <w:sz w:val="21"/>
              </w:rPr>
              <w:t>分析报表：支持根据系统数据做进一步的数据处理分析，生成管理类报表。包括空间容量分析报表、关键信号分析报表、设备告警分析报表、站点告警分析报表、告警持续时长分析报表、能耗分析报表。分析报表可根据系统信号和告警做选择。</w:t>
            </w:r>
          </w:p>
          <w:p>
            <w:pPr>
              <w:jc w:val="left"/>
            </w:pPr>
            <w:r>
              <w:rPr>
                <w:color w:val="000000"/>
                <w:sz w:val="21"/>
              </w:rPr>
              <w:t>需提供截图证明。</w:t>
            </w:r>
          </w:p>
          <w:p>
            <w:pPr>
              <w:jc w:val="left"/>
            </w:pPr>
            <w:r>
              <w:rPr>
                <w:color w:val="000000"/>
                <w:sz w:val="21"/>
              </w:rPr>
              <w:t>14、系统管理要求</w:t>
            </w:r>
          </w:p>
          <w:p>
            <w:pPr>
              <w:jc w:val="left"/>
            </w:pPr>
            <w:r>
              <w:rPr>
                <w:color w:val="000000"/>
                <w:sz w:val="21"/>
              </w:rPr>
              <w:t>应支持以下系统功能管理：</w:t>
            </w:r>
          </w:p>
          <w:p>
            <w:pPr>
              <w:jc w:val="left"/>
            </w:pPr>
            <w:r>
              <w:rPr>
                <w:color w:val="000000"/>
                <w:sz w:val="21"/>
              </w:rPr>
              <w:t>（</w:t>
            </w:r>
            <w:r>
              <w:rPr>
                <w:color w:val="000000"/>
                <w:sz w:val="21"/>
              </w:rPr>
              <w:t>1）配置管理：站点配置、告警联动配置功能。</w:t>
            </w:r>
          </w:p>
          <w:p>
            <w:pPr>
              <w:jc w:val="left"/>
            </w:pPr>
            <w:r>
              <w:rPr>
                <w:color w:val="000000"/>
                <w:sz w:val="21"/>
              </w:rPr>
              <w:t>（</w:t>
            </w:r>
            <w:r>
              <w:rPr>
                <w:color w:val="000000"/>
                <w:sz w:val="21"/>
              </w:rPr>
              <w:t>2）设备管理：设备监控配置和管理。</w:t>
            </w:r>
          </w:p>
          <w:p>
            <w:pPr>
              <w:jc w:val="left"/>
            </w:pPr>
            <w:r>
              <w:rPr>
                <w:color w:val="000000"/>
                <w:sz w:val="21"/>
              </w:rPr>
              <w:t>（</w:t>
            </w:r>
            <w:r>
              <w:rPr>
                <w:color w:val="000000"/>
                <w:sz w:val="21"/>
              </w:rPr>
              <w:t>3）日志管理：提供系统各类操作日志，包括：设备告警日志、设备运行日志、用户操作日志、日志数据管理。</w:t>
            </w:r>
          </w:p>
          <w:p>
            <w:pPr>
              <w:jc w:val="left"/>
            </w:pPr>
            <w:r>
              <w:rPr>
                <w:color w:val="000000"/>
                <w:sz w:val="21"/>
              </w:rPr>
              <w:t>（</w:t>
            </w:r>
            <w:r>
              <w:rPr>
                <w:color w:val="000000"/>
                <w:sz w:val="21"/>
              </w:rPr>
              <w:t>4）系统备份与升级：系统关键数据的备份，恢复与系统本身升级服务。</w:t>
            </w:r>
          </w:p>
          <w:p>
            <w:pPr>
              <w:jc w:val="both"/>
            </w:pPr>
            <w:r>
              <w:rPr>
                <w:color w:val="000000"/>
                <w:sz w:val="21"/>
              </w:rPr>
              <w:t>（</w:t>
            </w:r>
            <w:r>
              <w:rPr>
                <w:color w:val="000000"/>
                <w:sz w:val="21"/>
              </w:rPr>
              <w:t>5）时钟同步和系统时间设定：为保证系统的时间准确同步，监控系统的时间以服务器的时间为准，可在服务器上进行全系统的时钟校准。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1.采购代理机构：本项目是指广东志正招标有限公司，负责整个采购活动的组织，依法负责编制和发布招标文件，对招标文件拥有最终的解释权，不以任何身份出任评标委员会成员。</w:t>
      </w:r>
    </w:p>
    <w:p>
      <w:pPr>
        <w:ind w:firstLine="480"/>
      </w:pPr>
      <w:r>
        <w:rPr/>
        <w:t>2.采购人：本项目是指</w:t>
      </w:r>
      <w:r>
        <w:rPr/>
        <w:t>广东技术师范大学</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4</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p>
            <w:r>
              <w:rPr/>
              <w:t>采购包4：综合评分法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p/>
          <w:p>
            <w:r>
              <w:rPr/>
              <w:t>采购包3：总价</w:t>
            </w:r>
          </w:p>
          <w:p/>
          <w:p>
            <w:r>
              <w:rPr/>
              <w:t>采购包4：总价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r>
              <w:rPr/>
              <w:t>采购包3：保证金人民币：0.00元整。</w:t>
            </w:r>
            <w:r>
              <w:rPr/>
              <w:t>采购包4：保证金人民币：36,000.00元整。</w:t>
            </w:r>
          </w:p>
          <w:p>
            <w:r>
              <w:rPr/>
              <w:t>开户单位：</w:t>
            </w:r>
            <w:r>
              <w:rPr/>
              <w:t>广东志正招标有限公司</w:t>
            </w:r>
          </w:p>
          <w:p>
            <w:r>
              <w:rPr/>
              <w:t>开户账号：</w:t>
            </w:r>
            <w:r>
              <w:rPr/>
              <w:t>800201177509011</w:t>
            </w:r>
          </w:p>
          <w:p>
            <w:r>
              <w:rPr/>
              <w:t>开户银行：</w:t>
            </w:r>
            <w:r>
              <w:rPr/>
              <w:t>广州银行龙口西支行</w:t>
            </w:r>
          </w:p>
          <w:p>
            <w:r>
              <w:rPr/>
              <w:t>支票提交方式：</w:t>
            </w:r>
            <w:r>
              <w:rPr/>
              <w:t>保证金相关事宜联系人：郑小姐     联系电话：020-87554268</w:t>
            </w:r>
          </w:p>
          <w:p>
            <w:r>
              <w:rPr/>
              <w:t>汇票、本票提交方式：</w:t>
            </w:r>
            <w:r>
              <w:rPr/>
              <w:t>保证金相关事宜联系人：郑小姐     联系电话：020-87554268</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1</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p>
            <w:r>
              <w:rPr/>
              <w:t>采购包3：</w:t>
            </w:r>
            <w:r>
              <w:rPr/>
              <w:t>2家</w:t>
            </w:r>
          </w:p>
          <w:p>
            <w:r>
              <w:rPr/>
              <w:t>采购包4：</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r>
              <w:rPr/>
              <w:t>采购包4：</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Pr>
              <w:jc w:val="left"/>
            </w:pPr>
          </w:p>
          <w:p>
            <w:r>
              <w:rPr/>
              <w:t>采购包4：3家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兼投不兼中：本项目各包组兼投不兼中，投标人在前序第一个包组中已被推荐为第一中标候选人的，则评标委员会小组在评审后续包组时，不再授予其为第一、第二中标候选人，但其投标文件仍参与评审。其他包组的第一中标候选人则由未在前序包组中被评审为第一中标候选人的名次最高的投标人顶替，其他排名依次类推。本项目评审顺序为包组一、包组二、包组三、包组四。</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采购机构代理服务收费标准：采购机构代理服务收费标准：各包组中标人须向采购代理机构按如下标准和规定缴纳招标代理服务费（不含税）：  （1）以该包组预算金额作为招标代理服务费的计算基数；  （2）招标代理服务费采用差额定率累进法进行计算，按照以下标准计取：  100万元以下的部分，按照1.2%计取；  100-500万元的部分，按照0.88%计取。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其他，1、新型冠状病毒感染肺炎疫情防控期间的便利化措施（本招标文件其他条款与本条不一致的，以本条为准），投标文件的递交与开标 1. 疫情防控期间，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疫情防控期间，我司暂停中标（成交）通知书、服务费（标书款）发票现场领取，中标（成交）通知书、我司将通过快递方式送达给中标（成交）人，服务费（标书款）发票以邮件方式发送电子发票。 采购合同送达 疫情防控期间，我司提倡中标（成交）人优先采用邮寄方式将签订的合同及时送达我司。 1）收件地址：广州市天河区龙怡路117号银汇大厦5楼 2）收件人：广东志正招标有限公司前台 3）注明采购项目编号</w:t>
            </w:r>
          </w:p>
        </w:tc>
      </w:tr>
      <w:tr>
        <w:tc>
          <w:tcPr>
            <w:tcW w:type="dxa" w:w="1051"/>
          </w:tcPr>
          <w:p>
            <w:r>
              <w:rPr/>
              <w:t>19</w:t>
            </w:r>
          </w:p>
        </w:tc>
        <w:tc>
          <w:tcPr>
            <w:tcW w:type="dxa" w:w="2252"/>
          </w:tcPr>
          <w:p>
            <w:r>
              <w:rPr/>
              <w:t>开标解密时长</w:t>
            </w:r>
          </w:p>
        </w:tc>
        <w:tc>
          <w:tcPr>
            <w:tcW w:type="dxa" w:w="5004"/>
          </w:tcPr>
          <w:p>
            <w:r>
              <w:rPr/>
              <w:t>说明：具体情况根据开标时现场代理机构人员设置为准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p>
            <w:pPr>
              <w:jc w:val="left"/>
            </w:pPr>
            <w:r>
              <w:rPr/>
              <w:t>采购包3：非专门面向中小企业</w:t>
            </w:r>
          </w:p>
          <w:p>
            <w:pPr>
              <w:jc w:val="left"/>
            </w:pPr>
            <w:r>
              <w:rPr/>
              <w:t>采购包4：非专门面向中小企业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广东志正招标有限公司（https://www.zztender.com/）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内控部</w:t>
      </w:r>
    </w:p>
    <w:p>
      <w:pPr>
        <w:ind w:firstLine="480"/>
      </w:pPr>
      <w:r>
        <w:rPr/>
        <w:t>电话：</w:t>
      </w:r>
      <w:r>
        <w:rPr/>
        <w:t>020-87512543</w:t>
      </w:r>
    </w:p>
    <w:p>
      <w:pPr>
        <w:ind w:firstLine="480"/>
      </w:pPr>
      <w:r>
        <w:rPr/>
        <w:t>传真：</w:t>
      </w:r>
      <w:r>
        <w:rPr/>
        <w:t>87554028</w:t>
      </w:r>
    </w:p>
    <w:p>
      <w:pPr>
        <w:ind w:firstLine="480"/>
      </w:pPr>
      <w:r>
        <w:rPr/>
        <w:t>邮箱：</w:t>
      </w:r>
      <w:r>
        <w:rPr/>
        <w:t>nkb@zztender.com</w:t>
      </w:r>
    </w:p>
    <w:p>
      <w:pPr>
        <w:ind w:firstLine="480"/>
      </w:pPr>
      <w:r>
        <w:rPr/>
        <w:t>地址：</w:t>
      </w:r>
      <w:r>
        <w:rPr/>
        <w:t>广东省广州市天河区龙怡路117号银汇大厦5楼</w:t>
      </w:r>
    </w:p>
    <w:p>
      <w:pPr>
        <w:ind w:firstLine="480"/>
      </w:pPr>
      <w:r>
        <w:rPr/>
        <w:t>邮编：</w:t>
      </w:r>
      <w:r>
        <w:rPr/>
        <w:t>510640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校园网核心和数据中心核心设备)：综合评分法,是指投标文件满足招标文件全部实质性要求，且按照评审因素的量化指标评审得分最高的投标人为中标候选人的评标方法。（最低报价不是中标的唯一依据。）</w:t>
      </w:r>
    </w:p>
    <w:p/>
    <w:p>
      <w:r>
        <w:rPr/>
        <w:t>采购包2(校园卡移动支付平台升级)：综合评分法,是指投标文件满足招标文件全部实质性要求，且按照评审因素的量化指标评审得分最高的投标人为中标候选人的评标方法。（最低报价不是中标的唯一依据。）</w:t>
      </w:r>
    </w:p>
    <w:p/>
    <w:p>
      <w:r>
        <w:rPr/>
        <w:t>采购包3(白云校区图书馆监控及门禁系统补充建设采购)：综合评分法,是指投标文件满足招标文件全部实质性要求，且按照评审因素的量化指标评审得分最高的投标人为中标候选人的评标方法。（最低报价不是中标的唯一依据。）</w:t>
      </w:r>
    </w:p>
    <w:p/>
    <w:p>
      <w:r>
        <w:rPr/>
        <w:t>采购包4(白云校区数据中心二期模块化机房(设备)采购)：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广东志正招标有限公司</w:t>
      </w:r>
      <w:r>
        <w:rPr/>
        <w:t>统一对外发布。</w:t>
      </w:r>
    </w:p>
    <w:p>
      <w:pPr>
        <w:ind w:firstLine="480"/>
      </w:pPr>
      <w:r>
        <w:rPr/>
        <w:t>（2）对</w:t>
      </w:r>
      <w:r>
        <w:rPr/>
        <w:t>广东志正招标有限公司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采购包1（校园网核心和数据中心核心设备）：</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节能产品、环境标志产品价格扣除： 1.投标产品(针对非政府强制采购产品)获得有效期内的节能产品认证证书的，节能产品投标报价占总投标报价比例在80%或以上的，对节能产品的价格给予2%的扣除，在80%以下的，对节能产品的价格给予1%的扣除，用扣除后的价格参与评审。（提供节能产品认证证书）。 2.投标产品(针对非政府强制采购产品)获得有效期内的环境标志产品认证证书的，环境标志产品投标报价占总投标报价比例在80%或以上的，对环境标志产品的价格给予2%的扣除，在80%以下的，对环境标志产品的价格给予1%的扣除，用扣除后的价格参与评审。（提供环境标志产品认证证书）。 3.对属于强制采购的节能产品，节能要求作为实质性响应指标，不再享受评审优惠。</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采购包2（校园卡移动支付平台升级）：</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节能产品、环境标志产品价格扣除： 1.投标产品(针对非政府强制采购产品)获得有效期内的节能产品认证证书的，节能产品投标报价占总投标报价比例在80%或以上的，对节能产品的价格给予2%的扣除，在80%以下的，对节能产品的价格给予1%的扣除，用扣除后的价格参与评审。（提供节能产品认证证书）。 2.投标产品(针对非政府强制采购产品)获得有效期内的环境标志产品认证证书的，环境标志产品投标报价占总投标报价比例在80%或以上的，对环境标志产品的价格给予2%的扣除，在80%以下的，对环境标志产品的价格给予1%的扣除，用扣除后的价格参与评审。（提供环境标志产品认证证书）。 3.对属于强制采购的节能产品，节能要求作为实质性响应指标，不再享受评审优惠。</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采购包3（白云校区图书馆监控及门禁系统补充建设采购）：</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节能产品、环境标志产品价格扣除： 1.投标产品(针对非政府强制采购产品)获得有效期内的节能产品认证证书的，节能产品投标报价占总投标报价比例在80%或以上的，对节能产品的价格给予2%的扣除，在80%以下的，对节能产品的价格给予1%的扣除，用扣除后的价格参与评审。（提供节能产品认证证书）。 2.投标产品(针对非政府强制采购产品)获得有效期内的环境标志产品认证证书的，环境标志产品投标报价占总投标报价比例在80%或以上的，对环境标志产品的价格给予2%的扣除，在80%以下的，对环境标志产品的价格给予1%的扣除，用扣除后的价格参与评审。（提供环境标志产品认证证书）。 3.对属于强制采购的节能产品，节能要求作为实质性响应指标，不再享受评审优惠。</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采购包4（白云校区数据中心二期模块化机房(设备)采购）：</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节能产品、环境标志产品价格扣除： 1.投标产品(针对非政府强制采购产品)获得有效期内的节能产品认证证书的，节能产品投标报价占总投标报价比例在80%或以上的，对节能产品的价格给予2%的扣除，在80%以下的，对节能产品的价格给予1%的扣除，用扣除后的价格参与评审。（提供节能产品认证证书）。 2.投标产品(针对非政府强制采购产品)获得有效期内的环境标志产品认证证书的，环境标志产品投标报价占总投标报价比例在80%或以上的，对环境标志产品的价格给予2%的扣除，在80%以下的，对环境标志产品的价格给予1%的扣除，用扣除后的价格参与评审。（提供环境标志产品认证证书）。 3.对属于强制采购的节能产品，节能要求作为实质性响应指标，不再享受评审优惠。</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采购包1（校园网核心和数据中心核心设备）：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bl>
    <w:p/>
    <w:p>
      <w:r>
        <w:rPr/>
        <w:t>采购包2（校园卡移动支付平台升级）：</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bl>
    <w:p/>
    <w:p>
      <w:r>
        <w:rPr/>
        <w:t>采购包3（白云校区图书馆监控及门禁系统补充建设采购）：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bl>
    <w:p/>
    <w:p>
      <w:r>
        <w:rPr/>
        <w:t>采购包4（白云校区数据中心二期模块化机房(设备)采购）：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bl>
    <w:p/>
    <w:p>
      <w:pPr>
        <w:ind w:firstLine="480"/>
      </w:pPr>
      <w:r>
        <w:rPr/>
        <w:t>表二符合性审查表：</w:t>
      </w:r>
    </w:p>
    <w:p>
      <w:pPr>
        <w:ind w:firstLine="480"/>
      </w:pPr>
    </w:p>
    <w:p/>
    <w:p>
      <w:r>
        <w:rPr/>
        <w:t>采购包1（校园网核心和数据中心核心设备）：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符合投标有效期</w:t>
            </w:r>
          </w:p>
        </w:tc>
      </w:tr>
      <w:tr>
        <w:tc>
          <w:tcPr>
            <w:tcW w:type="dxa" w:w="890"/>
          </w:tcPr>
          <w:p>
            <w:r>
              <w:rPr/>
              <w:t>2</w:t>
            </w:r>
          </w:p>
        </w:tc>
        <w:tc>
          <w:tcPr>
            <w:tcW w:type="dxa" w:w="3178"/>
          </w:tcPr>
          <w:p>
            <w:r>
              <w:rPr/>
              <w:t>投标文件按照招标文件规定要求签署、盖章</w:t>
            </w:r>
          </w:p>
        </w:tc>
        <w:tc>
          <w:tcPr>
            <w:tcW w:type="dxa" w:w="4238"/>
          </w:tcPr>
          <w:p>
            <w:r>
              <w:rPr/>
              <w:t>投标文件按照招标文件规定要求签署、盖章，包含：①投标函；②法定代表人证明书或法定代表人授权书；③开标一览表；④分项报价表</w:t>
            </w:r>
          </w:p>
        </w:tc>
      </w:tr>
      <w:tr>
        <w:tc>
          <w:tcPr>
            <w:tcW w:type="dxa" w:w="890"/>
          </w:tcPr>
          <w:p>
            <w:r>
              <w:rPr/>
              <w:t>3</w:t>
            </w:r>
          </w:p>
        </w:tc>
        <w:tc>
          <w:tcPr>
            <w:tcW w:type="dxa" w:w="3178"/>
          </w:tcPr>
          <w:p>
            <w:r>
              <w:rPr/>
              <w:t>投标报价</w:t>
            </w:r>
          </w:p>
        </w:tc>
        <w:tc>
          <w:tcPr>
            <w:tcW w:type="dxa" w:w="4238"/>
          </w:tcPr>
          <w:p>
            <w:r>
              <w:rPr/>
              <w:t>投标报价没有超出该包组最高限价</w:t>
            </w:r>
          </w:p>
        </w:tc>
      </w:tr>
      <w:tr>
        <w:tc>
          <w:tcPr>
            <w:tcW w:type="dxa" w:w="890"/>
          </w:tcPr>
          <w:p>
            <w:r>
              <w:rPr/>
              <w:t>4</w:t>
            </w:r>
          </w:p>
        </w:tc>
        <w:tc>
          <w:tcPr>
            <w:tcW w:type="dxa" w:w="3178"/>
          </w:tcPr>
          <w:p>
            <w:r>
              <w:rPr/>
              <w:t>标注“★”的条款的满足情况</w:t>
            </w:r>
          </w:p>
        </w:tc>
        <w:tc>
          <w:tcPr>
            <w:tcW w:type="dxa" w:w="4238"/>
          </w:tcPr>
          <w:p>
            <w:r>
              <w:rPr/>
              <w:t>完全满足招标文件中标注“★”的条款</w:t>
            </w:r>
          </w:p>
        </w:tc>
      </w:tr>
      <w:tr>
        <w:tc>
          <w:tcPr>
            <w:tcW w:type="dxa" w:w="890"/>
          </w:tcPr>
          <w:p>
            <w:r>
              <w:rPr/>
              <w:t>5</w:t>
            </w:r>
          </w:p>
        </w:tc>
        <w:tc>
          <w:tcPr>
            <w:tcW w:type="dxa" w:w="3178"/>
          </w:tcPr>
          <w:p>
            <w:r>
              <w:rPr/>
              <w:t>未出现有关法律、法规、规章或招标文件规定的属于投标无效的情形</w:t>
            </w:r>
          </w:p>
        </w:tc>
        <w:tc>
          <w:tcPr>
            <w:tcW w:type="dxa" w:w="4238"/>
          </w:tcPr>
          <w:p>
            <w:r>
              <w:rPr/>
              <w:t>未出现有关法律、法规、规章或招标文件规定的属于投标无效的情形</w:t>
            </w:r>
          </w:p>
        </w:tc>
      </w:tr>
    </w:tbl>
    <w:p/>
    <w:p>
      <w:r>
        <w:rPr/>
        <w:t>采购包2（校园卡移动支付平台升级）：</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符合投标有效期</w:t>
            </w:r>
          </w:p>
        </w:tc>
      </w:tr>
      <w:tr>
        <w:tc>
          <w:tcPr>
            <w:tcW w:type="dxa" w:w="890"/>
          </w:tcPr>
          <w:p>
            <w:r>
              <w:rPr/>
              <w:t>2</w:t>
            </w:r>
          </w:p>
        </w:tc>
        <w:tc>
          <w:tcPr>
            <w:tcW w:type="dxa" w:w="3178"/>
          </w:tcPr>
          <w:p>
            <w:r>
              <w:rPr/>
              <w:t>投标文件按照招标文件规定要求签署、盖章</w:t>
            </w:r>
          </w:p>
        </w:tc>
        <w:tc>
          <w:tcPr>
            <w:tcW w:type="dxa" w:w="4238"/>
          </w:tcPr>
          <w:p>
            <w:r>
              <w:rPr/>
              <w:t>投标文件按照招标文件规定要求签署、盖章，包含：①投标函；②法定代表人证明书或法定代表人授权书；③开标一览表；④分项报价表</w:t>
            </w:r>
          </w:p>
        </w:tc>
      </w:tr>
      <w:tr>
        <w:tc>
          <w:tcPr>
            <w:tcW w:type="dxa" w:w="890"/>
          </w:tcPr>
          <w:p>
            <w:r>
              <w:rPr/>
              <w:t>3</w:t>
            </w:r>
          </w:p>
        </w:tc>
        <w:tc>
          <w:tcPr>
            <w:tcW w:type="dxa" w:w="3178"/>
          </w:tcPr>
          <w:p>
            <w:r>
              <w:rPr/>
              <w:t>投标报价</w:t>
            </w:r>
          </w:p>
        </w:tc>
        <w:tc>
          <w:tcPr>
            <w:tcW w:type="dxa" w:w="4238"/>
          </w:tcPr>
          <w:p>
            <w:r>
              <w:rPr/>
              <w:t>投标报价没有超出该包组最高限价</w:t>
            </w:r>
          </w:p>
        </w:tc>
      </w:tr>
      <w:tr>
        <w:tc>
          <w:tcPr>
            <w:tcW w:type="dxa" w:w="890"/>
          </w:tcPr>
          <w:p>
            <w:r>
              <w:rPr/>
              <w:t>4</w:t>
            </w:r>
          </w:p>
        </w:tc>
        <w:tc>
          <w:tcPr>
            <w:tcW w:type="dxa" w:w="3178"/>
          </w:tcPr>
          <w:p>
            <w:r>
              <w:rPr/>
              <w:t>标注“★”的条款的满足情况</w:t>
            </w:r>
          </w:p>
        </w:tc>
        <w:tc>
          <w:tcPr>
            <w:tcW w:type="dxa" w:w="4238"/>
          </w:tcPr>
          <w:p>
            <w:r>
              <w:rPr/>
              <w:t>完全满足招标文件中标注“★”的条款</w:t>
            </w:r>
          </w:p>
        </w:tc>
      </w:tr>
      <w:tr>
        <w:tc>
          <w:tcPr>
            <w:tcW w:type="dxa" w:w="890"/>
          </w:tcPr>
          <w:p>
            <w:r>
              <w:rPr/>
              <w:t>5</w:t>
            </w:r>
          </w:p>
        </w:tc>
        <w:tc>
          <w:tcPr>
            <w:tcW w:type="dxa" w:w="3178"/>
          </w:tcPr>
          <w:p>
            <w:r>
              <w:rPr/>
              <w:t>未出现有关法律、法规、规章或招标文件规定的属于投标无效的情形</w:t>
            </w:r>
          </w:p>
        </w:tc>
        <w:tc>
          <w:tcPr>
            <w:tcW w:type="dxa" w:w="4238"/>
          </w:tcPr>
          <w:p>
            <w:r>
              <w:rPr/>
              <w:t>未出现有关法律、法规、规章或招标文件规定的属于投标无效的情形</w:t>
            </w:r>
          </w:p>
        </w:tc>
      </w:tr>
    </w:tbl>
    <w:p/>
    <w:p>
      <w:r>
        <w:rPr/>
        <w:t>采购包3（白云校区图书馆监控及门禁系统补充建设采购）：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符合投标有效期</w:t>
            </w:r>
          </w:p>
        </w:tc>
      </w:tr>
      <w:tr>
        <w:tc>
          <w:tcPr>
            <w:tcW w:type="dxa" w:w="890"/>
          </w:tcPr>
          <w:p>
            <w:r>
              <w:rPr/>
              <w:t>2</w:t>
            </w:r>
          </w:p>
        </w:tc>
        <w:tc>
          <w:tcPr>
            <w:tcW w:type="dxa" w:w="3178"/>
          </w:tcPr>
          <w:p>
            <w:r>
              <w:rPr/>
              <w:t>投标文件按照招标文件规定要求签署、盖章</w:t>
            </w:r>
          </w:p>
        </w:tc>
        <w:tc>
          <w:tcPr>
            <w:tcW w:type="dxa" w:w="4238"/>
          </w:tcPr>
          <w:p>
            <w:r>
              <w:rPr/>
              <w:t>投标文件按照招标文件规定要求签署、盖章，包含：①投标函；②法定代表人证明书或法定代表人授权书；③开标一览表；④分项报价表</w:t>
            </w:r>
          </w:p>
        </w:tc>
      </w:tr>
      <w:tr>
        <w:tc>
          <w:tcPr>
            <w:tcW w:type="dxa" w:w="890"/>
          </w:tcPr>
          <w:p>
            <w:r>
              <w:rPr/>
              <w:t>3</w:t>
            </w:r>
          </w:p>
        </w:tc>
        <w:tc>
          <w:tcPr>
            <w:tcW w:type="dxa" w:w="3178"/>
          </w:tcPr>
          <w:p>
            <w:r>
              <w:rPr/>
              <w:t>投标报价</w:t>
            </w:r>
          </w:p>
        </w:tc>
        <w:tc>
          <w:tcPr>
            <w:tcW w:type="dxa" w:w="4238"/>
          </w:tcPr>
          <w:p>
            <w:r>
              <w:rPr/>
              <w:t>投标报价没有超出该包组最高限价</w:t>
            </w:r>
          </w:p>
        </w:tc>
      </w:tr>
      <w:tr>
        <w:tc>
          <w:tcPr>
            <w:tcW w:type="dxa" w:w="890"/>
          </w:tcPr>
          <w:p>
            <w:r>
              <w:rPr/>
              <w:t>4</w:t>
            </w:r>
          </w:p>
        </w:tc>
        <w:tc>
          <w:tcPr>
            <w:tcW w:type="dxa" w:w="3178"/>
          </w:tcPr>
          <w:p>
            <w:r>
              <w:rPr/>
              <w:t>标注“★”的条款的满足情况</w:t>
            </w:r>
          </w:p>
        </w:tc>
        <w:tc>
          <w:tcPr>
            <w:tcW w:type="dxa" w:w="4238"/>
          </w:tcPr>
          <w:p>
            <w:r>
              <w:rPr/>
              <w:t>完全满足招标文件中标注“★”的条款</w:t>
            </w:r>
          </w:p>
        </w:tc>
      </w:tr>
      <w:tr>
        <w:tc>
          <w:tcPr>
            <w:tcW w:type="dxa" w:w="890"/>
          </w:tcPr>
          <w:p>
            <w:r>
              <w:rPr/>
              <w:t>5</w:t>
            </w:r>
          </w:p>
        </w:tc>
        <w:tc>
          <w:tcPr>
            <w:tcW w:type="dxa" w:w="3178"/>
          </w:tcPr>
          <w:p>
            <w:r>
              <w:rPr/>
              <w:t>未出现有关法律、法规、规章或招标文件规定的属于投标无效的情形</w:t>
            </w:r>
          </w:p>
        </w:tc>
        <w:tc>
          <w:tcPr>
            <w:tcW w:type="dxa" w:w="4238"/>
          </w:tcPr>
          <w:p>
            <w:r>
              <w:rPr/>
              <w:t>未出现有关法律、法规、规章或招标文件规定的属于投标无效的情形</w:t>
            </w:r>
          </w:p>
        </w:tc>
      </w:tr>
    </w:tbl>
    <w:p/>
    <w:p>
      <w:r>
        <w:rPr/>
        <w:t>采购包4（白云校区数据中心二期模块化机房(设备)采购）：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符合投标有效期</w:t>
            </w:r>
          </w:p>
        </w:tc>
      </w:tr>
      <w:tr>
        <w:tc>
          <w:tcPr>
            <w:tcW w:type="dxa" w:w="890"/>
          </w:tcPr>
          <w:p>
            <w:r>
              <w:rPr/>
              <w:t>2</w:t>
            </w:r>
          </w:p>
        </w:tc>
        <w:tc>
          <w:tcPr>
            <w:tcW w:type="dxa" w:w="3178"/>
          </w:tcPr>
          <w:p>
            <w:r>
              <w:rPr/>
              <w:t>投标文件按照招标文件规定要求签署、盖章</w:t>
            </w:r>
          </w:p>
        </w:tc>
        <w:tc>
          <w:tcPr>
            <w:tcW w:type="dxa" w:w="4238"/>
          </w:tcPr>
          <w:p>
            <w:r>
              <w:rPr/>
              <w:t>投标文件按照招标文件规定要求签署、盖章，包含：①投标函；②法定代表人证明书或法定代表人授权书；③开标一览表；④分项报价表</w:t>
            </w:r>
          </w:p>
        </w:tc>
      </w:tr>
      <w:tr>
        <w:tc>
          <w:tcPr>
            <w:tcW w:type="dxa" w:w="890"/>
          </w:tcPr>
          <w:p>
            <w:r>
              <w:rPr/>
              <w:t>3</w:t>
            </w:r>
          </w:p>
        </w:tc>
        <w:tc>
          <w:tcPr>
            <w:tcW w:type="dxa" w:w="3178"/>
          </w:tcPr>
          <w:p>
            <w:r>
              <w:rPr/>
              <w:t>投标报价</w:t>
            </w:r>
          </w:p>
        </w:tc>
        <w:tc>
          <w:tcPr>
            <w:tcW w:type="dxa" w:w="4238"/>
          </w:tcPr>
          <w:p>
            <w:r>
              <w:rPr/>
              <w:t>投标报价没有超出该包组最高限价</w:t>
            </w:r>
          </w:p>
        </w:tc>
      </w:tr>
      <w:tr>
        <w:tc>
          <w:tcPr>
            <w:tcW w:type="dxa" w:w="890"/>
          </w:tcPr>
          <w:p>
            <w:r>
              <w:rPr/>
              <w:t>4</w:t>
            </w:r>
          </w:p>
        </w:tc>
        <w:tc>
          <w:tcPr>
            <w:tcW w:type="dxa" w:w="3178"/>
          </w:tcPr>
          <w:p>
            <w:r>
              <w:rPr/>
              <w:t>标注“★”的条款的满足情况</w:t>
            </w:r>
          </w:p>
        </w:tc>
        <w:tc>
          <w:tcPr>
            <w:tcW w:type="dxa" w:w="4238"/>
          </w:tcPr>
          <w:p>
            <w:r>
              <w:rPr/>
              <w:t>完全满足招标文件中标注“★”的条款</w:t>
            </w:r>
          </w:p>
        </w:tc>
      </w:tr>
      <w:tr>
        <w:tc>
          <w:tcPr>
            <w:tcW w:type="dxa" w:w="890"/>
          </w:tcPr>
          <w:p>
            <w:r>
              <w:rPr/>
              <w:t>5</w:t>
            </w:r>
          </w:p>
        </w:tc>
        <w:tc>
          <w:tcPr>
            <w:tcW w:type="dxa" w:w="3178"/>
          </w:tcPr>
          <w:p>
            <w:r>
              <w:rPr/>
              <w:t>未出现有关法律、法规、规章或招标文件规定的属于投标无效的情形</w:t>
            </w:r>
          </w:p>
        </w:tc>
        <w:tc>
          <w:tcPr>
            <w:tcW w:type="dxa" w:w="4238"/>
          </w:tcPr>
          <w:p>
            <w:r>
              <w:rPr/>
              <w:t>未出现有关法律、法规、规章或招标文件规定的属于投标无效的情形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采购包1校园网核心和数据中心核心设备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▲条款响应情况 (21.0分)</w:t>
            </w:r>
          </w:p>
        </w:tc>
        <w:tc>
          <w:tcPr>
            <w:tcW w:type="dxa" w:w="5076"/>
          </w:tcPr>
          <w:p>
            <w:pPr>
              <w:jc w:val="left"/>
            </w:pPr>
            <w:r>
              <w:rPr/>
              <w:t>根据招标文件的技术参数要求与投标文件的响应程度进行评审，每一项带“▲”满足要求的得3分。本项最高得21分，直到扣完为止。 注：如采购需求中有明确要求的证明资料，则以招标需求中要求的为准，如采购需求中无明确要求的，以投标人响应资料为准。未明确响应为“正偏离”或“完全符合”的视为“负偏离”。</w:t>
            </w:r>
          </w:p>
        </w:tc>
      </w:tr>
      <w:tr>
        <w:tc>
          <w:tcPr>
            <w:tcW w:type="dxa" w:w="922"/>
            <w:gridSpan w:val="2"/>
            <w:vMerge/>
          </w:tcPr>
          <w:p/>
        </w:tc>
        <w:tc>
          <w:tcPr>
            <w:tcW w:type="dxa" w:w="2307"/>
          </w:tcPr>
          <w:p>
            <w:pPr>
              <w:jc w:val="left"/>
            </w:pPr>
            <w:r>
              <w:rPr/>
              <w:t>总体方案 (10.0分)</w:t>
            </w:r>
            <w:r>
              <w:rPr/>
              <w:t>，（等次分值选择：</w:t>
            </w:r>
            <w:r>
              <w:rPr/>
              <w:t>0.0;</w:t>
            </w:r>
            <w:r>
              <w:rPr/>
              <w:t>2.0;</w:t>
            </w:r>
            <w:r>
              <w:rPr/>
              <w:t>6.0;</w:t>
            </w:r>
            <w:r>
              <w:rPr/>
              <w:t>10.0;</w:t>
            </w:r>
            <w:r>
              <w:rPr/>
              <w:t>）</w:t>
            </w:r>
          </w:p>
        </w:tc>
        <w:tc>
          <w:tcPr>
            <w:tcW w:type="dxa" w:w="5076"/>
          </w:tcPr>
          <w:p>
            <w:pPr>
              <w:jc w:val="left"/>
            </w:pPr>
            <w:r>
              <w:rPr/>
              <w:t>根据投标文件的方案是否完整、对用户需求是否理解透彻、响应采购需求的总体要求等进行评分： 1、方案完整，对用户需求理解透彻， 完全响应采购需求的总体要求，得10分； 2、方案较完整，对用户需求理解较透彻，响应采购需求的总体要求，得6分； 3、方案一般，对用户需求不理解，不完全响应采购需求的总体要求，得2分；  4、其他情况或无相关内容得0分</w:t>
            </w:r>
          </w:p>
        </w:tc>
      </w:tr>
      <w:tr>
        <w:tc>
          <w:tcPr>
            <w:tcW w:type="dxa" w:w="922"/>
            <w:gridSpan w:val="2"/>
            <w:vMerge/>
          </w:tcPr>
          <w:p/>
        </w:tc>
        <w:tc>
          <w:tcPr>
            <w:tcW w:type="dxa" w:w="2307"/>
          </w:tcPr>
          <w:p>
            <w:pPr>
              <w:jc w:val="left"/>
            </w:pPr>
            <w:r>
              <w:rPr/>
              <w:t>技术服务及安装实施方案 (5.0分)</w:t>
            </w:r>
            <w:r>
              <w:rPr/>
              <w:t>，（等次分值选择：</w:t>
            </w:r>
            <w:r>
              <w:rPr/>
              <w:t>0.0;</w:t>
            </w:r>
            <w:r>
              <w:rPr/>
              <w:t>1.0;</w:t>
            </w:r>
            <w:r>
              <w:rPr/>
              <w:t>3.0;</w:t>
            </w:r>
            <w:r>
              <w:rPr/>
              <w:t>5.0;</w:t>
            </w:r>
            <w:r>
              <w:rPr/>
              <w:t>）</w:t>
            </w:r>
          </w:p>
        </w:tc>
        <w:tc>
          <w:tcPr>
            <w:tcW w:type="dxa" w:w="5076"/>
          </w:tcPr>
          <w:p>
            <w:pPr>
              <w:jc w:val="left"/>
            </w:pPr>
            <w:r>
              <w:rPr/>
              <w:t>根据投标人提供的技术服务及安装实施方案（包括但不限于总体技术思路，服务响应时间，供货时间安排，安装部署、调试等）进行评审： 方案详细具体，可行性高、可操作性强，各时间进度安排合理，得5分； 方案较详细具体，可行性较高、可操作性较强，各时间进度安排较合理，得3分； 方案基本详细具体，可行性欠缺、可操作性欠缺，各时间进度安排基本合理，得1分； 不提供不得分。</w:t>
            </w:r>
          </w:p>
        </w:tc>
      </w:tr>
      <w:tr>
        <w:tc>
          <w:tcPr>
            <w:tcW w:type="dxa" w:w="922"/>
            <w:gridSpan w:val="2"/>
            <w:vMerge/>
          </w:tcPr>
          <w:p/>
        </w:tc>
        <w:tc>
          <w:tcPr>
            <w:tcW w:type="dxa" w:w="2307"/>
          </w:tcPr>
          <w:p>
            <w:pPr>
              <w:jc w:val="left"/>
            </w:pPr>
            <w:r>
              <w:rPr/>
              <w:t>培训、验收方案 (9.0分)</w:t>
            </w:r>
            <w:r>
              <w:rPr/>
              <w:t>，（等次分值选择：</w:t>
            </w:r>
            <w:r>
              <w:rPr/>
              <w:t>0.0;</w:t>
            </w:r>
            <w:r>
              <w:rPr/>
              <w:t>1.0;</w:t>
            </w:r>
            <w:r>
              <w:rPr/>
              <w:t>5.0;</w:t>
            </w:r>
            <w:r>
              <w:rPr/>
              <w:t>9.0;</w:t>
            </w:r>
            <w:r>
              <w:rPr/>
              <w:t>）</w:t>
            </w:r>
          </w:p>
        </w:tc>
        <w:tc>
          <w:tcPr>
            <w:tcW w:type="dxa" w:w="5076"/>
          </w:tcPr>
          <w:p>
            <w:pPr>
              <w:jc w:val="left"/>
            </w:pPr>
            <w:r>
              <w:rPr/>
              <w:t>根据投标人提供的培训、验收方案内容（包括但不限于培训时间安排、培训方式、培训内容，验收标准、验收方式、验收流程）进行评审： 方案完整具体，科学合理，切合实际，得9分； 方案较完整具体，较科学合理，较切合实际，得5分； 方案基本完整具体，基本科学合理，基本切合实际，得1分； 不提供不得分。</w:t>
            </w:r>
          </w:p>
        </w:tc>
      </w:tr>
      <w:tr>
        <w:tc>
          <w:tcPr>
            <w:tcW w:type="dxa" w:w="922"/>
            <w:gridSpan w:val="2"/>
            <w:vMerge/>
          </w:tcPr>
          <w:p/>
        </w:tc>
        <w:tc>
          <w:tcPr>
            <w:tcW w:type="dxa" w:w="2307"/>
          </w:tcPr>
          <w:p>
            <w:pPr>
              <w:jc w:val="left"/>
            </w:pPr>
            <w:r>
              <w:rPr/>
              <w:t>售后服务方案 (5.0分)</w:t>
            </w:r>
            <w:r>
              <w:rPr/>
              <w:t>，（等次分值选择：</w:t>
            </w:r>
            <w:r>
              <w:rPr/>
              <w:t>0.0;</w:t>
            </w:r>
            <w:r>
              <w:rPr/>
              <w:t>1.0;</w:t>
            </w:r>
            <w:r>
              <w:rPr/>
              <w:t>3.0;</w:t>
            </w:r>
            <w:r>
              <w:rPr/>
              <w:t>5.0;</w:t>
            </w:r>
            <w:r>
              <w:rPr/>
              <w:t>）</w:t>
            </w:r>
          </w:p>
        </w:tc>
        <w:tc>
          <w:tcPr>
            <w:tcW w:type="dxa" w:w="5076"/>
          </w:tcPr>
          <w:p>
            <w:pPr>
              <w:jc w:val="left"/>
            </w:pPr>
            <w:r>
              <w:rPr/>
              <w:t>售后服务方案针对①质保期期；②应急维修时间安排；③质保期满后的承诺；④其它服务承诺等。  售后服务方案较为详细，科学合理，得5分； 售后服务方案基本完善，基本科学合理，得3分； 售后服务方案不够完善，得1分。 未提供售后服务方案的不得分。</w:t>
            </w:r>
          </w:p>
        </w:tc>
      </w:tr>
      <w:tr>
        <w:tc>
          <w:tcPr>
            <w:tcW w:type="dxa" w:w="922"/>
            <w:gridSpan w:val="2"/>
            <w:vMerge w:val="restart"/>
          </w:tcPr>
          <w:p>
            <w:pPr>
              <w:jc w:val="center"/>
            </w:pPr>
            <w:r>
              <w:rPr/>
              <w:t>商务部分</w:t>
            </w:r>
          </w:p>
        </w:tc>
        <w:tc>
          <w:tcPr>
            <w:tcW w:type="dxa" w:w="2307"/>
          </w:tcPr>
          <w:p>
            <w:pPr>
              <w:jc w:val="left"/>
            </w:pPr>
            <w:r>
              <w:rPr/>
              <w:t>同类项目业绩 (5.0分)</w:t>
            </w:r>
          </w:p>
        </w:tc>
        <w:tc>
          <w:tcPr>
            <w:tcW w:type="dxa" w:w="5076"/>
          </w:tcPr>
          <w:p>
            <w:pPr>
              <w:jc w:val="left"/>
            </w:pPr>
            <w:r>
              <w:rPr/>
              <w:t>投标人自2019年1月1日至今，完成同类项目业绩情况，每提供一项得1分，最高得5分。  注：提供合同关键页复印件，否则不得分；以合同签订时间为准，合同关键页须包含项目名称、设备清单、双方签字盖章页等。</w:t>
            </w:r>
          </w:p>
        </w:tc>
      </w:tr>
      <w:tr>
        <w:tc>
          <w:tcPr>
            <w:tcW w:type="dxa" w:w="922"/>
            <w:gridSpan w:val="2"/>
            <w:vMerge/>
          </w:tcPr>
          <w:p/>
        </w:tc>
        <w:tc>
          <w:tcPr>
            <w:tcW w:type="dxa" w:w="2307"/>
          </w:tcPr>
          <w:p>
            <w:pPr>
              <w:jc w:val="left"/>
            </w:pPr>
            <w:r>
              <w:rPr/>
              <w:t>投标人综合实力  (8.0分)</w:t>
            </w:r>
          </w:p>
        </w:tc>
        <w:tc>
          <w:tcPr>
            <w:tcW w:type="dxa" w:w="5076"/>
          </w:tcPr>
          <w:p>
            <w:pPr>
              <w:jc w:val="left"/>
            </w:pPr>
            <w:r>
              <w:rPr/>
              <w:t>具有有效的质量管理体系认证证书，得2分； 具有有效的环境管理体系认证证书，得2分；  具有有效的职业健康安全管理体系认证证书，得2分；  具有信息安全管理体系认证认证证书，得2分。 注：同时提供有效期内的证书复印件和打印网站公布的信息资料【网址以http://www.cnca.gov.cn/网站公布为准】,已失效或撤销或暂停的不得分，未同时提供以上材料的不得分。公开信息中无法查询或与公开信息不一致的，投标人必须提供发证机构出具的证明函。</w:t>
            </w:r>
          </w:p>
        </w:tc>
      </w:tr>
      <w:tr>
        <w:tc>
          <w:tcPr>
            <w:tcW w:type="dxa" w:w="922"/>
            <w:gridSpan w:val="2"/>
            <w:vMerge/>
          </w:tcPr>
          <w:p/>
        </w:tc>
        <w:tc>
          <w:tcPr>
            <w:tcW w:type="dxa" w:w="2307"/>
          </w:tcPr>
          <w:p>
            <w:pPr>
              <w:jc w:val="left"/>
            </w:pPr>
            <w:r>
              <w:rPr/>
              <w:t>项目经理 (3.0分)</w:t>
            </w:r>
          </w:p>
        </w:tc>
        <w:tc>
          <w:tcPr>
            <w:tcW w:type="dxa" w:w="5076"/>
          </w:tcPr>
          <w:p>
            <w:pPr>
              <w:jc w:val="left"/>
            </w:pPr>
            <w:r>
              <w:rPr/>
              <w:t>拟投入本项目的项目经理具有以下证书的： 1.信息系统项目管理师（高级）； 2.注册信息安全专业人员证书（管理人员）证书； 3.信息安全保障人员认证证书（安全运维类）； 4.ITIL证书； 5.ITSS服务项目经理。 每具有一个得1分，最高得3分。 注：提供上述人员对应的证书复印件及在本单位任职的证明材料（如加盖所在地区政府有关部门印章的打印日期在本项目投标截止日之前三个月任一个月的《投保单》或《社会保险参保人员证明》，或单位代缴个人所得税税单等。）。要求在对应人名处圈记并能清楚分辨所在单位。</w:t>
            </w:r>
          </w:p>
        </w:tc>
      </w:tr>
      <w:tr>
        <w:tc>
          <w:tcPr>
            <w:tcW w:type="dxa" w:w="922"/>
            <w:gridSpan w:val="2"/>
            <w:vMerge/>
          </w:tcPr>
          <w:p/>
        </w:tc>
        <w:tc>
          <w:tcPr>
            <w:tcW w:type="dxa" w:w="2307"/>
          </w:tcPr>
          <w:p>
            <w:pPr>
              <w:jc w:val="left"/>
            </w:pPr>
            <w:r>
              <w:rPr/>
              <w:t>项目团队成员 （除项目经理外） (4.0分)</w:t>
            </w:r>
          </w:p>
        </w:tc>
        <w:tc>
          <w:tcPr>
            <w:tcW w:type="dxa" w:w="5076"/>
          </w:tcPr>
          <w:p>
            <w:pPr>
              <w:jc w:val="left"/>
            </w:pPr>
            <w:r>
              <w:rPr/>
              <w:t>1.拟投入本项目的团队成员每一人具有信息安全保障人员认证证书或信息系统项目管理师（高级）或ITIL证书或ITSS服务项目经理的，得2分，最高得4分。 注：以上人员不重复得分。提供上述人员对应的证书复印件及在本单位任职的证明材料（如加盖所在地区政府有关部门印章的打印日期在本项目投标截止日之前三个月任一个月的《投保单》或《社会保险参保人员证明》，或单位代缴个人所得税税单等。）。要求在对应人名处圈记并能清楚分辨所在单位。</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采购包2校园卡移动支付平台升级</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技术部分45.0分</w:t>
            </w:r>
          </w:p>
          <w:p>
            <w:r>
              <w:rPr/>
              <w:t>报价得分30.0分</w:t>
            </w:r>
          </w:p>
        </w:tc>
      </w:tr>
      <w:tr>
        <w:tc>
          <w:tcPr>
            <w:tcW w:type="dxa" w:w="922"/>
            <w:gridSpan w:val="2"/>
            <w:vMerge w:val="restart"/>
          </w:tcPr>
          <w:p>
            <w:pPr>
              <w:jc w:val="center"/>
            </w:pPr>
            <w:r>
              <w:rPr/>
              <w:t>技术部分</w:t>
            </w:r>
          </w:p>
        </w:tc>
        <w:tc>
          <w:tcPr>
            <w:tcW w:type="dxa" w:w="2307"/>
          </w:tcPr>
          <w:p>
            <w:pPr>
              <w:jc w:val="left"/>
            </w:pPr>
            <w:r>
              <w:rPr/>
              <w:t>▲条款响应情况 (24.0分)</w:t>
            </w:r>
          </w:p>
        </w:tc>
        <w:tc>
          <w:tcPr>
            <w:tcW w:type="dxa" w:w="5076"/>
          </w:tcPr>
          <w:p>
            <w:pPr>
              <w:jc w:val="left"/>
            </w:pPr>
            <w:r>
              <w:rPr/>
              <w:t>根据招标文件的技术参数要求与投标文件的响应程度进行评审，每一项带“▲”满足要求的得4分。本项最高得24分，直到扣完为止。 注：如采购需求中有明确要求的证明资料，则以招标需求中要求的为准，如采购需求中无明确要求的，以投标人响应资料为准。未明确响应为“正偏离”或“完全符合”的视为“负偏离”。</w:t>
            </w:r>
          </w:p>
        </w:tc>
      </w:tr>
      <w:tr>
        <w:tc>
          <w:tcPr>
            <w:tcW w:type="dxa" w:w="922"/>
            <w:gridSpan w:val="2"/>
            <w:vMerge/>
          </w:tcPr>
          <w:p/>
        </w:tc>
        <w:tc>
          <w:tcPr>
            <w:tcW w:type="dxa" w:w="2307"/>
          </w:tcPr>
          <w:p>
            <w:pPr>
              <w:jc w:val="left"/>
            </w:pPr>
            <w:r>
              <w:rPr/>
              <w:t>技术服务及安装实施方案 (10.0分)</w:t>
            </w:r>
            <w:r>
              <w:rPr/>
              <w:t>，（等次分值选择：</w:t>
            </w:r>
            <w:r>
              <w:rPr/>
              <w:t>0.0;</w:t>
            </w:r>
            <w:r>
              <w:rPr/>
              <w:t>2.0;</w:t>
            </w:r>
            <w:r>
              <w:rPr/>
              <w:t>6.0;</w:t>
            </w:r>
            <w:r>
              <w:rPr/>
              <w:t>10.0;</w:t>
            </w:r>
            <w:r>
              <w:rPr/>
              <w:t>）</w:t>
            </w:r>
          </w:p>
        </w:tc>
        <w:tc>
          <w:tcPr>
            <w:tcW w:type="dxa" w:w="5076"/>
          </w:tcPr>
          <w:p>
            <w:pPr>
              <w:jc w:val="left"/>
            </w:pPr>
            <w:r>
              <w:rPr/>
              <w:t>根据投标人提供的技术服务及安装实施方案（包括但不限于总体技术思路、兼容性，服务响应时间，供货时间安排，安装部署、调试等）进行评审： 方案详细具体，可行性高、可操作性强，各时间进度安排合理，得10分； 方案较详细具体，可行性较高、可操作性较强，各时间进度安排较合理，得6分； 方案基本详细具体，可行性欠缺、可操作性欠缺，各时间进度安排基本合理，得2分； 不提供不得分。</w:t>
            </w:r>
          </w:p>
        </w:tc>
      </w:tr>
      <w:tr>
        <w:tc>
          <w:tcPr>
            <w:tcW w:type="dxa" w:w="922"/>
            <w:gridSpan w:val="2"/>
            <w:vMerge/>
          </w:tcPr>
          <w:p/>
        </w:tc>
        <w:tc>
          <w:tcPr>
            <w:tcW w:type="dxa" w:w="2307"/>
          </w:tcPr>
          <w:p>
            <w:pPr>
              <w:jc w:val="left"/>
            </w:pPr>
            <w:r>
              <w:rPr/>
              <w:t>培训、验收方案 (6.0分)</w:t>
            </w:r>
            <w:r>
              <w:rPr/>
              <w:t>，（等次分值选择：</w:t>
            </w:r>
            <w:r>
              <w:rPr/>
              <w:t>0.0;</w:t>
            </w:r>
            <w:r>
              <w:rPr/>
              <w:t>2.0;</w:t>
            </w:r>
            <w:r>
              <w:rPr/>
              <w:t>4.0;</w:t>
            </w:r>
            <w:r>
              <w:rPr/>
              <w:t>6.0;</w:t>
            </w:r>
            <w:r>
              <w:rPr/>
              <w:t>）</w:t>
            </w:r>
          </w:p>
        </w:tc>
        <w:tc>
          <w:tcPr>
            <w:tcW w:type="dxa" w:w="5076"/>
          </w:tcPr>
          <w:p>
            <w:pPr>
              <w:jc w:val="left"/>
            </w:pPr>
            <w:r>
              <w:rPr/>
              <w:t>根据投标人提供的培训、验收方案内容（包括但不限于培训时间安排、培训方式、培训内容，验收标准、验收方式、验收流程）进行评审： 方案完整具体，科学合理，切合实际，得6分； 方案较完整具体，较科学合理，较切合实际，得4分； 方案基本完整具体，基本科学合理，基本切合实际，得2分； 不提供不得分。</w:t>
            </w:r>
          </w:p>
        </w:tc>
      </w:tr>
      <w:tr>
        <w:tc>
          <w:tcPr>
            <w:tcW w:type="dxa" w:w="922"/>
            <w:gridSpan w:val="2"/>
            <w:vMerge/>
          </w:tcPr>
          <w:p/>
        </w:tc>
        <w:tc>
          <w:tcPr>
            <w:tcW w:type="dxa" w:w="2307"/>
          </w:tcPr>
          <w:p>
            <w:pPr>
              <w:jc w:val="left"/>
            </w:pPr>
            <w:r>
              <w:rPr/>
              <w:t>售后服务方案  (5.0分)</w:t>
            </w:r>
            <w:r>
              <w:rPr/>
              <w:t>，（等次分值选择：</w:t>
            </w:r>
            <w:r>
              <w:rPr/>
              <w:t>0.0;</w:t>
            </w:r>
            <w:r>
              <w:rPr/>
              <w:t>1.0;</w:t>
            </w:r>
            <w:r>
              <w:rPr/>
              <w:t>3.0;</w:t>
            </w:r>
            <w:r>
              <w:rPr/>
              <w:t>5.0;</w:t>
            </w:r>
            <w:r>
              <w:rPr/>
              <w:t>）</w:t>
            </w:r>
          </w:p>
        </w:tc>
        <w:tc>
          <w:tcPr>
            <w:tcW w:type="dxa" w:w="5076"/>
          </w:tcPr>
          <w:p>
            <w:pPr>
              <w:jc w:val="left"/>
            </w:pPr>
            <w:r>
              <w:rPr/>
              <w:t>售后服务方案针对①质保期期；②应急维修时间安排；③质保期满后的承诺；④其它服务承诺等。  售后服务方案较为详细，科学合理，得5分； 售后服务方案基本完善，基本科学合理，得3分； 售后服务方案不够完善，得1分。 未提供售后服务方案的不得分。</w:t>
            </w:r>
          </w:p>
        </w:tc>
      </w:tr>
      <w:tr>
        <w:tc>
          <w:tcPr>
            <w:tcW w:type="dxa" w:w="922"/>
            <w:gridSpan w:val="2"/>
            <w:vMerge w:val="restart"/>
          </w:tcPr>
          <w:p>
            <w:pPr>
              <w:jc w:val="center"/>
            </w:pPr>
            <w:r>
              <w:rPr/>
              <w:t>商务部分</w:t>
            </w:r>
          </w:p>
        </w:tc>
        <w:tc>
          <w:tcPr>
            <w:tcW w:type="dxa" w:w="2307"/>
          </w:tcPr>
          <w:p>
            <w:pPr>
              <w:jc w:val="left"/>
            </w:pPr>
            <w:r>
              <w:rPr/>
              <w:t>同类项目业绩 (7.0分)</w:t>
            </w:r>
          </w:p>
        </w:tc>
        <w:tc>
          <w:tcPr>
            <w:tcW w:type="dxa" w:w="5076"/>
          </w:tcPr>
          <w:p>
            <w:pPr>
              <w:jc w:val="left"/>
            </w:pPr>
            <w:r>
              <w:rPr/>
              <w:t>投标人自2019年1月1日至今，完成同类项目业绩情况，每提供一项得1分，最高得7分。  注：提供合同关键页复印件，否则不得分；以合同签订时间为准，合同关键页须包含项目名称、设备清单、双方签字盖章页等。</w:t>
            </w:r>
          </w:p>
        </w:tc>
      </w:tr>
      <w:tr>
        <w:tc>
          <w:tcPr>
            <w:tcW w:type="dxa" w:w="922"/>
            <w:gridSpan w:val="2"/>
            <w:vMerge/>
          </w:tcPr>
          <w:p/>
        </w:tc>
        <w:tc>
          <w:tcPr>
            <w:tcW w:type="dxa" w:w="2307"/>
          </w:tcPr>
          <w:p>
            <w:pPr>
              <w:jc w:val="left"/>
            </w:pPr>
            <w:r>
              <w:rPr/>
              <w:t>投标人综合实力  (4.0分)</w:t>
            </w:r>
          </w:p>
        </w:tc>
        <w:tc>
          <w:tcPr>
            <w:tcW w:type="dxa" w:w="5076"/>
          </w:tcPr>
          <w:p>
            <w:pPr>
              <w:jc w:val="left"/>
            </w:pPr>
            <w:r>
              <w:rPr/>
              <w:t>具有有效的质量管理体系认证证书，得1分； 具有有效的职业健康安全管理体系认证证书，得1分；  具有信息安全管理体系认证认证证书，得1分； 具有信息技术服务管理体系认证证书，得1分。 注：同时提供有效期内的证书复印件和打印网站公布的信息资料【网址以http://www.cnca.gov.cn/网站公布为准】,已失效或撤销或暂停的不得分，未同时提供以上材料的不得分。公开信息中无法查询或与公开信息不一致的，投标人必须提供发证机构出具的证明函。</w:t>
            </w:r>
          </w:p>
        </w:tc>
      </w:tr>
      <w:tr>
        <w:tc>
          <w:tcPr>
            <w:tcW w:type="dxa" w:w="922"/>
            <w:gridSpan w:val="2"/>
            <w:vMerge/>
          </w:tcPr>
          <w:p/>
        </w:tc>
        <w:tc>
          <w:tcPr>
            <w:tcW w:type="dxa" w:w="2307"/>
          </w:tcPr>
          <w:p>
            <w:pPr>
              <w:jc w:val="left"/>
            </w:pPr>
            <w:r>
              <w:rPr/>
              <w:t>项目经理 (3.0分)</w:t>
            </w:r>
          </w:p>
        </w:tc>
        <w:tc>
          <w:tcPr>
            <w:tcW w:type="dxa" w:w="5076"/>
          </w:tcPr>
          <w:p>
            <w:pPr>
              <w:jc w:val="left"/>
            </w:pPr>
            <w:r>
              <w:rPr/>
              <w:t>拟投入本项目的项目经理具有系统集成项目管理工程师证书提供得3分，无0分。 注：提供上述人员对应的证书复印件及在本单位任职的证明材料（如加盖所在地区政府有关部门印章的打印日期在本项目投标截止日之前三个月任一个月的《投保单》或《社会保险参保人员证明》，或单位代缴个人所得税税单等。）。要求在对应人名处圈记并能清楚分辨所在单位。</w:t>
            </w:r>
          </w:p>
        </w:tc>
      </w:tr>
      <w:tr>
        <w:tc>
          <w:tcPr>
            <w:tcW w:type="dxa" w:w="922"/>
            <w:gridSpan w:val="2"/>
            <w:vMerge/>
          </w:tcPr>
          <w:p/>
        </w:tc>
        <w:tc>
          <w:tcPr>
            <w:tcW w:type="dxa" w:w="2307"/>
          </w:tcPr>
          <w:p>
            <w:pPr>
              <w:jc w:val="left"/>
            </w:pPr>
            <w:r>
              <w:rPr/>
              <w:t>团队成员（除项目经理外） (6.0分)</w:t>
            </w:r>
          </w:p>
        </w:tc>
        <w:tc>
          <w:tcPr>
            <w:tcW w:type="dxa" w:w="5076"/>
          </w:tcPr>
          <w:p>
            <w:pPr>
              <w:jc w:val="left"/>
            </w:pPr>
            <w:r>
              <w:rPr/>
              <w:t>拟投入本项目的团队成员每一人具有信息系统项目管理师（高级）或系统集成项目管理工程师证书的，得2分，最高得6分。 注：以上人员不重复得分。提供上述人员对应的证书复印件及在本单位任职的证明材料（如加盖所在地区政府有关部门印章的打印日期在本项目投标截止日之前三个月任一个月的《投保单》或《社会保险参保人员证明》，或单位代缴个人所得税税单等。）。要求在对应人名处圈记并能清楚分辨所在单位。</w:t>
            </w:r>
          </w:p>
        </w:tc>
      </w:tr>
      <w:tr>
        <w:tc>
          <w:tcPr>
            <w:tcW w:type="dxa" w:w="922"/>
            <w:gridSpan w:val="2"/>
            <w:vMerge/>
          </w:tcPr>
          <w:p/>
        </w:tc>
        <w:tc>
          <w:tcPr>
            <w:tcW w:type="dxa" w:w="2307"/>
          </w:tcPr>
          <w:p>
            <w:pPr>
              <w:jc w:val="left"/>
            </w:pPr>
            <w:r>
              <w:rPr/>
              <w:t>投标人售后服务能力 (5.0分)</w:t>
            </w:r>
          </w:p>
        </w:tc>
        <w:tc>
          <w:tcPr>
            <w:tcW w:type="dxa" w:w="5076"/>
          </w:tcPr>
          <w:p>
            <w:pPr>
              <w:jc w:val="left"/>
            </w:pPr>
            <w:r>
              <w:rPr/>
              <w:t>投标人具有良好的售后服务能力，并获得GB/T 27925-2011标准的品牌服务认证证书，获得五星级的得5分，四星级的得3分，三星级得2分、三星级以下得1分，无不得分。 备注：需提供以上有效证书复印件，否则不得分。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采购包3白云校区图书馆监控及门禁系统补充建设采购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技术部分45.0分</w:t>
            </w:r>
          </w:p>
          <w:p>
            <w:r>
              <w:rPr/>
              <w:t>报价得分30.0分</w:t>
            </w:r>
          </w:p>
        </w:tc>
      </w:tr>
      <w:tr>
        <w:tc>
          <w:tcPr>
            <w:tcW w:type="dxa" w:w="922"/>
            <w:gridSpan w:val="2"/>
            <w:vMerge w:val="restart"/>
          </w:tcPr>
          <w:p>
            <w:pPr>
              <w:jc w:val="center"/>
            </w:pPr>
            <w:r>
              <w:rPr/>
              <w:t>技术部分</w:t>
            </w:r>
          </w:p>
        </w:tc>
        <w:tc>
          <w:tcPr>
            <w:tcW w:type="dxa" w:w="2307"/>
          </w:tcPr>
          <w:p>
            <w:pPr>
              <w:jc w:val="left"/>
            </w:pPr>
            <w:r>
              <w:rPr/>
              <w:t>▲条款响应情况 (20.0分)</w:t>
            </w:r>
          </w:p>
        </w:tc>
        <w:tc>
          <w:tcPr>
            <w:tcW w:type="dxa" w:w="5076"/>
          </w:tcPr>
          <w:p>
            <w:pPr>
              <w:jc w:val="left"/>
            </w:pPr>
            <w:r>
              <w:rPr/>
              <w:t>根据招标文件的技术参数要求与投标文件的响应程度进行评审，每一项带“▲”满足要求的得4分。本项最高得20分，直到扣完为止。 注：如采购需求中有明确要求的证明资料，则以招标需求中要求的为准，如采购需求中无明确要求的，以投标人响应资料为准。未明确响应为“正偏离”或“完全符合”的视为“负偏离”。</w:t>
            </w:r>
          </w:p>
        </w:tc>
      </w:tr>
      <w:tr>
        <w:tc>
          <w:tcPr>
            <w:tcW w:type="dxa" w:w="922"/>
            <w:gridSpan w:val="2"/>
            <w:vMerge/>
          </w:tcPr>
          <w:p/>
        </w:tc>
        <w:tc>
          <w:tcPr>
            <w:tcW w:type="dxa" w:w="2307"/>
          </w:tcPr>
          <w:p>
            <w:pPr>
              <w:jc w:val="left"/>
            </w:pPr>
            <w:r>
              <w:rPr/>
              <w:t>技术服务及安装实施方案 (10.0分)</w:t>
            </w:r>
            <w:r>
              <w:rPr/>
              <w:t>，（等次分值选择：</w:t>
            </w:r>
            <w:r>
              <w:rPr/>
              <w:t>0.0;</w:t>
            </w:r>
            <w:r>
              <w:rPr/>
              <w:t>2.0;</w:t>
            </w:r>
            <w:r>
              <w:rPr/>
              <w:t>6.0;</w:t>
            </w:r>
            <w:r>
              <w:rPr/>
              <w:t>10.0;</w:t>
            </w:r>
            <w:r>
              <w:rPr/>
              <w:t>）</w:t>
            </w:r>
          </w:p>
        </w:tc>
        <w:tc>
          <w:tcPr>
            <w:tcW w:type="dxa" w:w="5076"/>
          </w:tcPr>
          <w:p>
            <w:pPr>
              <w:jc w:val="left"/>
            </w:pPr>
            <w:r>
              <w:rPr/>
              <w:t>根据投标人提供的技术服务及安装实施方案（包括但不限于总体技术思路，服务响应时间，供货时间安排，安装部署、调试等）进行评审： 方案详细具体，可行性高、可操作性强，各时间进度安排合理，得10分； 方案较详细具体，可行性较高、可操作性较强，各时间进度安排较合理，得6分； 方案基本详细具体，可行性欠缺、可操作性欠缺，各时间进度安排基本合理，得2分； 不提供不得分。</w:t>
            </w:r>
          </w:p>
        </w:tc>
      </w:tr>
      <w:tr>
        <w:tc>
          <w:tcPr>
            <w:tcW w:type="dxa" w:w="922"/>
            <w:gridSpan w:val="2"/>
            <w:vMerge/>
          </w:tcPr>
          <w:p/>
        </w:tc>
        <w:tc>
          <w:tcPr>
            <w:tcW w:type="dxa" w:w="2307"/>
          </w:tcPr>
          <w:p>
            <w:pPr>
              <w:jc w:val="left"/>
            </w:pPr>
            <w:r>
              <w:rPr/>
              <w:t>培训、验收方案 (8.0分)</w:t>
            </w:r>
            <w:r>
              <w:rPr/>
              <w:t>，（等次分值选择：</w:t>
            </w:r>
            <w:r>
              <w:rPr/>
              <w:t>0.0;</w:t>
            </w:r>
            <w:r>
              <w:rPr/>
              <w:t>2.0;</w:t>
            </w:r>
            <w:r>
              <w:rPr/>
              <w:t>5.0;</w:t>
            </w:r>
            <w:r>
              <w:rPr/>
              <w:t>8.0;</w:t>
            </w:r>
            <w:r>
              <w:rPr/>
              <w:t>）</w:t>
            </w:r>
          </w:p>
        </w:tc>
        <w:tc>
          <w:tcPr>
            <w:tcW w:type="dxa" w:w="5076"/>
          </w:tcPr>
          <w:p>
            <w:pPr>
              <w:jc w:val="left"/>
            </w:pPr>
            <w:r>
              <w:rPr/>
              <w:t>根据投标人提供的培训、验收方案内容（包括但不限于培训时间安排、培训方式、培训内容，验收标准、验收方式、验收流程）进行评审： 方案完整具体，科学合理，切合实际，得8分； 方案较完整具体，较科学合理，较切合实际，得5分； 方案基本完整具体，基本科学合理，基本切合实际，得2分； 不提供不得分。</w:t>
            </w:r>
          </w:p>
        </w:tc>
      </w:tr>
      <w:tr>
        <w:tc>
          <w:tcPr>
            <w:tcW w:type="dxa" w:w="922"/>
            <w:gridSpan w:val="2"/>
            <w:vMerge/>
          </w:tcPr>
          <w:p/>
        </w:tc>
        <w:tc>
          <w:tcPr>
            <w:tcW w:type="dxa" w:w="2307"/>
          </w:tcPr>
          <w:p>
            <w:pPr>
              <w:jc w:val="left"/>
            </w:pPr>
            <w:r>
              <w:rPr/>
              <w:t>售后服务方案 (7.0分)</w:t>
            </w:r>
            <w:r>
              <w:rPr/>
              <w:t>，（等次分值选择：</w:t>
            </w:r>
            <w:r>
              <w:rPr/>
              <w:t>0.0;</w:t>
            </w:r>
            <w:r>
              <w:rPr/>
              <w:t>1.0;</w:t>
            </w:r>
            <w:r>
              <w:rPr/>
              <w:t>4.0;</w:t>
            </w:r>
            <w:r>
              <w:rPr/>
              <w:t>7.0;</w:t>
            </w:r>
            <w:r>
              <w:rPr/>
              <w:t>）</w:t>
            </w:r>
          </w:p>
        </w:tc>
        <w:tc>
          <w:tcPr>
            <w:tcW w:type="dxa" w:w="5076"/>
          </w:tcPr>
          <w:p>
            <w:pPr>
              <w:jc w:val="left"/>
            </w:pPr>
            <w:r>
              <w:rPr/>
              <w:t>售后服务方案针对①质保期期；②应急维修时间安排；③质保期满后的承诺；④其它服务承诺等。  售后服务方案较为详细，科学合理，得7分； 售后服务方案基本完善，基本科学合理，得4分； 售后服务方案不够完善，得1分。 未提供售后服务方案的不得分。</w:t>
            </w:r>
          </w:p>
        </w:tc>
      </w:tr>
      <w:tr>
        <w:tc>
          <w:tcPr>
            <w:tcW w:type="dxa" w:w="922"/>
            <w:gridSpan w:val="2"/>
            <w:vMerge w:val="restart"/>
          </w:tcPr>
          <w:p>
            <w:pPr>
              <w:jc w:val="center"/>
            </w:pPr>
            <w:r>
              <w:rPr/>
              <w:t>商务部分</w:t>
            </w:r>
          </w:p>
        </w:tc>
        <w:tc>
          <w:tcPr>
            <w:tcW w:type="dxa" w:w="2307"/>
          </w:tcPr>
          <w:p>
            <w:pPr>
              <w:jc w:val="left"/>
            </w:pPr>
            <w:r>
              <w:rPr/>
              <w:t>同类项目业绩 (10.0分)</w:t>
            </w:r>
          </w:p>
        </w:tc>
        <w:tc>
          <w:tcPr>
            <w:tcW w:type="dxa" w:w="5076"/>
          </w:tcPr>
          <w:p>
            <w:pPr>
              <w:jc w:val="left"/>
            </w:pPr>
            <w:r>
              <w:rPr/>
              <w:t>投标人自2019年1月1日至今，完成同类项目业绩情况，每提供一项得1分，最高得10分。  注：提供合同关键页复印件，否则不得分；以合同签订时间为准，合同关键页须包含项目名称、设备清单、双方签字盖章页等。</w:t>
            </w:r>
          </w:p>
        </w:tc>
      </w:tr>
      <w:tr>
        <w:tc>
          <w:tcPr>
            <w:tcW w:type="dxa" w:w="922"/>
            <w:gridSpan w:val="2"/>
            <w:vMerge/>
          </w:tcPr>
          <w:p/>
        </w:tc>
        <w:tc>
          <w:tcPr>
            <w:tcW w:type="dxa" w:w="2307"/>
          </w:tcPr>
          <w:p>
            <w:pPr>
              <w:jc w:val="left"/>
            </w:pPr>
            <w:r>
              <w:rPr/>
              <w:t>投标人综合实力 (4.0分)</w:t>
            </w:r>
          </w:p>
        </w:tc>
        <w:tc>
          <w:tcPr>
            <w:tcW w:type="dxa" w:w="5076"/>
          </w:tcPr>
          <w:p>
            <w:pPr>
              <w:jc w:val="left"/>
            </w:pPr>
            <w:r>
              <w:rPr/>
              <w:t>具有有效的质量管理体系认证证书，得1分； 具有有效的环境管理体系认证证书，得1分；  具有有效的职业健康安全管理体系认证证书，得1分。  具有信息安全管理体系认证认证证书，得1分。  注：同时提供有效期内的证书复印件和打印网站公布的信息资料【网址以http://www.cnca.gov.cn/网站公布为准】,已失效或撤销或暂停的不得分，未同时提供以上材料的不得分。公开信息中无法查询或与公开信息不一致的，投标人必须提供发证机构出具的证明函。</w:t>
            </w:r>
          </w:p>
        </w:tc>
      </w:tr>
      <w:tr>
        <w:tc>
          <w:tcPr>
            <w:tcW w:type="dxa" w:w="922"/>
            <w:gridSpan w:val="2"/>
            <w:vMerge/>
          </w:tcPr>
          <w:p/>
        </w:tc>
        <w:tc>
          <w:tcPr>
            <w:tcW w:type="dxa" w:w="2307"/>
          </w:tcPr>
          <w:p>
            <w:pPr>
              <w:jc w:val="left"/>
            </w:pPr>
            <w:r>
              <w:rPr/>
              <w:t>项目经理 (3.0分)</w:t>
            </w:r>
          </w:p>
        </w:tc>
        <w:tc>
          <w:tcPr>
            <w:tcW w:type="dxa" w:w="5076"/>
          </w:tcPr>
          <w:p>
            <w:pPr>
              <w:jc w:val="left"/>
            </w:pPr>
            <w:r>
              <w:rPr/>
              <w:t>拟投入本项目的项目经理具有以下证书的： 1.信息系统项目管理师（高级）； 2.注册信息安全专业人员证书（管理人员）证书 3.信息安全保障人员认证证书（安全运维类） 4.ITIL证书 5.ITSS服务项目经理 每具有一个得1分，最高得3分。 注：提供上述人员对应的证书复印件及在本单位任职的证明材料（如加盖所在地区政府有关部门印章的打印日期在本项目投标截止日之前三个月任一个月的《投保单》或《社会保险参保人员证明》，或单位代缴个人所得税税单等。）。要求在对应人名处圈记并能清楚分辨所在单位。</w:t>
            </w:r>
          </w:p>
        </w:tc>
      </w:tr>
      <w:tr>
        <w:tc>
          <w:tcPr>
            <w:tcW w:type="dxa" w:w="922"/>
            <w:gridSpan w:val="2"/>
            <w:vMerge/>
          </w:tcPr>
          <w:p/>
        </w:tc>
        <w:tc>
          <w:tcPr>
            <w:tcW w:type="dxa" w:w="2307"/>
          </w:tcPr>
          <w:p>
            <w:pPr>
              <w:jc w:val="left"/>
            </w:pPr>
            <w:r>
              <w:rPr/>
              <w:t>项目团队成员 （除项目经理外） (8.0分)</w:t>
            </w:r>
          </w:p>
        </w:tc>
        <w:tc>
          <w:tcPr>
            <w:tcW w:type="dxa" w:w="5076"/>
          </w:tcPr>
          <w:p>
            <w:pPr>
              <w:jc w:val="left"/>
            </w:pPr>
            <w:r>
              <w:rPr/>
              <w:t>1.拟投入本项目的团队成员每一人具有信息安全保障人员认证证书或信息系统项目管理师（高级）或ITIL证书或ITSS服务项目经理的，得2分，最高得8分。 注：以上人员不重复得分。提供上述人员对应的证书复印件及在本单位任职的证明材料（如加盖所在地区政府有关部门印章的打印日期在本项目投标截止日之前三个月任一个月的《投保单》或《社会保险参保人员证明》，或单位代缴个人所得税税单等。）。要求在对应人名处圈记并能清楚分辨所在单位。</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采购包4白云校区数据中心二期模块化机房(设备)采购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技术部分45.0分</w:t>
            </w:r>
          </w:p>
          <w:p>
            <w:r>
              <w:rPr/>
              <w:t>报价得分30.0分</w:t>
            </w:r>
          </w:p>
        </w:tc>
      </w:tr>
      <w:tr>
        <w:tc>
          <w:tcPr>
            <w:tcW w:type="dxa" w:w="922"/>
            <w:gridSpan w:val="2"/>
            <w:vMerge w:val="restart"/>
          </w:tcPr>
          <w:p>
            <w:pPr>
              <w:jc w:val="center"/>
            </w:pPr>
            <w:r>
              <w:rPr/>
              <w:t>技术部分</w:t>
            </w:r>
          </w:p>
        </w:tc>
        <w:tc>
          <w:tcPr>
            <w:tcW w:type="dxa" w:w="2307"/>
          </w:tcPr>
          <w:p>
            <w:pPr>
              <w:jc w:val="left"/>
            </w:pPr>
            <w:r>
              <w:rPr/>
              <w:t>▲条款响应情况 (20.0分)</w:t>
            </w:r>
          </w:p>
        </w:tc>
        <w:tc>
          <w:tcPr>
            <w:tcW w:type="dxa" w:w="5076"/>
          </w:tcPr>
          <w:p>
            <w:pPr>
              <w:jc w:val="left"/>
            </w:pPr>
            <w:r>
              <w:rPr/>
              <w:t>根据招标文件的技术参数要求与投标文件的响应程度进行评审，每一项带“▲”满足要求的得2分。本项最高得20分，直到扣完为止。 注：如采购需求中有明确要求的证明资料，则以招标需求中要求的为准，如采购需求中无明确要求的，以投标人响应资料为准。未明确响应为“正偏离”或“完全符合”的视为“负偏离”。</w:t>
            </w:r>
          </w:p>
        </w:tc>
      </w:tr>
      <w:tr>
        <w:tc>
          <w:tcPr>
            <w:tcW w:type="dxa" w:w="922"/>
            <w:gridSpan w:val="2"/>
            <w:vMerge/>
          </w:tcPr>
          <w:p/>
        </w:tc>
        <w:tc>
          <w:tcPr>
            <w:tcW w:type="dxa" w:w="2307"/>
          </w:tcPr>
          <w:p>
            <w:pPr>
              <w:jc w:val="left"/>
            </w:pPr>
            <w:r>
              <w:rPr/>
              <w:t>总体方案 (10.0分)</w:t>
            </w:r>
            <w:r>
              <w:rPr/>
              <w:t>，（等次分值选择：</w:t>
            </w:r>
            <w:r>
              <w:rPr/>
              <w:t>0.0;</w:t>
            </w:r>
            <w:r>
              <w:rPr/>
              <w:t>2.0;</w:t>
            </w:r>
            <w:r>
              <w:rPr/>
              <w:t>6.0;</w:t>
            </w:r>
            <w:r>
              <w:rPr/>
              <w:t>10.0;</w:t>
            </w:r>
            <w:r>
              <w:rPr/>
              <w:t>）</w:t>
            </w:r>
          </w:p>
        </w:tc>
        <w:tc>
          <w:tcPr>
            <w:tcW w:type="dxa" w:w="5076"/>
          </w:tcPr>
          <w:p>
            <w:pPr>
              <w:jc w:val="left"/>
            </w:pPr>
            <w:r>
              <w:rPr/>
              <w:t>根据投标文件的方案是否完整、 对用户需求是否理解透彻、响应采购需求的总体要求等进行评分：  1.方案完整，对用户需求理解透彻， 完全响应采购需求的总体要求，得10分；  2.方案较完整，对用户需求理解较透彻，部分响应采购需求的总体要求，得6分；  3.方案一般，对用户需求不理解， 不完全响应采购需求的总体要求，得2分；  4.其他情况或无相关内容得0分</w:t>
            </w:r>
          </w:p>
        </w:tc>
      </w:tr>
      <w:tr>
        <w:tc>
          <w:tcPr>
            <w:tcW w:type="dxa" w:w="922"/>
            <w:gridSpan w:val="2"/>
            <w:vMerge/>
          </w:tcPr>
          <w:p/>
        </w:tc>
        <w:tc>
          <w:tcPr>
            <w:tcW w:type="dxa" w:w="2307"/>
          </w:tcPr>
          <w:p>
            <w:pPr>
              <w:jc w:val="left"/>
            </w:pPr>
            <w:r>
              <w:rPr/>
              <w:t>技术服务及安装实施方案  (7.0分)</w:t>
            </w:r>
            <w:r>
              <w:rPr/>
              <w:t>，（等次分值选择：</w:t>
            </w:r>
            <w:r>
              <w:rPr/>
              <w:t>0.0;</w:t>
            </w:r>
            <w:r>
              <w:rPr/>
              <w:t>1.0;</w:t>
            </w:r>
            <w:r>
              <w:rPr/>
              <w:t>4.0;</w:t>
            </w:r>
            <w:r>
              <w:rPr/>
              <w:t>7.0;</w:t>
            </w:r>
            <w:r>
              <w:rPr/>
              <w:t>）</w:t>
            </w:r>
          </w:p>
        </w:tc>
        <w:tc>
          <w:tcPr>
            <w:tcW w:type="dxa" w:w="5076"/>
          </w:tcPr>
          <w:p>
            <w:pPr>
              <w:jc w:val="left"/>
            </w:pPr>
            <w:r>
              <w:rPr/>
              <w:t>根据投标人提供的技术服务及安装实施方案（包括但不限于总体技术思路，服务响应时间，供货时间安排，安装部署、调试等）进行评审： 方案详细具体，可行性高、可操作性强，各时间进度安排合理，得7分； 方案较详细具体，可行性较高、可操作性较强，各时间进度安排较合理，得4分； 方案基本详细具体，可行性欠缺、可操作性欠缺，各时间进度安排基本合理，得1分； 不提供不得分。</w:t>
            </w:r>
          </w:p>
        </w:tc>
      </w:tr>
      <w:tr>
        <w:tc>
          <w:tcPr>
            <w:tcW w:type="dxa" w:w="922"/>
            <w:gridSpan w:val="2"/>
            <w:vMerge/>
          </w:tcPr>
          <w:p/>
        </w:tc>
        <w:tc>
          <w:tcPr>
            <w:tcW w:type="dxa" w:w="2307"/>
          </w:tcPr>
          <w:p>
            <w:pPr>
              <w:jc w:val="left"/>
            </w:pPr>
            <w:r>
              <w:rPr/>
              <w:t>培训、验收方案 (5.0分)</w:t>
            </w:r>
            <w:r>
              <w:rPr/>
              <w:t>，（等次分值选择：</w:t>
            </w:r>
            <w:r>
              <w:rPr/>
              <w:t>0.0;</w:t>
            </w:r>
            <w:r>
              <w:rPr/>
              <w:t>1.0;</w:t>
            </w:r>
            <w:r>
              <w:rPr/>
              <w:t>3.0;</w:t>
            </w:r>
            <w:r>
              <w:rPr/>
              <w:t>5.0;</w:t>
            </w:r>
            <w:r>
              <w:rPr/>
              <w:t>）</w:t>
            </w:r>
          </w:p>
        </w:tc>
        <w:tc>
          <w:tcPr>
            <w:tcW w:type="dxa" w:w="5076"/>
          </w:tcPr>
          <w:p>
            <w:pPr>
              <w:jc w:val="left"/>
            </w:pPr>
            <w:r>
              <w:rPr/>
              <w:t>根据投标人提供的培训、验收方案内容（包括但不限于培训时间安排、培训方式、培训内容，验收标准、验收方式、验收流程）进行评审 ： 方案完整具体，科学合理，切合实际，得5分； 方案较完整具体，较科学合理，较切合实际，得3分； 方案基本完整具体，基本科学合理，基本切合实际，得1分； 不提供不得分。</w:t>
            </w:r>
          </w:p>
        </w:tc>
      </w:tr>
      <w:tr>
        <w:tc>
          <w:tcPr>
            <w:tcW w:type="dxa" w:w="922"/>
            <w:gridSpan w:val="2"/>
            <w:vMerge/>
          </w:tcPr>
          <w:p/>
        </w:tc>
        <w:tc>
          <w:tcPr>
            <w:tcW w:type="dxa" w:w="2307"/>
          </w:tcPr>
          <w:p>
            <w:pPr>
              <w:jc w:val="left"/>
            </w:pPr>
            <w:r>
              <w:rPr/>
              <w:t>售后服务方案  (3.0分)</w:t>
            </w:r>
            <w:r>
              <w:rPr/>
              <w:t>，（等次分值选择：</w:t>
            </w:r>
            <w:r>
              <w:rPr/>
              <w:t>0.0;</w:t>
            </w:r>
            <w:r>
              <w:rPr/>
              <w:t>1.0;</w:t>
            </w:r>
            <w:r>
              <w:rPr/>
              <w:t>2.0;</w:t>
            </w:r>
            <w:r>
              <w:rPr/>
              <w:t>3.0;</w:t>
            </w:r>
            <w:r>
              <w:rPr/>
              <w:t>）</w:t>
            </w:r>
          </w:p>
        </w:tc>
        <w:tc>
          <w:tcPr>
            <w:tcW w:type="dxa" w:w="5076"/>
          </w:tcPr>
          <w:p>
            <w:pPr>
              <w:jc w:val="left"/>
            </w:pPr>
            <w:r>
              <w:rPr/>
              <w:t>售后服务方案针对①质保期期；②应急维修时间安排；③质保期满后的承诺；④其它服务承诺等。  售后服务方案较为详细，科学合理，得3分； 售后服务方案基本完善，基本科学合理，得2分； 售后服务方案不够完善，得1分。 未提供售后服务方案的不得分。</w:t>
            </w:r>
          </w:p>
        </w:tc>
      </w:tr>
      <w:tr>
        <w:tc>
          <w:tcPr>
            <w:tcW w:type="dxa" w:w="922"/>
            <w:gridSpan w:val="2"/>
            <w:vMerge w:val="restart"/>
          </w:tcPr>
          <w:p>
            <w:pPr>
              <w:jc w:val="center"/>
            </w:pPr>
            <w:r>
              <w:rPr/>
              <w:t>商务部分</w:t>
            </w:r>
          </w:p>
        </w:tc>
        <w:tc>
          <w:tcPr>
            <w:tcW w:type="dxa" w:w="2307"/>
          </w:tcPr>
          <w:p>
            <w:pPr>
              <w:jc w:val="left"/>
            </w:pPr>
            <w:r>
              <w:rPr/>
              <w:t>同类项目业绩 (10.0分)</w:t>
            </w:r>
          </w:p>
        </w:tc>
        <w:tc>
          <w:tcPr>
            <w:tcW w:type="dxa" w:w="5076"/>
          </w:tcPr>
          <w:p>
            <w:pPr>
              <w:jc w:val="left"/>
            </w:pPr>
            <w:r>
              <w:rPr/>
              <w:t>投标人自2019年1月1日至今，完成同类项目业绩情况，每提供一项得1分，最高得10分。  注：提供合同关键页复印件，否则不得分；以合同签订时间为准，合同关键页须包含项目名称、设备清单、双方签字盖章页等。</w:t>
            </w:r>
          </w:p>
        </w:tc>
      </w:tr>
      <w:tr>
        <w:tc>
          <w:tcPr>
            <w:tcW w:type="dxa" w:w="922"/>
            <w:gridSpan w:val="2"/>
            <w:vMerge/>
          </w:tcPr>
          <w:p/>
        </w:tc>
        <w:tc>
          <w:tcPr>
            <w:tcW w:type="dxa" w:w="2307"/>
          </w:tcPr>
          <w:p>
            <w:pPr>
              <w:jc w:val="left"/>
            </w:pPr>
            <w:r>
              <w:rPr/>
              <w:t>投标人综合实力 (4.0分)</w:t>
            </w:r>
          </w:p>
        </w:tc>
        <w:tc>
          <w:tcPr>
            <w:tcW w:type="dxa" w:w="5076"/>
          </w:tcPr>
          <w:p>
            <w:pPr>
              <w:jc w:val="left"/>
            </w:pPr>
            <w:r>
              <w:rPr/>
              <w:t>具有有效的质量管理体系认证证书，得1分； 具有有效的环境管理体系认证证书，得1分；  具有有效的职业健康安全管理体系认证证书，得1分。  具有信息安全管理体系认证认证证书，得1分。  注：同时提供有效期内的证书复印件和打印网站公布的信息资料【网址以http://www.cnca.gov.cn/网站公布为准】,已失效或撤销或暂停的不得分，未同时提供以上材料的不得分。公开信息中无法查询或与公开信息不一致的，投标人必须提供发证机构出具的证明函。</w:t>
            </w:r>
          </w:p>
        </w:tc>
      </w:tr>
      <w:tr>
        <w:tc>
          <w:tcPr>
            <w:tcW w:type="dxa" w:w="922"/>
            <w:gridSpan w:val="2"/>
            <w:vMerge/>
          </w:tcPr>
          <w:p/>
        </w:tc>
        <w:tc>
          <w:tcPr>
            <w:tcW w:type="dxa" w:w="2307"/>
          </w:tcPr>
          <w:p>
            <w:pPr>
              <w:jc w:val="left"/>
            </w:pPr>
            <w:r>
              <w:rPr/>
              <w:t>项目经理 (3.0分)</w:t>
            </w:r>
          </w:p>
        </w:tc>
        <w:tc>
          <w:tcPr>
            <w:tcW w:type="dxa" w:w="5076"/>
          </w:tcPr>
          <w:p>
            <w:pPr>
              <w:jc w:val="left"/>
            </w:pPr>
            <w:r>
              <w:rPr/>
              <w:t>拟投入本项目的项目经理具有以下证书的： 1.PMP证书； 2.注册信息安全专业人员证书（管理人员）证书； 3.信息安全保障人员认证证书（安全运维类）； 4.中级或高级工程师职称证书； 5.ITSS服务项目经理； 每具有一个得1分，最高得3分。 注：提供上述人员对应的证书复印件及在本单位任职的证明材料（如加盖所在地区政府有关部门印章的打印日期在本项目投标截止日之前三个月任一个月的《投保单》或《社会保险参保人员证明》，或单位代缴个人所得税税单等。）。要求在对应人名处圈记并能清楚分辨所在单位。</w:t>
            </w:r>
          </w:p>
        </w:tc>
      </w:tr>
      <w:tr>
        <w:tc>
          <w:tcPr>
            <w:tcW w:type="dxa" w:w="922"/>
            <w:gridSpan w:val="2"/>
            <w:vMerge/>
          </w:tcPr>
          <w:p/>
        </w:tc>
        <w:tc>
          <w:tcPr>
            <w:tcW w:type="dxa" w:w="2307"/>
          </w:tcPr>
          <w:p>
            <w:pPr>
              <w:jc w:val="left"/>
            </w:pPr>
            <w:r>
              <w:rPr/>
              <w:t>项目团队成员 （除项目经理外） (8.0分)</w:t>
            </w:r>
          </w:p>
        </w:tc>
        <w:tc>
          <w:tcPr>
            <w:tcW w:type="dxa" w:w="5076"/>
          </w:tcPr>
          <w:p>
            <w:pPr>
              <w:jc w:val="left"/>
            </w:pPr>
            <w:r>
              <w:rPr/>
              <w:t>拟投入本项目的团队成员每一人具有信息安全保障人员认证证书或信息系统项目管理师（高级）或ITIL证书或ITSS服务项目经理的，得2分，最高得8分。 注：以上人员不重复得分。提供上述人员对应的证书复印件及在本单位任职的证明材料（如加盖所在地区政府有关部门印章的打印日期在本项目投标截止日之前三个月任一个月的《投保单》或《社会保险参保人员证明》，或单位代缴个人所得税税单等。）。要求在对应人名处圈记并能清楚分辨所在单位。</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采购包4：</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b/>
          <w:sz w:val="32"/>
        </w:rPr>
        <w:t>广东技术师范大学校园网和校园卡平台升级及图书馆配套项目</w:t>
      </w:r>
      <w:r>
        <w:br/>
      </w:r>
    </w:p>
    <w:p>
      <w:pPr>
        <w:jc w:val="center"/>
      </w:pPr>
      <w:r>
        <w:rPr>
          <w:b/>
          <w:sz w:val="32"/>
        </w:rPr>
        <w:t>合同书</w:t>
      </w:r>
    </w:p>
    <w:p>
      <w:pPr>
        <w:jc w:val="center"/>
      </w:pPr>
    </w:p>
    <w:p>
      <w:pPr>
        <w:jc w:val="center"/>
      </w:pPr>
    </w:p>
    <w:p>
      <w:pPr>
        <w:jc w:val="both"/>
      </w:pPr>
      <w:r>
        <w:rPr/>
        <w:t xml:space="preserve"> </w:t>
      </w:r>
    </w:p>
    <w:p>
      <w:pPr>
        <w:jc w:val="both"/>
      </w:pPr>
      <w:r>
        <w:rPr>
          <w:b/>
          <w:sz w:val="32"/>
        </w:rPr>
        <w:t>项目名称：</w:t>
      </w:r>
      <w:r>
        <w:rPr>
          <w:b/>
          <w:sz w:val="24"/>
          <w:u w:val="single"/>
        </w:rPr>
        <w:t xml:space="preserve">                           </w:t>
      </w:r>
    </w:p>
    <w:p>
      <w:pPr>
        <w:jc w:val="both"/>
      </w:pPr>
      <w:r>
        <w:rPr>
          <w:b/>
          <w:sz w:val="32"/>
        </w:rPr>
        <w:t>合同编号：</w:t>
      </w:r>
      <w:r>
        <w:rPr>
          <w:b/>
          <w:sz w:val="24"/>
          <w:u w:val="single"/>
        </w:rPr>
        <w:t xml:space="preserve">                           </w:t>
      </w:r>
    </w:p>
    <w:p>
      <w:pPr>
        <w:jc w:val="both"/>
      </w:pPr>
      <w:r>
        <w:rPr>
          <w:b/>
          <w:sz w:val="32"/>
        </w:rPr>
        <w:t>签约地点：</w:t>
      </w:r>
      <w:r>
        <w:rPr>
          <w:b/>
          <w:sz w:val="32"/>
          <w:u w:val="single"/>
        </w:rPr>
        <w:t xml:space="preserve">   </w:t>
      </w:r>
      <w:r>
        <w:rPr>
          <w:b/>
          <w:sz w:val="32"/>
          <w:u w:val="single"/>
        </w:rPr>
        <w:t>广州市天河区</w:t>
      </w:r>
      <w:r>
        <w:rPr>
          <w:b/>
          <w:sz w:val="32"/>
          <w:u w:val="single"/>
        </w:rPr>
        <w:t xml:space="preserve">           </w:t>
      </w:r>
    </w:p>
    <w:p>
      <w:pPr>
        <w:jc w:val="both"/>
      </w:pPr>
      <w:r>
        <w:rPr>
          <w:b/>
          <w:sz w:val="32"/>
        </w:rPr>
        <w:t>签订日期：</w:t>
      </w:r>
      <w:r>
        <w:rPr>
          <w:b/>
          <w:sz w:val="32"/>
        </w:rPr>
        <w:t xml:space="preserve">      </w:t>
      </w:r>
      <w:r>
        <w:rPr>
          <w:b/>
          <w:sz w:val="32"/>
        </w:rPr>
        <w:t>年</w:t>
      </w:r>
      <w:r>
        <w:rPr>
          <w:b/>
          <w:sz w:val="32"/>
        </w:rPr>
        <w:t xml:space="preserve">   </w:t>
      </w:r>
      <w:r>
        <w:rPr>
          <w:b/>
          <w:sz w:val="32"/>
        </w:rPr>
        <w:t>月</w:t>
      </w:r>
      <w:r>
        <w:rPr>
          <w:b/>
          <w:sz w:val="32"/>
        </w:rPr>
        <w:t xml:space="preserve">    </w:t>
      </w:r>
      <w:r>
        <w:rPr>
          <w:b/>
          <w:sz w:val="32"/>
        </w:rPr>
        <w:t>日</w:t>
      </w:r>
    </w:p>
    <w:p>
      <w:pPr>
        <w:jc w:val="both"/>
      </w:pPr>
    </w:p>
    <w:p>
      <w:pPr>
        <w:jc w:val="both"/>
      </w:pPr>
    </w:p>
    <w:p>
      <w:pPr>
        <w:jc w:val="both"/>
      </w:pPr>
    </w:p>
    <w:p>
      <w:pPr>
        <w:jc w:val="both"/>
      </w:pPr>
    </w:p>
    <w:p/>
    <w:p>
      <w:r>
        <w:rPr/>
        <w:t xml:space="preserve"> </w:t>
      </w:r>
    </w:p>
    <w:p>
      <w:r>
        <w:rPr/>
        <w:t xml:space="preserve"> </w:t>
      </w:r>
    </w:p>
    <w:p>
      <w:r>
        <w:rPr>
          <w:b/>
          <w:sz w:val="21"/>
        </w:rPr>
        <w:t>甲</w:t>
      </w:r>
      <w:r>
        <w:rPr>
          <w:b/>
          <w:sz w:val="21"/>
        </w:rPr>
        <w:t xml:space="preserve">   </w:t>
      </w:r>
      <w:r>
        <w:rPr>
          <w:b/>
          <w:sz w:val="21"/>
        </w:rPr>
        <w:t>方：</w:t>
      </w:r>
      <w:r>
        <w:rPr>
          <w:b/>
          <w:u w:val="single"/>
        </w:rPr>
        <w:t xml:space="preserve">                 </w:t>
      </w:r>
    </w:p>
    <w:p>
      <w:pPr>
        <w:jc w:val="both"/>
      </w:pP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p>
    <w:p>
      <w:pPr>
        <w:jc w:val="both"/>
      </w:pPr>
      <w:r>
        <w:rPr>
          <w:b/>
          <w:sz w:val="21"/>
        </w:rPr>
        <w:t>乙</w:t>
      </w:r>
      <w:r>
        <w:rPr>
          <w:b/>
          <w:sz w:val="21"/>
        </w:rPr>
        <w:t xml:space="preserve">   </w:t>
      </w:r>
      <w:r>
        <w:rPr>
          <w:b/>
          <w:sz w:val="21"/>
        </w:rPr>
        <w:t>方：</w:t>
      </w:r>
      <w:r>
        <w:rPr>
          <w:b/>
          <w:sz w:val="24"/>
          <w:u w:val="single"/>
        </w:rPr>
        <w:t xml:space="preserve">                  </w:t>
      </w:r>
      <w:r>
        <w:br/>
      </w: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r>
        <w:rPr>
          <w:sz w:val="21"/>
        </w:rPr>
        <w:t xml:space="preserve">  </w:t>
      </w:r>
    </w:p>
    <w:p>
      <w:pPr>
        <w:jc w:val="both"/>
      </w:pPr>
    </w:p>
    <w:p>
      <w:pPr>
        <w:ind w:firstLine="420"/>
        <w:jc w:val="both"/>
      </w:pPr>
      <w:r>
        <w:rPr>
          <w:sz w:val="21"/>
        </w:rPr>
        <w:t>根据</w:t>
      </w:r>
      <w:r>
        <w:rPr>
          <w:sz w:val="24"/>
          <w:u w:val="single"/>
        </w:rPr>
        <w:t xml:space="preserve"> </w:t>
      </w:r>
      <w:r>
        <w:rPr>
          <w:sz w:val="24"/>
          <w:u w:val="single"/>
        </w:rPr>
        <w:t xml:space="preserve">         </w:t>
      </w:r>
      <w:r>
        <w:rPr>
          <w:sz w:val="21"/>
        </w:rPr>
        <w:t>的采购结果，按照《民法典》的规定，</w:t>
      </w:r>
      <w:r>
        <w:rPr>
          <w:sz w:val="21"/>
        </w:rPr>
        <w:t>经双方协商，</w:t>
      </w:r>
      <w:r>
        <w:rPr>
          <w:sz w:val="21"/>
        </w:rPr>
        <w:t>本着平等互利和诚实信用的原则，</w:t>
      </w:r>
      <w:r>
        <w:rPr>
          <w:sz w:val="21"/>
        </w:rPr>
        <w:t>一致同意签订本合同如下</w:t>
      </w:r>
      <w:r>
        <w:rPr>
          <w:sz w:val="21"/>
        </w:rPr>
        <w:t>。</w:t>
      </w:r>
    </w:p>
    <w:p>
      <w:pPr>
        <w:jc w:val="both"/>
      </w:pPr>
      <w:r>
        <w:rPr>
          <w:b/>
          <w:sz w:val="21"/>
        </w:rPr>
        <w:t>一、货物内容</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65"/>
        <w:gridCol w:w="1045"/>
        <w:gridCol w:w="3175"/>
        <w:gridCol w:w="814"/>
        <w:gridCol w:w="814"/>
        <w:gridCol w:w="977"/>
        <w:gridCol w:w="814"/>
      </w:tblGrid>
      <w:tr>
        <w:tc>
          <w:tcPr>
            <w:tcW w:type="dxa" w:w="665"/>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045"/>
            <w:tcBorders>
              <w:top w:val="single" w:color="000000" w:sz="4"/>
              <w:left w:val="single" w:color="000000" w:sz="4"/>
              <w:bottom w:val="single" w:color="000000" w:sz="4"/>
              <w:right w:val="single" w:color="000000" w:sz="4"/>
            </w:tcBorders>
            <w:vAlign w:val="top"/>
          </w:tcPr>
          <w:p>
            <w:pPr>
              <w:jc w:val="center"/>
            </w:pPr>
            <w:r>
              <w:rPr>
                <w:sz w:val="21"/>
              </w:rPr>
              <w:t>商品名称</w:t>
            </w:r>
          </w:p>
        </w:tc>
        <w:tc>
          <w:tcPr>
            <w:tcW w:type="dxa" w:w="3175"/>
            <w:tcBorders>
              <w:top w:val="single" w:color="000000" w:sz="4"/>
              <w:left w:val="none" w:color="000000" w:sz="4"/>
              <w:bottom w:val="single" w:color="000000" w:sz="4"/>
              <w:right w:val="single" w:color="000000" w:sz="4"/>
            </w:tcBorders>
            <w:vAlign w:val="top"/>
          </w:tcPr>
          <w:p>
            <w:pPr>
              <w:jc w:val="center"/>
            </w:pPr>
            <w:r>
              <w:rPr>
                <w:sz w:val="21"/>
              </w:rPr>
              <w:t>品牌、规格型号、配置（性能参数）</w:t>
            </w:r>
          </w:p>
        </w:tc>
        <w:tc>
          <w:tcPr>
            <w:tcW w:type="dxa" w:w="814"/>
            <w:tcBorders>
              <w:top w:val="single" w:color="000000" w:sz="4"/>
              <w:left w:val="none" w:color="000000" w:sz="4"/>
              <w:bottom w:val="single" w:color="000000" w:sz="4"/>
              <w:right w:val="single" w:color="000000" w:sz="4"/>
            </w:tcBorders>
            <w:vAlign w:val="top"/>
          </w:tcPr>
          <w:p>
            <w:pPr>
              <w:jc w:val="center"/>
            </w:pPr>
            <w:r>
              <w:rPr>
                <w:sz w:val="21"/>
              </w:rPr>
              <w:t>产地</w:t>
            </w:r>
          </w:p>
        </w:tc>
        <w:tc>
          <w:tcPr>
            <w:tcW w:type="dxa" w:w="814"/>
            <w:tcBorders>
              <w:top w:val="single" w:color="000000" w:sz="4"/>
              <w:left w:val="none" w:color="000000" w:sz="4"/>
              <w:bottom w:val="single" w:color="000000" w:sz="4"/>
              <w:right w:val="single" w:color="000000" w:sz="4"/>
            </w:tcBorders>
            <w:vAlign w:val="top"/>
          </w:tcPr>
          <w:p>
            <w:pPr>
              <w:jc w:val="center"/>
            </w:pPr>
            <w:r>
              <w:rPr>
                <w:sz w:val="21"/>
              </w:rPr>
              <w:t>数量</w:t>
            </w:r>
          </w:p>
        </w:tc>
        <w:tc>
          <w:tcPr>
            <w:tcW w:type="dxa" w:w="977"/>
            <w:tcBorders>
              <w:top w:val="single" w:color="000000" w:sz="4"/>
              <w:left w:val="none" w:color="000000" w:sz="4"/>
              <w:bottom w:val="none" w:color="000000" w:sz="4"/>
              <w:right w:val="single" w:color="000000" w:sz="4"/>
            </w:tcBorders>
            <w:vAlign w:val="top"/>
          </w:tcPr>
          <w:p>
            <w:pPr>
              <w:jc w:val="center"/>
            </w:pPr>
            <w:r>
              <w:rPr>
                <w:sz w:val="21"/>
              </w:rPr>
              <w:t>单价</w:t>
            </w:r>
            <w:r>
              <w:rPr>
                <w:sz w:val="21"/>
              </w:rPr>
              <w:t>(元)</w:t>
            </w:r>
          </w:p>
        </w:tc>
        <w:tc>
          <w:tcPr>
            <w:tcW w:type="dxa" w:w="814"/>
            <w:tcBorders>
              <w:top w:val="single" w:color="000000" w:sz="4"/>
              <w:left w:val="single" w:color="000000" w:sz="4"/>
              <w:bottom w:val="none" w:color="000000" w:sz="4"/>
              <w:right w:val="single" w:color="000000" w:sz="4"/>
            </w:tcBorders>
            <w:vAlign w:val="top"/>
          </w:tcPr>
          <w:p>
            <w:pPr>
              <w:jc w:val="center"/>
            </w:pPr>
            <w:r>
              <w:rPr>
                <w:sz w:val="21"/>
              </w:rPr>
              <w:t>金额</w:t>
            </w:r>
            <w:r>
              <w:rPr>
                <w:sz w:val="21"/>
              </w:rPr>
              <w:t>(元)</w:t>
            </w:r>
          </w:p>
        </w:tc>
      </w:tr>
      <w:tr>
        <w:tc>
          <w:tcPr>
            <w:tcW w:type="dxa" w:w="66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045"/>
            <w:tcBorders>
              <w:top w:val="none" w:color="000000" w:sz="4"/>
              <w:left w:val="single" w:color="000000" w:sz="4"/>
              <w:bottom w:val="single" w:color="000000" w:sz="4"/>
              <w:right w:val="single" w:color="000000" w:sz="4"/>
            </w:tcBorders>
            <w:vAlign w:val="top"/>
          </w:tcPr>
          <w:p>
            <w:pPr>
              <w:jc w:val="both"/>
            </w:pPr>
          </w:p>
        </w:tc>
        <w:tc>
          <w:tcPr>
            <w:tcW w:type="dxa" w:w="3175"/>
            <w:tcBorders>
              <w:top w:val="single" w:color="000000" w:sz="4"/>
              <w:left w:val="none" w:color="000000" w:sz="4"/>
              <w:bottom w:val="single" w:color="000000" w:sz="4"/>
              <w:right w:val="single" w:color="000000" w:sz="4"/>
            </w:tcBorders>
            <w:vAlign w:val="top"/>
          </w:tcPr>
          <w:p>
            <w:pPr>
              <w:jc w:val="both"/>
            </w:pPr>
          </w:p>
        </w:tc>
        <w:tc>
          <w:tcPr>
            <w:tcW w:type="dxa" w:w="814"/>
            <w:tcBorders>
              <w:top w:val="single" w:color="000000" w:sz="4"/>
              <w:left w:val="none" w:color="000000" w:sz="4"/>
              <w:bottom w:val="single" w:color="000000" w:sz="4"/>
              <w:right w:val="single" w:color="000000" w:sz="4"/>
            </w:tcBorders>
            <w:vAlign w:val="top"/>
          </w:tcPr>
          <w:p>
            <w:pPr>
              <w:jc w:val="both"/>
            </w:pPr>
          </w:p>
        </w:tc>
        <w:tc>
          <w:tcPr>
            <w:tcW w:type="dxa" w:w="814"/>
            <w:tcBorders>
              <w:top w:val="single" w:color="000000" w:sz="4"/>
              <w:left w:val="none" w:color="000000" w:sz="4"/>
              <w:bottom w:val="single" w:color="000000" w:sz="4"/>
              <w:right w:val="single" w:color="000000" w:sz="4"/>
            </w:tcBorders>
            <w:vAlign w:val="top"/>
          </w:tcPr>
          <w:p>
            <w:pPr>
              <w:jc w:val="both"/>
            </w:pPr>
          </w:p>
        </w:tc>
        <w:tc>
          <w:tcPr>
            <w:tcW w:type="dxa" w:w="977"/>
            <w:tcBorders>
              <w:top w:val="single" w:color="000000" w:sz="4"/>
              <w:left w:val="none" w:color="000000" w:sz="4"/>
              <w:bottom w:val="none" w:color="000000" w:sz="4"/>
              <w:right w:val="single" w:color="000000" w:sz="4"/>
            </w:tcBorders>
            <w:vAlign w:val="top"/>
          </w:tcPr>
          <w:p>
            <w:pPr>
              <w:jc w:val="both"/>
            </w:pPr>
          </w:p>
        </w:tc>
        <w:tc>
          <w:tcPr>
            <w:tcW w:type="dxa" w:w="814"/>
            <w:tcBorders>
              <w:top w:val="single" w:color="000000" w:sz="4"/>
              <w:left w:val="single" w:color="000000" w:sz="4"/>
              <w:bottom w:val="none" w:color="000000" w:sz="4"/>
              <w:right w:val="single" w:color="000000" w:sz="4"/>
            </w:tcBorders>
            <w:vAlign w:val="top"/>
          </w:tcPr>
          <w:p>
            <w:pPr>
              <w:jc w:val="both"/>
            </w:pPr>
          </w:p>
        </w:tc>
      </w:tr>
      <w:tr>
        <w:tc>
          <w:tcPr>
            <w:tcW w:type="dxa" w:w="66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045"/>
            <w:tcBorders>
              <w:top w:val="none" w:color="000000" w:sz="4"/>
              <w:left w:val="single" w:color="000000" w:sz="4"/>
              <w:bottom w:val="single" w:color="000000" w:sz="4"/>
              <w:right w:val="single" w:color="000000" w:sz="4"/>
            </w:tcBorders>
            <w:vAlign w:val="top"/>
          </w:tcPr>
          <w:p>
            <w:pPr>
              <w:jc w:val="both"/>
            </w:pPr>
          </w:p>
        </w:tc>
        <w:tc>
          <w:tcPr>
            <w:tcW w:type="dxa" w:w="3175"/>
            <w:tcBorders>
              <w:top w:val="none" w:color="000000" w:sz="4"/>
              <w:left w:val="none" w:color="000000" w:sz="4"/>
              <w:bottom w:val="single" w:color="000000" w:sz="4"/>
              <w:right w:val="single" w:color="000000" w:sz="4"/>
            </w:tcBorders>
            <w:vAlign w:val="top"/>
          </w:tcPr>
          <w:p>
            <w:pPr>
              <w:jc w:val="both"/>
            </w:pPr>
          </w:p>
        </w:tc>
        <w:tc>
          <w:tcPr>
            <w:tcW w:type="dxa" w:w="814"/>
            <w:tcBorders>
              <w:top w:val="single" w:color="000000" w:sz="4"/>
              <w:left w:val="none" w:color="000000" w:sz="4"/>
              <w:bottom w:val="single" w:color="000000" w:sz="4"/>
              <w:right w:val="single" w:color="000000" w:sz="4"/>
            </w:tcBorders>
            <w:vAlign w:val="top"/>
          </w:tcPr>
          <w:p>
            <w:pPr>
              <w:jc w:val="both"/>
            </w:pPr>
          </w:p>
        </w:tc>
        <w:tc>
          <w:tcPr>
            <w:tcW w:type="dxa" w:w="814"/>
            <w:tcBorders>
              <w:top w:val="single" w:color="000000" w:sz="4"/>
              <w:left w:val="none" w:color="000000" w:sz="4"/>
              <w:bottom w:val="single" w:color="000000" w:sz="4"/>
              <w:right w:val="single" w:color="000000" w:sz="4"/>
            </w:tcBorders>
            <w:vAlign w:val="top"/>
          </w:tcPr>
          <w:p>
            <w:pPr>
              <w:jc w:val="both"/>
            </w:pPr>
          </w:p>
        </w:tc>
        <w:tc>
          <w:tcPr>
            <w:tcW w:type="dxa" w:w="977"/>
            <w:tcBorders>
              <w:top w:val="single" w:color="000000" w:sz="4"/>
              <w:left w:val="none" w:color="000000" w:sz="4"/>
              <w:bottom w:val="none" w:color="000000" w:sz="4"/>
              <w:right w:val="single" w:color="000000" w:sz="4"/>
            </w:tcBorders>
            <w:vAlign w:val="top"/>
          </w:tcPr>
          <w:p>
            <w:pPr>
              <w:jc w:val="both"/>
            </w:pPr>
          </w:p>
        </w:tc>
        <w:tc>
          <w:tcPr>
            <w:tcW w:type="dxa" w:w="814"/>
            <w:tcBorders>
              <w:top w:val="single" w:color="000000" w:sz="4"/>
              <w:left w:val="single" w:color="000000" w:sz="4"/>
              <w:bottom w:val="none" w:color="000000" w:sz="4"/>
              <w:right w:val="single" w:color="000000" w:sz="4"/>
            </w:tcBorders>
            <w:vAlign w:val="top"/>
          </w:tcPr>
          <w:p>
            <w:pPr>
              <w:jc w:val="both"/>
            </w:pPr>
          </w:p>
        </w:tc>
      </w:tr>
      <w:tr>
        <w:tc>
          <w:tcPr>
            <w:tcW w:type="dxa" w:w="66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045"/>
            <w:tcBorders>
              <w:top w:val="none" w:color="000000" w:sz="4"/>
              <w:left w:val="single" w:color="000000" w:sz="4"/>
              <w:bottom w:val="single" w:color="000000" w:sz="4"/>
              <w:right w:val="single" w:color="000000" w:sz="4"/>
            </w:tcBorders>
            <w:vAlign w:val="top"/>
          </w:tcPr>
          <w:p>
            <w:pPr>
              <w:jc w:val="both"/>
            </w:pPr>
          </w:p>
        </w:tc>
        <w:tc>
          <w:tcPr>
            <w:tcW w:type="dxa" w:w="3175"/>
            <w:tcBorders>
              <w:top w:val="none" w:color="000000" w:sz="4"/>
              <w:left w:val="none" w:color="000000" w:sz="4"/>
              <w:bottom w:val="single" w:color="000000" w:sz="4"/>
              <w:right w:val="single" w:color="000000" w:sz="4"/>
            </w:tcBorders>
            <w:vAlign w:val="top"/>
          </w:tcPr>
          <w:p>
            <w:pPr>
              <w:jc w:val="both"/>
            </w:pPr>
          </w:p>
        </w:tc>
        <w:tc>
          <w:tcPr>
            <w:tcW w:type="dxa" w:w="814"/>
            <w:tcBorders>
              <w:top w:val="single" w:color="000000" w:sz="4"/>
              <w:left w:val="none" w:color="000000" w:sz="4"/>
              <w:bottom w:val="single" w:color="000000" w:sz="4"/>
              <w:right w:val="single" w:color="000000" w:sz="4"/>
            </w:tcBorders>
            <w:vAlign w:val="top"/>
          </w:tcPr>
          <w:p>
            <w:pPr>
              <w:jc w:val="both"/>
            </w:pPr>
          </w:p>
        </w:tc>
        <w:tc>
          <w:tcPr>
            <w:tcW w:type="dxa" w:w="814"/>
            <w:tcBorders>
              <w:top w:val="single" w:color="000000" w:sz="4"/>
              <w:left w:val="none" w:color="000000" w:sz="4"/>
              <w:bottom w:val="single" w:color="000000" w:sz="4"/>
              <w:right w:val="single" w:color="000000" w:sz="4"/>
            </w:tcBorders>
            <w:vAlign w:val="top"/>
          </w:tcPr>
          <w:p>
            <w:pPr>
              <w:jc w:val="both"/>
            </w:pPr>
          </w:p>
        </w:tc>
        <w:tc>
          <w:tcPr>
            <w:tcW w:type="dxa" w:w="977"/>
            <w:tcBorders>
              <w:top w:val="single" w:color="000000" w:sz="4"/>
              <w:left w:val="none" w:color="000000" w:sz="4"/>
              <w:bottom w:val="none" w:color="000000" w:sz="4"/>
              <w:right w:val="single" w:color="000000" w:sz="4"/>
            </w:tcBorders>
            <w:vAlign w:val="top"/>
          </w:tcPr>
          <w:p>
            <w:pPr>
              <w:jc w:val="both"/>
            </w:pPr>
          </w:p>
        </w:tc>
        <w:tc>
          <w:tcPr>
            <w:tcW w:type="dxa" w:w="814"/>
            <w:tcBorders>
              <w:top w:val="single" w:color="000000" w:sz="4"/>
              <w:left w:val="single" w:color="000000" w:sz="4"/>
              <w:bottom w:val="none" w:color="000000" w:sz="4"/>
              <w:right w:val="single" w:color="000000" w:sz="4"/>
            </w:tcBorders>
            <w:vAlign w:val="top"/>
          </w:tcPr>
          <w:p>
            <w:pPr>
              <w:jc w:val="both"/>
            </w:pPr>
          </w:p>
        </w:tc>
      </w:tr>
      <w:tr>
        <w:tc>
          <w:tcPr>
            <w:tcW w:type="dxa" w:w="66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045"/>
            <w:tcBorders>
              <w:top w:val="none" w:color="000000" w:sz="4"/>
              <w:left w:val="single" w:color="000000" w:sz="4"/>
              <w:bottom w:val="single" w:color="000000" w:sz="4"/>
              <w:right w:val="single" w:color="000000" w:sz="4"/>
            </w:tcBorders>
            <w:vAlign w:val="top"/>
          </w:tcPr>
          <w:p>
            <w:pPr>
              <w:jc w:val="both"/>
            </w:pPr>
          </w:p>
        </w:tc>
        <w:tc>
          <w:tcPr>
            <w:tcW w:type="dxa" w:w="3175"/>
            <w:tcBorders>
              <w:top w:val="none" w:color="000000" w:sz="4"/>
              <w:left w:val="none" w:color="000000" w:sz="4"/>
              <w:bottom w:val="single" w:color="000000" w:sz="4"/>
              <w:right w:val="single" w:color="000000" w:sz="4"/>
            </w:tcBorders>
            <w:vAlign w:val="top"/>
          </w:tcPr>
          <w:p>
            <w:pPr>
              <w:jc w:val="both"/>
            </w:pPr>
          </w:p>
        </w:tc>
        <w:tc>
          <w:tcPr>
            <w:tcW w:type="dxa" w:w="814"/>
            <w:tcBorders>
              <w:top w:val="single" w:color="000000" w:sz="4"/>
              <w:left w:val="none" w:color="000000" w:sz="4"/>
              <w:bottom w:val="single" w:color="000000" w:sz="4"/>
              <w:right w:val="single" w:color="000000" w:sz="4"/>
            </w:tcBorders>
            <w:vAlign w:val="top"/>
          </w:tcPr>
          <w:p>
            <w:pPr>
              <w:jc w:val="both"/>
            </w:pPr>
          </w:p>
        </w:tc>
        <w:tc>
          <w:tcPr>
            <w:tcW w:type="dxa" w:w="814"/>
            <w:tcBorders>
              <w:top w:val="single" w:color="000000" w:sz="4"/>
              <w:left w:val="none" w:color="000000" w:sz="4"/>
              <w:bottom w:val="single" w:color="000000" w:sz="4"/>
              <w:right w:val="single" w:color="000000" w:sz="4"/>
            </w:tcBorders>
            <w:vAlign w:val="top"/>
          </w:tcPr>
          <w:p>
            <w:pPr>
              <w:jc w:val="both"/>
            </w:pPr>
          </w:p>
        </w:tc>
        <w:tc>
          <w:tcPr>
            <w:tcW w:type="dxa" w:w="977"/>
            <w:tcBorders>
              <w:top w:val="single" w:color="000000" w:sz="4"/>
              <w:left w:val="none" w:color="000000" w:sz="4"/>
              <w:bottom w:val="none" w:color="000000" w:sz="4"/>
              <w:right w:val="single" w:color="000000" w:sz="4"/>
            </w:tcBorders>
            <w:vAlign w:val="top"/>
          </w:tcPr>
          <w:p>
            <w:pPr>
              <w:jc w:val="both"/>
            </w:pPr>
          </w:p>
        </w:tc>
        <w:tc>
          <w:tcPr>
            <w:tcW w:type="dxa" w:w="814"/>
            <w:tcBorders>
              <w:top w:val="single" w:color="000000" w:sz="4"/>
              <w:left w:val="single" w:color="000000" w:sz="4"/>
              <w:bottom w:val="none" w:color="000000" w:sz="4"/>
              <w:right w:val="single" w:color="000000" w:sz="4"/>
            </w:tcBorders>
            <w:vAlign w:val="top"/>
          </w:tcPr>
          <w:p>
            <w:pPr>
              <w:jc w:val="both"/>
            </w:pPr>
          </w:p>
        </w:tc>
      </w:tr>
      <w:tr>
        <w:tc>
          <w:tcPr>
            <w:tcW w:type="dxa" w:w="8304"/>
            <w:gridSpan w:val="7"/>
            <w:tcBorders>
              <w:top w:val="none" w:color="000000" w:sz="4"/>
              <w:left w:val="single" w:color="000000" w:sz="4"/>
              <w:bottom w:val="single" w:color="000000" w:sz="4"/>
              <w:right w:val="single" w:color="000000" w:sz="4"/>
            </w:tcBorders>
            <w:vAlign w:val="top"/>
          </w:tcPr>
          <w:p>
            <w:pPr>
              <w:jc w:val="both"/>
            </w:pPr>
            <w:r>
              <w:rPr>
                <w:sz w:val="21"/>
              </w:rPr>
              <w:t>合计总额：￥</w:t>
            </w:r>
            <w:r>
              <w:rPr>
                <w:sz w:val="24"/>
                <w:u w:val="single"/>
              </w:rPr>
              <w:t xml:space="preserve">                           </w:t>
            </w:r>
            <w:r>
              <w:rPr>
                <w:sz w:val="21"/>
              </w:rPr>
              <w:t>；</w:t>
            </w:r>
            <w:r>
              <w:rPr>
                <w:sz w:val="21"/>
              </w:rPr>
              <w:t xml:space="preserve">   </w:t>
            </w:r>
            <w:r>
              <w:rPr>
                <w:sz w:val="21"/>
              </w:rPr>
              <w:t>大写：</w:t>
            </w:r>
            <w:r>
              <w:rPr>
                <w:sz w:val="24"/>
                <w:u w:val="single"/>
              </w:rPr>
              <w:t xml:space="preserve">                            </w:t>
            </w:r>
          </w:p>
        </w:tc>
      </w:tr>
    </w:tbl>
    <w:p>
      <w:pPr>
        <w:ind w:firstLine="420"/>
        <w:jc w:val="both"/>
      </w:pPr>
    </w:p>
    <w:p>
      <w:pPr>
        <w:ind w:firstLine="420"/>
        <w:jc w:val="both"/>
      </w:pPr>
      <w:r>
        <w:rPr>
          <w:sz w:val="21"/>
        </w:rPr>
        <w:t>合同总额包括乙方设计（如有）、购置、安装、随机零配件、标配工具、运输保险、装卸、调试、培训辅导、质保期售后服务、全额含税发票、雇员费用、合同实施过程中应预见和不可预见费用等。</w:t>
      </w:r>
    </w:p>
    <w:p>
      <w:pPr>
        <w:ind w:firstLine="420"/>
        <w:jc w:val="both"/>
      </w:pPr>
      <w:r>
        <w:rPr>
          <w:sz w:val="21"/>
        </w:rPr>
        <w:t>注：货物名称内容必须与投标文件中货物名称内容一致。</w:t>
      </w:r>
    </w:p>
    <w:p>
      <w:pPr>
        <w:jc w:val="both"/>
      </w:pPr>
      <w:r>
        <w:rPr>
          <w:b/>
          <w:sz w:val="21"/>
        </w:rPr>
        <w:t>二、合同金额</w:t>
      </w:r>
    </w:p>
    <w:p>
      <w:pPr>
        <w:jc w:val="both"/>
      </w:pPr>
      <w:r>
        <w:rPr>
          <w:sz w:val="21"/>
        </w:rPr>
        <w:t>合同金额为（大写）：</w:t>
      </w:r>
      <w:r>
        <w:rPr>
          <w:sz w:val="21"/>
        </w:rPr>
        <w:t>_________________元（￥_______________元）人民币。</w:t>
      </w:r>
    </w:p>
    <w:p>
      <w:pPr>
        <w:jc w:val="both"/>
      </w:pPr>
      <w:r>
        <w:rPr>
          <w:b/>
          <w:sz w:val="21"/>
        </w:rPr>
        <w:t>三、设备要求</w:t>
      </w:r>
    </w:p>
    <w:p>
      <w:pPr>
        <w:jc w:val="both"/>
      </w:pPr>
      <w:r>
        <w:rPr>
          <w:sz w:val="21"/>
        </w:rPr>
        <w:t>货物为原制造商制造的全新产品，整机无污染，无侵权行为、表面无划损、无任何缺陷隐患，在中国境内可依常规安全合法使用。</w:t>
      </w:r>
    </w:p>
    <w:p>
      <w:pPr>
        <w:jc w:val="both"/>
      </w:pPr>
      <w:r>
        <w:rPr>
          <w:b/>
          <w:sz w:val="21"/>
        </w:rPr>
        <w:t>四、交货期、交货方式及交货地点</w:t>
      </w:r>
    </w:p>
    <w:p>
      <w:pPr>
        <w:ind w:firstLine="420"/>
        <w:jc w:val="both"/>
      </w:pPr>
      <w:r>
        <w:rPr>
          <w:sz w:val="21"/>
        </w:rPr>
        <w:t>1.交货期：</w:t>
      </w:r>
    </w:p>
    <w:p>
      <w:pPr>
        <w:ind w:firstLine="420"/>
        <w:jc w:val="both"/>
      </w:pPr>
      <w:r>
        <w:rPr>
          <w:sz w:val="21"/>
        </w:rPr>
        <w:t>2.交货方式</w:t>
      </w:r>
    </w:p>
    <w:p>
      <w:pPr>
        <w:ind w:firstLine="420"/>
        <w:jc w:val="both"/>
      </w:pPr>
      <w:r>
        <w:rPr>
          <w:sz w:val="21"/>
        </w:rPr>
        <w:t>3.交货地点：</w:t>
      </w:r>
    </w:p>
    <w:p>
      <w:pPr>
        <w:jc w:val="both"/>
      </w:pPr>
      <w:r>
        <w:rPr>
          <w:b/>
          <w:sz w:val="21"/>
        </w:rPr>
        <w:t>五、付款方式</w:t>
      </w:r>
    </w:p>
    <w:p>
      <w:pPr>
        <w:jc w:val="both"/>
      </w:pPr>
    </w:p>
    <w:p>
      <w:pPr>
        <w:jc w:val="both"/>
      </w:pPr>
      <w:r>
        <w:rPr>
          <w:b/>
          <w:sz w:val="21"/>
        </w:rPr>
        <w:t>六、质保期及售后服务要求</w:t>
      </w:r>
    </w:p>
    <w:p>
      <w:pPr>
        <w:ind w:firstLine="420"/>
        <w:jc w:val="both"/>
      </w:pPr>
      <w:r>
        <w:rPr>
          <w:sz w:val="21"/>
        </w:rPr>
        <w:t>1.</w:t>
      </w:r>
      <w:r>
        <w:rPr>
          <w:sz w:val="21"/>
        </w:rPr>
        <w:t>本合同的质量保证期（简称</w:t>
      </w:r>
      <w:r>
        <w:rPr>
          <w:sz w:val="21"/>
        </w:rPr>
        <w:t>“质保期”）为</w:t>
      </w:r>
      <w:r>
        <w:rPr>
          <w:sz w:val="24"/>
          <w:u w:val="single"/>
        </w:rPr>
        <w:t xml:space="preserve">     </w:t>
      </w:r>
      <w:r>
        <w:rPr>
          <w:sz w:val="21"/>
        </w:rPr>
        <w:t>年，质保期内乙方对所供货物实行包修、包换、包退及合同约定的其它事项，期满后可同时提供终身</w:t>
      </w:r>
      <w:r>
        <w:rPr>
          <w:sz w:val="21"/>
          <w:u w:val="single"/>
        </w:rPr>
        <w:t>(费用含在合同价中/有偿)</w:t>
      </w:r>
      <w:r>
        <w:rPr>
          <w:sz w:val="21"/>
        </w:rPr>
        <w:t>维修保养服务。</w:t>
      </w:r>
    </w:p>
    <w:p>
      <w:pPr>
        <w:ind w:firstLine="420"/>
        <w:jc w:val="both"/>
      </w:pPr>
      <w:r>
        <w:rPr>
          <w:sz w:val="21"/>
        </w:rPr>
        <w:t>2.</w:t>
      </w:r>
      <w:r>
        <w:rPr>
          <w:sz w:val="21"/>
        </w:rPr>
        <w:t>质保期内，如设备或零部件因质量原因出现故障而造成短期停用时，则质保期和维修期相应顺延。如停用时间累计超过</w:t>
      </w:r>
      <w:r>
        <w:rPr>
          <w:sz w:val="21"/>
        </w:rPr>
        <w:t>60天则质保期重新计算。</w:t>
      </w:r>
    </w:p>
    <w:p>
      <w:pPr>
        <w:ind w:firstLine="420"/>
        <w:jc w:val="both"/>
      </w:pPr>
      <w:r>
        <w:rPr>
          <w:sz w:val="21"/>
        </w:rPr>
        <w:t>3.</w:t>
      </w:r>
      <w:r>
        <w:rPr>
          <w:sz w:val="21"/>
        </w:rPr>
        <w:t>对甲方的服务通知，乙方在接报后</w:t>
      </w:r>
      <w:r>
        <w:rPr>
          <w:sz w:val="24"/>
          <w:u w:val="single"/>
        </w:rPr>
        <w:t xml:space="preserve">   </w:t>
      </w:r>
      <w:r>
        <w:rPr>
          <w:sz w:val="21"/>
        </w:rPr>
        <w:t>小时内响应，</w:t>
      </w:r>
      <w:r>
        <w:rPr>
          <w:sz w:val="21"/>
          <w:u w:val="single"/>
        </w:rPr>
        <w:t xml:space="preserve">   </w:t>
      </w:r>
      <w:r>
        <w:rPr>
          <w:sz w:val="21"/>
          <w:u w:val="single"/>
        </w:rPr>
        <w:t>小时</w:t>
      </w:r>
      <w:r>
        <w:rPr>
          <w:sz w:val="21"/>
        </w:rPr>
        <w:t>内到达现场，</w:t>
      </w:r>
      <w:r>
        <w:rPr>
          <w:sz w:val="21"/>
          <w:u w:val="single"/>
        </w:rPr>
        <w:t xml:space="preserve">   </w:t>
      </w:r>
      <w:r>
        <w:rPr>
          <w:sz w:val="21"/>
          <w:u w:val="single"/>
        </w:rPr>
        <w:t>小时内</w:t>
      </w:r>
      <w:r>
        <w:rPr>
          <w:sz w:val="21"/>
        </w:rPr>
        <w:t>处理完毕。若在</w:t>
      </w:r>
      <w:r>
        <w:rPr>
          <w:sz w:val="21"/>
          <w:u w:val="single"/>
        </w:rPr>
        <w:t xml:space="preserve">   </w:t>
      </w:r>
      <w:r>
        <w:rPr>
          <w:sz w:val="21"/>
          <w:u w:val="single"/>
        </w:rPr>
        <w:t>小时内</w:t>
      </w:r>
      <w:r>
        <w:rPr>
          <w:sz w:val="21"/>
        </w:rPr>
        <w:t>仍未能有效解决，乙方须提供同档次的设备予甲方临时使用，费用含在合同价中，甲方不再向乙方支付费用。</w:t>
      </w:r>
    </w:p>
    <w:p>
      <w:pPr>
        <w:jc w:val="both"/>
      </w:pPr>
      <w:r>
        <w:rPr>
          <w:b/>
          <w:sz w:val="21"/>
        </w:rPr>
        <w:t>七、安装与调试</w:t>
      </w:r>
    </w:p>
    <w:p>
      <w:pPr>
        <w:ind w:firstLine="420"/>
        <w:jc w:val="both"/>
      </w:pPr>
      <w:r>
        <w:rPr>
          <w:sz w:val="21"/>
        </w:rPr>
        <w:t>乙方必须依照招标文件的要求和投标文件的承诺，将设备、系统安装并调试至正常运行的最佳状态。乙方承诺具备采购项目产品安装、测试的能力和资格，由乙方负责采购项目产品安装、测试。在安装、测试及维修过程发生的一切事故（包括但不限于乙方员工及雇佣工人等的伤亡事故）均由乙方负责，与甲方无关。</w:t>
      </w:r>
    </w:p>
    <w:p>
      <w:pPr>
        <w:jc w:val="both"/>
      </w:pPr>
      <w:r>
        <w:rPr>
          <w:b/>
          <w:sz w:val="21"/>
        </w:rPr>
        <w:t>八、验收</w:t>
      </w:r>
    </w:p>
    <w:p>
      <w:pPr>
        <w:ind w:firstLine="424"/>
        <w:jc w:val="both"/>
      </w:pPr>
      <w:r>
        <w:rPr>
          <w:sz w:val="21"/>
        </w:rPr>
        <w:t>1.</w:t>
      </w:r>
      <w:r>
        <w:rPr>
          <w:sz w:val="21"/>
        </w:rPr>
        <w:t>交付验收标准</w:t>
      </w:r>
      <w:r>
        <w:rPr>
          <w:sz w:val="21"/>
        </w:rPr>
        <w:t>依次序对照适用</w:t>
      </w:r>
      <w:r>
        <w:rPr>
          <w:sz w:val="21"/>
        </w:rPr>
        <w:t>标准</w:t>
      </w:r>
      <w:r>
        <w:rPr>
          <w:sz w:val="21"/>
        </w:rPr>
        <w:t>为：</w:t>
      </w:r>
      <w:r>
        <w:rPr>
          <w:sz w:val="21"/>
        </w:rPr>
        <w:t>①符合中华人民共和国国家安全质量标准、环保标准或行业标准；②符合招标文件和响应承诺中甲方认可的合理最佳配置、参数及各项要求；③货物来源国官方标准。</w:t>
      </w:r>
    </w:p>
    <w:p>
      <w:pPr>
        <w:ind w:firstLine="424"/>
        <w:jc w:val="both"/>
      </w:pPr>
      <w:r>
        <w:rPr>
          <w:sz w:val="21"/>
        </w:rPr>
        <w:t>2.</w:t>
      </w:r>
      <w:r>
        <w:rPr>
          <w:sz w:val="21"/>
        </w:rPr>
        <w:t>进口产品必须具备原产地证明和商检局的检验证明及合法进货渠道证明。</w:t>
      </w:r>
    </w:p>
    <w:p>
      <w:pPr>
        <w:ind w:firstLine="424"/>
        <w:jc w:val="both"/>
      </w:pPr>
      <w:r>
        <w:rPr>
          <w:sz w:val="21"/>
        </w:rPr>
        <w:t>3.</w:t>
      </w:r>
      <w:r>
        <w:rPr>
          <w:sz w:val="21"/>
        </w:rPr>
        <w:t>货物为原厂商未启封全新包装，具出厂合格证，序列号、包装箱号与出厂批号一致，并可追索查阅。所有随设备的附件必须齐全。</w:t>
      </w:r>
    </w:p>
    <w:p>
      <w:pPr>
        <w:ind w:firstLine="424"/>
        <w:jc w:val="both"/>
      </w:pPr>
      <w:r>
        <w:rPr>
          <w:sz w:val="21"/>
        </w:rPr>
        <w:t>4.</w:t>
      </w:r>
      <w:r>
        <w:rPr>
          <w:sz w:val="21"/>
        </w:rPr>
        <w:t>乙方应将关键主机设备的用户手册、保修手册、有关单证资料及配备件、随机工具等交付给甲方，使用操作及安全须知等重要资料应附有中文说明。</w:t>
      </w:r>
    </w:p>
    <w:p>
      <w:pPr>
        <w:ind w:firstLine="424"/>
        <w:jc w:val="both"/>
      </w:pPr>
      <w:r>
        <w:rPr>
          <w:sz w:val="21"/>
        </w:rPr>
        <w:t>5.</w:t>
      </w:r>
      <w:r>
        <w:rPr>
          <w:sz w:val="21"/>
        </w:rPr>
        <w:t>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p>
      <w:pPr>
        <w:jc w:val="both"/>
      </w:pPr>
      <w:r>
        <w:rPr>
          <w:b/>
          <w:sz w:val="21"/>
        </w:rPr>
        <w:t>九、违约责任与赔偿损失</w:t>
      </w:r>
    </w:p>
    <w:p>
      <w:pPr>
        <w:ind w:firstLine="426"/>
        <w:jc w:val="both"/>
      </w:pPr>
      <w:r>
        <w:rPr>
          <w:sz w:val="21"/>
        </w:rPr>
        <w:t>1.</w:t>
      </w:r>
      <w:r>
        <w:rPr>
          <w:sz w:val="21"/>
        </w:rPr>
        <w:t>乙方交付的货物、工程</w:t>
      </w:r>
      <w:r>
        <w:rPr>
          <w:sz w:val="21"/>
        </w:rPr>
        <w:t>/提供的服务不符合本合同规定的，甲方有权拒收，并且乙方须向甲方支付本合同总价5%的违约金。</w:t>
      </w:r>
    </w:p>
    <w:p>
      <w:pPr>
        <w:ind w:firstLine="426"/>
        <w:jc w:val="both"/>
      </w:pPr>
      <w:r>
        <w:rPr>
          <w:sz w:val="21"/>
        </w:rPr>
        <w:t>2.</w:t>
      </w:r>
      <w:r>
        <w:rPr>
          <w:sz w:val="21"/>
        </w:rPr>
        <w:t>乙方未能按本合同规定的交货时间交付货物的</w:t>
      </w:r>
      <w:r>
        <w:rPr>
          <w:sz w:val="21"/>
        </w:rPr>
        <w:t>/提供服务，从逾期之日起每日按本合同总价</w:t>
      </w:r>
      <w:r>
        <w:rPr>
          <w:sz w:val="21"/>
          <w:u w:val="single"/>
        </w:rPr>
        <w:t>万分之三</w:t>
      </w:r>
      <w:r>
        <w:rPr>
          <w:sz w:val="21"/>
        </w:rPr>
        <w:t>的数额向甲方支付违约金；逾期半个月以上的，甲方有权终止合同，由此造成的甲方经济损失由乙方承担。</w:t>
      </w:r>
    </w:p>
    <w:p>
      <w:pPr>
        <w:ind w:firstLine="420"/>
        <w:jc w:val="both"/>
      </w:pPr>
      <w:r>
        <w:rPr>
          <w:sz w:val="21"/>
        </w:rPr>
        <w:t>3.</w:t>
      </w:r>
      <w:r>
        <w:rPr>
          <w:sz w:val="21"/>
        </w:rPr>
        <w:t>甲方无正当理由拒收货物</w:t>
      </w:r>
      <w:r>
        <w:rPr>
          <w:sz w:val="21"/>
        </w:rPr>
        <w:t>/接受服务，到期拒付货物/服务款项的，甲方向乙方偿付本合同总的5%的违约金。甲方逾期付款，则每日按合同中应付未付款金额的万分之三向乙方偿付违约金。甲方</w:t>
      </w:r>
      <w:r>
        <w:rPr>
          <w:sz w:val="21"/>
        </w:rPr>
        <w:t>付款时间为甲方向政府采购支付部门、贷款银行提出支付申请的时间（不含政府财政支付部门、贷款银行审查的时间），即甲方在规定时间向相关部门提出付款申请就视为履行了支付义务。</w:t>
      </w:r>
    </w:p>
    <w:p>
      <w:pPr>
        <w:ind w:firstLine="420"/>
        <w:jc w:val="both"/>
      </w:pPr>
      <w:r>
        <w:rPr>
          <w:sz w:val="21"/>
        </w:rPr>
        <w:t>4</w:t>
      </w:r>
      <w:r>
        <w:rPr>
          <w:sz w:val="21"/>
        </w:rPr>
        <w:t>.</w:t>
      </w:r>
      <w:r>
        <w:rPr>
          <w:sz w:val="21"/>
        </w:rPr>
        <w:t>乙方未经甲方事先书面同意，部分或全部转让其应履行合同项下的义务的，乙方向甲方支付合同金额</w:t>
      </w:r>
      <w:r>
        <w:rPr>
          <w:sz w:val="21"/>
        </w:rPr>
        <w:t>30%的违约金且甲方有权解除本合同。</w:t>
      </w:r>
    </w:p>
    <w:p>
      <w:pPr>
        <w:ind w:firstLine="426"/>
        <w:jc w:val="both"/>
      </w:pPr>
      <w:r>
        <w:rPr>
          <w:sz w:val="21"/>
        </w:rPr>
        <w:t>5</w:t>
      </w:r>
      <w:r>
        <w:rPr>
          <w:sz w:val="21"/>
        </w:rPr>
        <w:t>.</w:t>
      </w:r>
      <w:r>
        <w:rPr>
          <w:sz w:val="21"/>
        </w:rPr>
        <w:t>其它违约责任按《中华人民</w:t>
      </w:r>
      <w:r>
        <w:rPr>
          <w:sz w:val="21"/>
        </w:rPr>
        <w:t>共和国民法典》处理。</w:t>
      </w:r>
    </w:p>
    <w:p>
      <w:pPr>
        <w:jc w:val="both"/>
      </w:pPr>
      <w:r>
        <w:rPr>
          <w:b/>
          <w:sz w:val="21"/>
        </w:rPr>
        <w:t>十、争议的解决</w:t>
      </w:r>
    </w:p>
    <w:p>
      <w:pPr>
        <w:ind w:firstLine="420"/>
        <w:jc w:val="both"/>
      </w:pPr>
      <w:r>
        <w:rPr>
          <w:sz w:val="21"/>
        </w:rPr>
        <w:t>合同执行过程中发生的任何争议，如双方不能通过友好协商解决，按相关法律法规处理。</w:t>
      </w:r>
    </w:p>
    <w:p>
      <w:pPr>
        <w:jc w:val="both"/>
      </w:pPr>
      <w:r>
        <w:rPr>
          <w:b/>
          <w:sz w:val="21"/>
        </w:rPr>
        <w:t>十一、不可抗力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十二、税费</w:t>
      </w:r>
    </w:p>
    <w:p>
      <w:pPr>
        <w:ind w:firstLine="420"/>
        <w:jc w:val="both"/>
      </w:pPr>
      <w:r>
        <w:rPr>
          <w:sz w:val="21"/>
        </w:rPr>
        <w:t>在中国境内、外发生的与本合同执行有关的一切税费均由乙方负担。</w:t>
      </w:r>
    </w:p>
    <w:p>
      <w:pPr>
        <w:jc w:val="both"/>
      </w:pPr>
      <w:r>
        <w:rPr>
          <w:b/>
          <w:sz w:val="21"/>
        </w:rPr>
        <w:t>十三、其它</w:t>
      </w:r>
    </w:p>
    <w:p>
      <w:pPr>
        <w:ind w:firstLine="420"/>
        <w:jc w:val="both"/>
      </w:pPr>
      <w:r>
        <w:rPr>
          <w:sz w:val="21"/>
        </w:rPr>
        <w:t>1.本合同所有附件、招标文件、投标文件、中标通知书均为合同的有效组成部分，与本合同具有同等法律效力。</w:t>
      </w:r>
    </w:p>
    <w:p>
      <w:pPr>
        <w:ind w:firstLine="420"/>
        <w:jc w:val="both"/>
      </w:pPr>
      <w:r>
        <w:rPr>
          <w:sz w:val="21"/>
        </w:rPr>
        <w:t>2.在执行本合同的过程中，所有经双方签署确认的文件（包括会议纪要、补充协议、往来信函）即成为本合同的有效组成部分。</w:t>
      </w:r>
    </w:p>
    <w:p>
      <w:pPr>
        <w:ind w:firstLine="420"/>
        <w:jc w:val="both"/>
      </w:pPr>
      <w:r>
        <w:rPr>
          <w:sz w:val="21"/>
        </w:rPr>
        <w:t>3.如一方地址、电话、传真号码有变更，应在变更当日内书面通知对方，否则，应承担相应责任。</w:t>
      </w:r>
    </w:p>
    <w:p>
      <w:pPr>
        <w:ind w:firstLine="420"/>
        <w:jc w:val="both"/>
      </w:pPr>
      <w:r>
        <w:rPr>
          <w:sz w:val="21"/>
        </w:rPr>
        <w:t>4.除甲方事先书面同意外，乙方不得部分或全部转让其应履行的合同项下的义务。</w:t>
      </w:r>
    </w:p>
    <w:p>
      <w:pPr>
        <w:jc w:val="both"/>
      </w:pPr>
      <w:r>
        <w:rPr>
          <w:b/>
          <w:sz w:val="21"/>
        </w:rPr>
        <w:t>十四、合同生效</w:t>
      </w:r>
    </w:p>
    <w:p>
      <w:pPr>
        <w:ind w:firstLine="420"/>
        <w:jc w:val="both"/>
      </w:pPr>
      <w:r>
        <w:rPr>
          <w:sz w:val="21"/>
        </w:rPr>
        <w:t>1.</w:t>
      </w:r>
      <w:r>
        <w:rPr>
          <w:sz w:val="21"/>
        </w:rPr>
        <w:t>本合同在甲乙双方法人代表或其授权代表签字盖章后生效。</w:t>
      </w:r>
    </w:p>
    <w:p>
      <w:pPr>
        <w:ind w:firstLine="420"/>
        <w:jc w:val="both"/>
      </w:pPr>
      <w:r>
        <w:rPr>
          <w:sz w:val="21"/>
        </w:rPr>
        <w:t>2.</w:t>
      </w:r>
      <w:r>
        <w:rPr>
          <w:sz w:val="21"/>
        </w:rPr>
        <w:t>合同一式</w:t>
      </w:r>
      <w:r>
        <w:rPr>
          <w:sz w:val="24"/>
          <w:u w:val="single"/>
        </w:rPr>
        <w:t xml:space="preserve">    </w:t>
      </w:r>
      <w:r>
        <w:rPr>
          <w:sz w:val="21"/>
        </w:rPr>
        <w:t>份，其中甲方</w:t>
      </w:r>
      <w:r>
        <w:rPr>
          <w:sz w:val="24"/>
          <w:u w:val="single"/>
        </w:rPr>
        <w:t xml:space="preserve">    </w:t>
      </w:r>
      <w:r>
        <w:rPr>
          <w:sz w:val="21"/>
        </w:rPr>
        <w:t>份，乙方</w:t>
      </w:r>
      <w:r>
        <w:rPr>
          <w:sz w:val="24"/>
          <w:u w:val="single"/>
        </w:rPr>
        <w:t xml:space="preserve">    </w:t>
      </w:r>
      <w:r>
        <w:rPr>
          <w:sz w:val="21"/>
        </w:rPr>
        <w:t>份，采购代理机构</w:t>
      </w:r>
      <w:r>
        <w:rPr>
          <w:sz w:val="21"/>
          <w:u w:val="single"/>
        </w:rPr>
        <w:t>壹</w:t>
      </w:r>
      <w:r>
        <w:rPr>
          <w:sz w:val="21"/>
        </w:rPr>
        <w:t>份。</w:t>
      </w:r>
    </w:p>
    <w:p>
      <w:pPr>
        <w:jc w:val="both"/>
      </w:pPr>
    </w:p>
    <w:p>
      <w:pPr>
        <w:jc w:val="both"/>
      </w:pPr>
      <w:r>
        <w:rPr>
          <w:sz w:val="21"/>
        </w:rPr>
        <w:t>甲方（盖章）：</w:t>
      </w:r>
      <w:r>
        <w:rPr>
          <w:sz w:val="21"/>
        </w:rPr>
        <w:t xml:space="preserve">                         </w:t>
      </w:r>
      <w:r>
        <w:rPr>
          <w:sz w:val="21"/>
        </w:rPr>
        <w:t>乙方（盖章）：</w:t>
      </w:r>
    </w:p>
    <w:p>
      <w:pPr>
        <w:jc w:val="both"/>
      </w:pPr>
      <w:r>
        <w:rPr>
          <w:sz w:val="21"/>
        </w:rPr>
        <w:t>法定代表</w:t>
      </w:r>
      <w:r>
        <w:rPr>
          <w:sz w:val="21"/>
        </w:rPr>
        <w:t>/授权代表（签字）：             法定代表/授权代表（签字）：</w:t>
      </w:r>
    </w:p>
    <w:p>
      <w:pPr>
        <w:jc w:val="both"/>
      </w:pPr>
      <w:r>
        <w:rPr>
          <w:sz w:val="21"/>
        </w:rPr>
        <w:t>日期：</w:t>
      </w:r>
      <w:r>
        <w:rPr>
          <w:sz w:val="21"/>
        </w:rPr>
        <w:t xml:space="preserve">                                </w:t>
      </w:r>
      <w:r>
        <w:rPr>
          <w:sz w:val="21"/>
        </w:rPr>
        <w:t>日期：</w:t>
      </w:r>
    </w:p>
    <w:p>
      <w:pPr>
        <w:jc w:val="both"/>
      </w:pPr>
      <w:r>
        <w:rPr>
          <w:sz w:val="21"/>
        </w:rPr>
        <w:t>邮政编码：</w:t>
      </w:r>
      <w:r>
        <w:rPr>
          <w:sz w:val="21"/>
        </w:rPr>
        <w:t xml:space="preserve">                            </w:t>
      </w:r>
      <w:r>
        <w:rPr>
          <w:sz w:val="21"/>
        </w:rPr>
        <w:t>邮政编码：</w:t>
      </w:r>
    </w:p>
    <w:p>
      <w:pPr>
        <w:jc w:val="both"/>
      </w:pPr>
      <w:r>
        <w:rPr>
          <w:sz w:val="21"/>
        </w:rPr>
        <w:t>开户名称：</w:t>
      </w:r>
      <w:r>
        <w:rPr>
          <w:sz w:val="21"/>
        </w:rPr>
        <w:t xml:space="preserve">                            </w:t>
      </w:r>
      <w:r>
        <w:rPr>
          <w:sz w:val="21"/>
        </w:rPr>
        <w:t>开户名称：</w:t>
      </w:r>
    </w:p>
    <w:p>
      <w:pPr>
        <w:jc w:val="both"/>
      </w:pPr>
      <w:r>
        <w:rPr>
          <w:sz w:val="21"/>
        </w:rPr>
        <w:t>开户银行：</w:t>
      </w:r>
      <w:r>
        <w:rPr>
          <w:sz w:val="21"/>
        </w:rPr>
        <w:t xml:space="preserve">                            </w:t>
      </w:r>
      <w:r>
        <w:rPr>
          <w:sz w:val="21"/>
        </w:rPr>
        <w:t>开户银行：</w:t>
      </w:r>
    </w:p>
    <w:p>
      <w:pPr>
        <w:jc w:val="both"/>
      </w:pPr>
      <w:r>
        <w:rPr>
          <w:sz w:val="21"/>
        </w:rPr>
        <w:t>开户账号：</w:t>
      </w:r>
      <w:r>
        <w:rPr>
          <w:sz w:val="21"/>
        </w:rPr>
        <w:t xml:space="preserve">                            </w:t>
      </w:r>
      <w:r>
        <w:rPr>
          <w:sz w:val="21"/>
        </w:rPr>
        <w:t>开户账号</w:t>
      </w:r>
      <w:r>
        <w:rPr>
          <w:sz w:val="21"/>
        </w:rPr>
        <w:t>:</w:t>
      </w:r>
    </w:p>
    <w:p>
      <w:pPr>
        <w:jc w:val="both"/>
      </w:pPr>
    </w:p>
    <w:p/>
    <w:p/>
    <w:p>
      <w:r>
        <w:rPr/>
        <w:t xml:space="preserve"> </w:t>
      </w:r>
    </w:p>
    <w:p>
      <w:pPr>
        <w:jc w:val="center"/>
      </w:pPr>
    </w:p>
    <w:p>
      <w:pPr>
        <w:jc w:val="center"/>
      </w:pPr>
    </w:p>
    <w:p>
      <w:pPr>
        <w:jc w:val="center"/>
      </w:pPr>
      <w:r>
        <w:rPr>
          <w:b/>
          <w:sz w:val="44"/>
        </w:rPr>
        <w:t>广东技术师范大学</w:t>
      </w:r>
    </w:p>
    <w:p>
      <w:pPr>
        <w:jc w:val="center"/>
      </w:pPr>
      <w:r>
        <w:rPr>
          <w:b/>
          <w:sz w:val="44"/>
        </w:rPr>
        <w:t>信息系统建设网络安全责任协议</w:t>
      </w:r>
    </w:p>
    <w:p>
      <w:pPr>
        <w:jc w:val="both"/>
      </w:pPr>
    </w:p>
    <w:p>
      <w:pPr>
        <w:ind w:firstLine="420"/>
        <w:jc w:val="both"/>
      </w:pPr>
    </w:p>
    <w:p>
      <w:pPr>
        <w:jc w:val="both"/>
      </w:pPr>
    </w:p>
    <w:p>
      <w:pPr>
        <w:jc w:val="both"/>
      </w:pPr>
    </w:p>
    <w:p>
      <w:pPr>
        <w:ind w:firstLine="420"/>
        <w:jc w:val="both"/>
      </w:pPr>
    </w:p>
    <w:p>
      <w:pPr>
        <w:jc w:val="both"/>
      </w:pPr>
      <w:r>
        <w:rPr>
          <w:b/>
          <w:sz w:val="28"/>
        </w:rPr>
        <w:t>甲方</w:t>
      </w:r>
      <w:r>
        <w:rPr>
          <w:sz w:val="28"/>
        </w:rPr>
        <w:t>：</w:t>
      </w:r>
      <w:r>
        <w:rPr>
          <w:sz w:val="24"/>
          <w:u w:val="single"/>
        </w:rPr>
        <w:t xml:space="preserve">  </w:t>
      </w:r>
      <w:r>
        <w:rPr>
          <w:sz w:val="24"/>
          <w:u w:val="single"/>
        </w:rPr>
        <w:t xml:space="preserve">       </w:t>
      </w:r>
      <w:r>
        <w:rPr>
          <w:sz w:val="28"/>
          <w:u w:val="single"/>
        </w:rPr>
        <w:t xml:space="preserve">         </w:t>
      </w:r>
      <w:r>
        <w:rPr>
          <w:sz w:val="28"/>
          <w:u w:val="single"/>
        </w:rPr>
        <w:t>广东技术师范大学</w:t>
      </w:r>
      <w:r>
        <w:rPr>
          <w:sz w:val="28"/>
          <w:u w:val="single"/>
        </w:rPr>
        <w:t xml:space="preserve">            </w:t>
      </w:r>
      <w:r>
        <w:rPr>
          <w:sz w:val="24"/>
          <w:u w:val="single"/>
        </w:rPr>
        <w:t xml:space="preserve">   </w:t>
      </w:r>
      <w:r>
        <w:rPr>
          <w:sz w:val="24"/>
          <w:u w:val="single"/>
        </w:rPr>
        <w:t xml:space="preserve">   </w:t>
      </w:r>
    </w:p>
    <w:p>
      <w:pPr>
        <w:jc w:val="both"/>
      </w:pPr>
      <w:r>
        <w:rPr>
          <w:b/>
          <w:sz w:val="28"/>
        </w:rPr>
        <w:t>住所地：</w:t>
      </w:r>
      <w:r>
        <w:rPr>
          <w:b/>
          <w:sz w:val="24"/>
          <w:u w:val="single"/>
        </w:rPr>
        <w:t xml:space="preserve">        </w:t>
      </w:r>
      <w:r>
        <w:rPr>
          <w:sz w:val="28"/>
          <w:u w:val="single"/>
        </w:rPr>
        <w:t>广东省广州市天河区中山大道西</w:t>
      </w:r>
      <w:r>
        <w:rPr>
          <w:sz w:val="28"/>
          <w:u w:val="single"/>
        </w:rPr>
        <w:t xml:space="preserve">293号        </w:t>
      </w:r>
      <w:r>
        <w:rPr>
          <w:sz w:val="24"/>
          <w:u w:val="single"/>
        </w:rPr>
        <w:t xml:space="preserve"> </w:t>
      </w:r>
    </w:p>
    <w:p>
      <w:pPr>
        <w:jc w:val="both"/>
      </w:pPr>
      <w:r>
        <w:rPr>
          <w:b/>
          <w:sz w:val="28"/>
        </w:rPr>
        <w:t>法定代表人：</w:t>
      </w:r>
      <w:r>
        <w:rPr>
          <w:sz w:val="24"/>
          <w:u w:val="single"/>
        </w:rPr>
        <w:t xml:space="preserve"> </w:t>
      </w:r>
      <w:r>
        <w:rPr>
          <w:sz w:val="24"/>
          <w:u w:val="single"/>
        </w:rPr>
        <w:t xml:space="preserve">     </w:t>
      </w:r>
      <w:r>
        <w:rPr>
          <w:sz w:val="24"/>
          <w:u w:val="single"/>
        </w:rPr>
        <w:t xml:space="preserve">        </w:t>
      </w:r>
      <w:r>
        <w:rPr>
          <w:sz w:val="24"/>
          <w:u w:val="single"/>
        </w:rPr>
        <w:t xml:space="preserve">    </w:t>
      </w:r>
      <w:r>
        <w:rPr>
          <w:sz w:val="28"/>
          <w:u w:val="single"/>
        </w:rPr>
        <w:t>戴青云</w:t>
      </w:r>
      <w:r>
        <w:rPr>
          <w:sz w:val="24"/>
          <w:u w:val="single"/>
        </w:rPr>
        <w:t xml:space="preserve">     </w:t>
      </w:r>
      <w:r>
        <w:rPr>
          <w:sz w:val="24"/>
          <w:u w:val="single"/>
        </w:rPr>
        <w:t xml:space="preserve">      </w:t>
      </w:r>
      <w:r>
        <w:rPr>
          <w:sz w:val="24"/>
          <w:u w:val="single"/>
        </w:rPr>
        <w:t xml:space="preserve">           </w:t>
      </w:r>
    </w:p>
    <w:p>
      <w:pPr>
        <w:jc w:val="both"/>
      </w:pPr>
    </w:p>
    <w:p>
      <w:pPr>
        <w:jc w:val="both"/>
      </w:pPr>
      <w:r>
        <w:rPr>
          <w:b/>
          <w:sz w:val="28"/>
        </w:rPr>
        <w:t>乙方</w:t>
      </w:r>
      <w:r>
        <w:rPr>
          <w:sz w:val="28"/>
        </w:rPr>
        <w:t>：</w:t>
      </w:r>
      <w:r>
        <w:rPr>
          <w:sz w:val="24"/>
          <w:u w:val="single"/>
        </w:rPr>
        <w:t xml:space="preserve">                        </w:t>
      </w:r>
    </w:p>
    <w:p>
      <w:pPr>
        <w:jc w:val="both"/>
      </w:pPr>
      <w:r>
        <w:rPr>
          <w:b/>
          <w:sz w:val="28"/>
        </w:rPr>
        <w:t>住所地：</w:t>
      </w:r>
      <w:r>
        <w:rPr>
          <w:b/>
          <w:sz w:val="24"/>
          <w:u w:val="single"/>
        </w:rPr>
        <w:t xml:space="preserve">  </w:t>
      </w:r>
      <w:r>
        <w:rPr>
          <w:b/>
          <w:sz w:val="24"/>
          <w:u w:val="single"/>
        </w:rPr>
        <w:t xml:space="preserve">                   </w:t>
      </w:r>
    </w:p>
    <w:p>
      <w:pPr>
        <w:jc w:val="both"/>
      </w:pPr>
      <w:r>
        <w:rPr>
          <w:b/>
          <w:sz w:val="28"/>
        </w:rPr>
        <w:t>法定代表人：</w:t>
      </w:r>
      <w:r>
        <w:rPr>
          <w:b/>
          <w:sz w:val="24"/>
          <w:u w:val="single"/>
        </w:rPr>
        <w:t xml:space="preserve"> </w:t>
      </w:r>
      <w:r>
        <w:rPr>
          <w:b/>
          <w:sz w:val="24"/>
          <w:u w:val="single"/>
        </w:rPr>
        <w:t xml:space="preserve">        </w:t>
      </w:r>
      <w:r>
        <w:rPr>
          <w:sz w:val="24"/>
          <w:u w:val="single"/>
        </w:rPr>
        <w:t xml:space="preserve"> </w:t>
      </w:r>
      <w:r>
        <w:rPr>
          <w:sz w:val="24"/>
          <w:u w:val="single"/>
        </w:rPr>
        <w:t xml:space="preserve">     </w:t>
      </w:r>
      <w:r>
        <w:rPr>
          <w:b/>
          <w:sz w:val="24"/>
          <w:u w:val="single"/>
        </w:rPr>
        <w:t xml:space="preserve">   </w:t>
      </w:r>
    </w:p>
    <w:p>
      <w:pPr>
        <w:jc w:val="both"/>
      </w:pPr>
    </w:p>
    <w:p>
      <w:pPr>
        <w:jc w:val="both"/>
      </w:pPr>
    </w:p>
    <w:p/>
    <w:p/>
    <w:p>
      <w:r>
        <w:rPr/>
        <w:t xml:space="preserve"> </w:t>
      </w:r>
    </w:p>
    <w:p>
      <w:pPr>
        <w:ind w:firstLine="630"/>
        <w:jc w:val="both"/>
      </w:pPr>
      <w:r>
        <w:rPr>
          <w:sz w:val="21"/>
        </w:rPr>
        <w:t>甲、乙</w:t>
      </w:r>
      <w:r>
        <w:rPr>
          <w:sz w:val="21"/>
        </w:rPr>
        <w:t>双方</w:t>
      </w:r>
      <w:r>
        <w:rPr>
          <w:sz w:val="21"/>
        </w:rPr>
        <w:t>现就</w:t>
      </w:r>
      <w:r>
        <w:rPr>
          <w:sz w:val="24"/>
          <w:u w:val="single"/>
        </w:rPr>
        <w:t xml:space="preserve">    </w:t>
      </w:r>
      <w:r>
        <w:rPr>
          <w:sz w:val="21"/>
        </w:rPr>
        <w:t>项目（以下简称</w:t>
      </w:r>
      <w:r>
        <w:rPr>
          <w:sz w:val="21"/>
        </w:rPr>
        <w:t>“项目”）进行建设合作。根据《中华人民共和国网络安全法》等相关法律法规和《信息安全技术</w:t>
      </w:r>
      <w:r>
        <w:rPr>
          <w:color w:val="111111"/>
          <w:sz w:val="21"/>
        </w:rPr>
        <w:t>-</w:t>
      </w:r>
      <w:r>
        <w:rPr>
          <w:sz w:val="21"/>
        </w:rPr>
        <w:t>网络安全等级保护基本要求（</w:t>
      </w:r>
      <w:r>
        <w:rPr>
          <w:sz w:val="21"/>
        </w:rPr>
        <w:t>GB/T 22239-2019）》、《信息安全技术</w:t>
      </w:r>
      <w:r>
        <w:rPr>
          <w:color w:val="111111"/>
          <w:sz w:val="21"/>
        </w:rPr>
        <w:t>-</w:t>
      </w:r>
      <w:r>
        <w:rPr>
          <w:sz w:val="21"/>
        </w:rPr>
        <w:t>个人信息安全规范（</w:t>
      </w:r>
      <w:r>
        <w:rPr>
          <w:sz w:val="21"/>
        </w:rPr>
        <w:t>GB/T 35273-2020）》等相关国家标准，本着平等、自愿、公平、诚信的原则，经双方协商一致，就该项目实施及后续合作过程中的网络信息安全责任事项达成本协议。</w:t>
      </w:r>
    </w:p>
    <w:p>
      <w:r>
        <w:rPr>
          <w:b/>
          <w:sz w:val="21"/>
        </w:rPr>
        <w:t>第一条</w:t>
      </w:r>
      <w:r>
        <w:rPr>
          <w:sz w:val="21"/>
        </w:rPr>
        <w:t>乙方严格遵守《中华人民共和国网络安全法》等相关法律法规和国家相关标准的要求，执行广东技术师范大学网络安全管理相关规定和办法。</w:t>
      </w:r>
    </w:p>
    <w:p>
      <w:r>
        <w:rPr>
          <w:b/>
          <w:sz w:val="21"/>
        </w:rPr>
        <w:t>第二条</w:t>
      </w:r>
      <w:r>
        <w:rPr>
          <w:sz w:val="21"/>
        </w:rPr>
        <w:t>乙方承诺在项目调研、开发、管理、实施、运维、售后服务及后续合作过程中，承担相应的网络信息安全责任。</w:t>
      </w:r>
    </w:p>
    <w:p>
      <w:r>
        <w:rPr>
          <w:b/>
          <w:sz w:val="21"/>
        </w:rPr>
        <w:t>第三条</w:t>
      </w:r>
      <w:r>
        <w:rPr>
          <w:sz w:val="21"/>
        </w:rPr>
        <w:t>乙方不得在其提供的软件产品中留有或设置漏洞、后门、木马等恶意程序和功能；如果发现其软件产品存在安全风险时，应当及时告知甲方，并立即采取补救措施。</w:t>
      </w:r>
    </w:p>
    <w:p>
      <w:r>
        <w:rPr>
          <w:b/>
          <w:sz w:val="21"/>
        </w:rPr>
        <w:t>第四条</w:t>
      </w:r>
      <w:r>
        <w:rPr>
          <w:sz w:val="21"/>
        </w:rPr>
        <w:t>乙方应采取技术措施和其他必要措施，保障所提供软件产品的自身安全和稳定运行，有效应对网络安全攻击，保护数据的完整性、保密性和可用性。如因软件产品自身安全问题造成的一切责任和后果（包括法律、经济等）由乙方全部承担。</w:t>
      </w:r>
    </w:p>
    <w:p>
      <w:r>
        <w:rPr>
          <w:b/>
          <w:sz w:val="21"/>
        </w:rPr>
        <w:t>第五条</w:t>
      </w:r>
      <w:r>
        <w:rPr>
          <w:sz w:val="21"/>
        </w:rPr>
        <w:t>乙方应当为其软件产品运行所依赖的操作系统、数据库系统、中间件、开发框架、第三方组件、容器等持续提供安全维护，并承担相应的安全责任；在合同约定的质保期内外，均不得终止提供安全维护。</w:t>
      </w:r>
    </w:p>
    <w:p>
      <w:r>
        <w:rPr>
          <w:b/>
          <w:sz w:val="21"/>
        </w:rPr>
        <w:t>第六条</w:t>
      </w:r>
      <w:r>
        <w:rPr>
          <w:sz w:val="21"/>
        </w:rPr>
        <w:t>如果软件产品涉及密码技术的应用，应确保密码的使用符合国家密码主管部门的相关要求。</w:t>
      </w:r>
    </w:p>
    <w:p>
      <w:r>
        <w:rPr>
          <w:b/>
          <w:sz w:val="21"/>
        </w:rPr>
        <w:t>第七条</w:t>
      </w:r>
      <w:r>
        <w:rPr>
          <w:sz w:val="21"/>
        </w:rPr>
        <w:t>软件产品具有收集用户信息功能的，乙方应当提前征得甲方同意；涉及用户个人敏感信息的，还应当遵守《中华人民共和国网络安全法》、《中华人民共和国个人信息保护法》等法律法规和国家标准的相关规定。</w:t>
      </w:r>
    </w:p>
    <w:p>
      <w:r>
        <w:rPr>
          <w:b/>
          <w:sz w:val="21"/>
        </w:rPr>
        <w:t>第八条</w:t>
      </w:r>
      <w:r>
        <w:rPr>
          <w:sz w:val="21"/>
        </w:rPr>
        <w:t>乙方应根据信息系统数据的重要性和系统运行需要，制定数据的备份和恢复策略与程序等。</w:t>
      </w:r>
    </w:p>
    <w:p>
      <w:r>
        <w:rPr>
          <w:b/>
          <w:sz w:val="21"/>
        </w:rPr>
        <w:t>第九条</w:t>
      </w:r>
      <w:r>
        <w:rPr>
          <w:sz w:val="21"/>
        </w:rPr>
        <w:t>软件产品应对以下活动进行日志记录，包括权限管理日志、账户管理日志、登录认证日志、业务访问日志、数据访问日志等；提供新闻、出版以及电子公告等服务的软件产品，还应记录并留存用户注册信息和发布信息审计功能；所有日志记录留存应至少保存</w:t>
      </w:r>
      <w:r>
        <w:rPr>
          <w:sz w:val="21"/>
        </w:rPr>
        <w:t>180天。</w:t>
      </w:r>
    </w:p>
    <w:p>
      <w:r>
        <w:rPr>
          <w:b/>
          <w:sz w:val="21"/>
        </w:rPr>
        <w:t>第十条</w:t>
      </w:r>
      <w:r>
        <w:rPr>
          <w:sz w:val="21"/>
        </w:rPr>
        <w:t>乙方应制定针对信息系统的网络与信息安全管理制度，对安全策略、账号管理、密码策略、配置管理、日志管理、日常操作、升级与补丁修复等方面做出规定。</w:t>
      </w:r>
    </w:p>
    <w:p>
      <w:r>
        <w:rPr>
          <w:b/>
          <w:sz w:val="21"/>
        </w:rPr>
        <w:t>第十一条</w:t>
      </w:r>
      <w:r>
        <w:rPr>
          <w:sz w:val="21"/>
        </w:rPr>
        <w:t>乙方应制定针对信息系统的网络安全事件应急预案，包括预案启动条件、应急处置流程、系统恢复流程等，并定期对应急预案进行评估和修订完善。</w:t>
      </w:r>
    </w:p>
    <w:p>
      <w:r>
        <w:rPr>
          <w:b/>
          <w:sz w:val="21"/>
        </w:rPr>
        <w:t>第十二条</w:t>
      </w:r>
      <w:r>
        <w:rPr>
          <w:sz w:val="21"/>
        </w:rPr>
        <w:t>乙方应对其工作人员的技术行为承担责任，包括：（</w:t>
      </w:r>
      <w:r>
        <w:rPr>
          <w:sz w:val="21"/>
        </w:rPr>
        <w:t>1）不得在甲方服务器上安装各类与项目建设、运行、维护无关的软件；（2）必须按照甲方提供的安全方式进行信息系统及其运行环境的访问，并向甲方报备访问的IP地址；（3）在软件产品上线运行后，未经甲方允许，乙方不得对信息系统及其运行环境进行任何操作；（4）做好所属账号管理工作，防止账号泄露、侵入等事件的发生；（5）履行甲方规定的安全责任相关要求；（6）因乙方工作人员造成的损失由乙方承担相关责任。</w:t>
      </w:r>
    </w:p>
    <w:p>
      <w:r>
        <w:rPr>
          <w:b/>
          <w:sz w:val="21"/>
        </w:rPr>
        <w:t>第十三条</w:t>
      </w:r>
      <w:r>
        <w:rPr>
          <w:sz w:val="21"/>
        </w:rPr>
        <w:t>乙方应对软件产品的安全检测、应急响应和安全事件处置承担责任，包括：（</w:t>
      </w:r>
      <w:r>
        <w:rPr>
          <w:sz w:val="21"/>
        </w:rPr>
        <w:t>1）对软件产品及其运行环境进行定期性的安全检测，并将结果以书面形式报告给甲方；（2）软件产品及其运行环境被检测出或发生安全问题时，乙方须在1小时内做出应急响应，并在24小时内完成应急处置，防止损失的进一步扩大。</w:t>
      </w:r>
    </w:p>
    <w:p>
      <w:r>
        <w:rPr>
          <w:b/>
          <w:sz w:val="21"/>
        </w:rPr>
        <w:t>第十四条</w:t>
      </w:r>
      <w:r>
        <w:rPr>
          <w:sz w:val="21"/>
        </w:rPr>
        <w:t>乙方如若无法在规定时间内做出响应和完成相关安全工作，甲方可自行组织开展相关工作，乙方承担由此产生的所有费用。</w:t>
      </w:r>
    </w:p>
    <w:p>
      <w:r>
        <w:rPr>
          <w:b/>
          <w:sz w:val="21"/>
        </w:rPr>
        <w:t>第十五条</w:t>
      </w:r>
      <w:r>
        <w:rPr>
          <w:sz w:val="21"/>
        </w:rPr>
        <w:t>本协议自双方签章之日起生效。</w:t>
      </w:r>
    </w:p>
    <w:p>
      <w:r>
        <w:rPr>
          <w:b/>
          <w:sz w:val="21"/>
        </w:rPr>
        <w:t>第十六条</w:t>
      </w:r>
      <w:r>
        <w:rPr>
          <w:sz w:val="21"/>
        </w:rPr>
        <w:t>本协议一式四份，甲方执三份，乙方执一份。</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4466"/>
        <w:gridCol w:w="3839"/>
      </w:tblGrid>
      <w:tr>
        <w:tc>
          <w:tcPr>
            <w:tcW w:type="dxa" w:w="4466"/>
            <w:tcBorders>
              <w:top w:val="none" w:color="000000" w:sz="4"/>
              <w:left w:val="none" w:color="000000" w:sz="4"/>
              <w:bottom w:val="none" w:color="000000" w:sz="4"/>
              <w:right w:val="none" w:color="000000" w:sz="4"/>
            </w:tcBorders>
            <w:vAlign w:val="top"/>
          </w:tcPr>
          <w:p/>
          <w:p>
            <w:r>
              <w:rPr>
                <w:sz w:val="21"/>
              </w:rPr>
              <w:t>甲方（盖章）：</w:t>
            </w:r>
          </w:p>
          <w:p>
            <w:r>
              <w:rPr>
                <w:sz w:val="21"/>
              </w:rPr>
              <w:t>法定代表人（或被授权代表）：</w:t>
            </w:r>
          </w:p>
          <w:p>
            <w:r>
              <w:rPr>
                <w:sz w:val="21"/>
              </w:rPr>
              <w:t>签字日期：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3839"/>
            <w:tcBorders>
              <w:top w:val="none" w:color="000000" w:sz="4"/>
              <w:left w:val="none" w:color="000000" w:sz="4"/>
              <w:bottom w:val="none" w:color="000000" w:sz="4"/>
              <w:right w:val="none" w:color="000000" w:sz="4"/>
            </w:tcBorders>
            <w:vAlign w:val="top"/>
          </w:tcPr>
          <w:p/>
          <w:p>
            <w:r>
              <w:rPr>
                <w:sz w:val="21"/>
              </w:rPr>
              <w:t>乙方（盖章）：</w:t>
            </w:r>
          </w:p>
          <w:p>
            <w:r>
              <w:rPr>
                <w:sz w:val="21"/>
              </w:rPr>
              <w:t>法定代表人（或被授权代表）：</w:t>
            </w:r>
          </w:p>
          <w:p>
            <w:r>
              <w:rPr>
                <w:sz w:val="21"/>
              </w:rPr>
              <w:t>签字日期：</w:t>
            </w:r>
            <w:r>
              <w:rPr>
                <w:sz w:val="21"/>
              </w:rPr>
              <w:t xml:space="preserve">     </w:t>
            </w:r>
            <w:r>
              <w:rPr>
                <w:sz w:val="21"/>
              </w:rPr>
              <w:t>年</w:t>
            </w:r>
            <w:r>
              <w:rPr>
                <w:sz w:val="21"/>
              </w:rPr>
              <w:t xml:space="preserve">   </w:t>
            </w:r>
            <w:r>
              <w:rPr>
                <w:sz w:val="21"/>
              </w:rPr>
              <w:t>月</w:t>
            </w:r>
            <w:r>
              <w:rPr>
                <w:sz w:val="21"/>
              </w:rPr>
              <w:t xml:space="preserve">  </w:t>
            </w:r>
            <w:r>
              <w:rPr>
                <w:sz w:val="21"/>
              </w:rPr>
              <w:t>日</w:t>
            </w:r>
          </w:p>
        </w:tc>
      </w:tr>
    </w:tbl>
    <w:p>
      <w:pPr>
        <w:jc w:val="left"/>
      </w:pPr>
    </w:p>
    <w:p/>
    <w:p/>
    <w:p>
      <w:r>
        <w:rPr/>
        <w:t xml:space="preserve"> </w:t>
      </w:r>
    </w:p>
    <w:p>
      <w:pPr>
        <w:jc w:val="center"/>
      </w:pPr>
    </w:p>
    <w:p>
      <w:pPr>
        <w:jc w:val="center"/>
      </w:pPr>
    </w:p>
    <w:p>
      <w:pPr>
        <w:jc w:val="center"/>
      </w:pPr>
      <w:r>
        <w:rPr>
          <w:b/>
          <w:sz w:val="44"/>
        </w:rPr>
        <w:t>广东技术师范大学</w:t>
      </w:r>
    </w:p>
    <w:p>
      <w:pPr>
        <w:jc w:val="center"/>
      </w:pPr>
      <w:r>
        <w:rPr>
          <w:b/>
          <w:sz w:val="44"/>
        </w:rPr>
        <w:t>信息系统建设信息安全保密协议</w:t>
      </w:r>
    </w:p>
    <w:p>
      <w:pPr>
        <w:jc w:val="center"/>
      </w:pPr>
    </w:p>
    <w:p>
      <w:pPr>
        <w:ind w:firstLine="420"/>
        <w:jc w:val="both"/>
      </w:pPr>
    </w:p>
    <w:p>
      <w:pPr>
        <w:jc w:val="both"/>
      </w:pPr>
    </w:p>
    <w:p>
      <w:pPr>
        <w:ind w:firstLine="420"/>
        <w:jc w:val="both"/>
      </w:pPr>
    </w:p>
    <w:p>
      <w:pPr>
        <w:jc w:val="left"/>
      </w:pPr>
      <w:r>
        <w:rPr>
          <w:b/>
          <w:sz w:val="28"/>
        </w:rPr>
        <w:t>甲方（信息提供方）</w:t>
      </w:r>
      <w:r>
        <w:rPr>
          <w:sz w:val="28"/>
        </w:rPr>
        <w:t>：</w:t>
      </w:r>
      <w:r>
        <w:rPr>
          <w:sz w:val="28"/>
          <w:u w:val="single"/>
        </w:rPr>
        <w:t xml:space="preserve">          </w:t>
      </w:r>
      <w:r>
        <w:rPr>
          <w:sz w:val="28"/>
          <w:u w:val="single"/>
        </w:rPr>
        <w:t>广东技术师范大学</w:t>
      </w:r>
      <w:r>
        <w:rPr>
          <w:sz w:val="28"/>
          <w:u w:val="single"/>
        </w:rPr>
        <w:t xml:space="preserve">            </w:t>
      </w:r>
    </w:p>
    <w:p>
      <w:pPr>
        <w:jc w:val="left"/>
      </w:pPr>
      <w:r>
        <w:rPr>
          <w:b/>
          <w:sz w:val="28"/>
        </w:rPr>
        <w:t>住所地：</w:t>
      </w:r>
      <w:r>
        <w:rPr>
          <w:b/>
          <w:sz w:val="24"/>
          <w:u w:val="single"/>
        </w:rPr>
        <w:t xml:space="preserve"> </w:t>
      </w:r>
      <w:r>
        <w:rPr>
          <w:b/>
          <w:sz w:val="24"/>
          <w:u w:val="single"/>
        </w:rPr>
        <w:t xml:space="preserve">   </w:t>
      </w:r>
      <w:r>
        <w:rPr>
          <w:b/>
          <w:sz w:val="24"/>
          <w:u w:val="single"/>
        </w:rPr>
        <w:t xml:space="preserve">      </w:t>
      </w:r>
      <w:r>
        <w:rPr>
          <w:b/>
          <w:sz w:val="24"/>
          <w:u w:val="single"/>
        </w:rPr>
        <w:t xml:space="preserve">  </w:t>
      </w:r>
      <w:r>
        <w:rPr>
          <w:sz w:val="28"/>
          <w:u w:val="single"/>
        </w:rPr>
        <w:t>广东省广州市天河区中山大道西</w:t>
      </w:r>
      <w:r>
        <w:rPr>
          <w:sz w:val="28"/>
          <w:u w:val="single"/>
        </w:rPr>
        <w:t>293号</w:t>
      </w:r>
      <w:r>
        <w:rPr>
          <w:b/>
          <w:sz w:val="24"/>
          <w:u w:val="single"/>
        </w:rPr>
        <w:t xml:space="preserve">    </w:t>
      </w:r>
    </w:p>
    <w:p>
      <w:pPr>
        <w:jc w:val="left"/>
      </w:pPr>
      <w:r>
        <w:rPr>
          <w:b/>
          <w:sz w:val="28"/>
        </w:rPr>
        <w:t>法定代表人：</w:t>
      </w:r>
      <w:r>
        <w:rPr>
          <w:b/>
          <w:sz w:val="24"/>
          <w:u w:val="single"/>
        </w:rPr>
        <w:t xml:space="preserve"> </w:t>
      </w:r>
      <w:r>
        <w:rPr>
          <w:b/>
          <w:sz w:val="24"/>
          <w:u w:val="single"/>
        </w:rPr>
        <w:t xml:space="preserve">     </w:t>
      </w:r>
      <w:r>
        <w:rPr>
          <w:b/>
          <w:sz w:val="24"/>
          <w:u w:val="single"/>
        </w:rPr>
        <w:t xml:space="preserve">      </w:t>
      </w:r>
      <w:r>
        <w:rPr>
          <w:b/>
          <w:sz w:val="24"/>
          <w:u w:val="single"/>
        </w:rPr>
        <w:t xml:space="preserve">           </w:t>
      </w:r>
      <w:r>
        <w:rPr>
          <w:sz w:val="28"/>
          <w:u w:val="single"/>
        </w:rPr>
        <w:t>戴青云</w:t>
      </w:r>
      <w:r>
        <w:rPr>
          <w:b/>
          <w:sz w:val="24"/>
          <w:u w:val="single"/>
        </w:rPr>
        <w:t xml:space="preserve">                 </w:t>
      </w:r>
    </w:p>
    <w:p>
      <w:pPr>
        <w:jc w:val="left"/>
      </w:pPr>
    </w:p>
    <w:p>
      <w:pPr>
        <w:jc w:val="left"/>
      </w:pPr>
      <w:r>
        <w:rPr>
          <w:b/>
          <w:sz w:val="28"/>
        </w:rPr>
        <w:t>乙方（信息接收方）</w:t>
      </w:r>
      <w:r>
        <w:rPr>
          <w:sz w:val="28"/>
        </w:rPr>
        <w:t>：</w:t>
      </w:r>
      <w:r>
        <w:rPr>
          <w:sz w:val="24"/>
          <w:u w:val="single"/>
        </w:rPr>
        <w:t xml:space="preserve">                                       </w:t>
      </w:r>
    </w:p>
    <w:p>
      <w:pPr>
        <w:jc w:val="left"/>
      </w:pPr>
      <w:r>
        <w:rPr>
          <w:b/>
          <w:sz w:val="28"/>
        </w:rPr>
        <w:t>住所地：</w:t>
      </w:r>
      <w:r>
        <w:rPr>
          <w:b/>
          <w:sz w:val="24"/>
          <w:u w:val="single"/>
        </w:rPr>
        <w:t xml:space="preserve">                                                  </w:t>
      </w:r>
    </w:p>
    <w:p>
      <w:pPr>
        <w:jc w:val="left"/>
      </w:pPr>
      <w:r>
        <w:rPr>
          <w:b/>
          <w:sz w:val="28"/>
        </w:rPr>
        <w:t>法定代表人：</w:t>
      </w:r>
      <w:r>
        <w:rPr>
          <w:b/>
          <w:sz w:val="24"/>
          <w:u w:val="single"/>
        </w:rPr>
        <w:t xml:space="preserve"> </w:t>
      </w:r>
      <w:r>
        <w:rPr>
          <w:b/>
          <w:sz w:val="24"/>
          <w:u w:val="single"/>
        </w:rPr>
        <w:t xml:space="preserve">            </w:t>
      </w:r>
      <w:r>
        <w:rPr>
          <w:b/>
          <w:sz w:val="24"/>
          <w:u w:val="single"/>
        </w:rPr>
        <w:t xml:space="preserve">                                   </w:t>
      </w:r>
      <w:r>
        <w:rPr>
          <w:b/>
          <w:sz w:val="24"/>
          <w:u w:val="single"/>
        </w:rPr>
        <w:t xml:space="preserve"> </w:t>
      </w:r>
    </w:p>
    <w:p>
      <w:pPr>
        <w:jc w:val="left"/>
      </w:pPr>
    </w:p>
    <w:p>
      <w:pPr>
        <w:jc w:val="both"/>
      </w:pPr>
    </w:p>
    <w:p/>
    <w:p/>
    <w:p>
      <w:r>
        <w:rPr/>
        <w:t xml:space="preserve"> </w:t>
      </w:r>
    </w:p>
    <w:p>
      <w:pPr>
        <w:ind w:firstLine="420"/>
        <w:jc w:val="both"/>
      </w:pPr>
      <w:r>
        <w:rPr>
          <w:sz w:val="21"/>
        </w:rPr>
        <w:t>甲、乙双方现就</w:t>
      </w:r>
      <w:r>
        <w:rPr>
          <w:sz w:val="24"/>
          <w:u w:val="single"/>
        </w:rPr>
        <w:t xml:space="preserve">                      </w:t>
      </w:r>
      <w:r>
        <w:rPr>
          <w:sz w:val="21"/>
        </w:rPr>
        <w:t>项目（以下简称</w:t>
      </w:r>
      <w:r>
        <w:rPr>
          <w:sz w:val="21"/>
        </w:rPr>
        <w:t>“项目”）进行建设合作。根据《中华人民共和国网络安全法》等相关法律法规和《信息安全技术 网络安全等级保护基本要求（GB/T 22239-2019）》、《信息安全技术 个人信息安全规范（GB/T 35273-2020）》等相关国家标准，本着平等、自愿、公平、诚信的原则，经双方协商一致，就该项目实施及后续合作过程中的数据安全保密责任事项达成本协议。</w:t>
      </w:r>
    </w:p>
    <w:p>
      <w:pPr>
        <w:ind w:firstLine="422"/>
        <w:jc w:val="both"/>
      </w:pPr>
      <w:r>
        <w:rPr>
          <w:b/>
          <w:sz w:val="21"/>
        </w:rPr>
        <w:t>定义</w:t>
      </w:r>
    </w:p>
    <w:p>
      <w:pPr>
        <w:jc w:val="both"/>
      </w:pPr>
      <w:r>
        <w:rPr>
          <w:sz w:val="21"/>
        </w:rPr>
        <w:t>1.</w:t>
      </w:r>
      <w:r>
        <w:rPr>
          <w:sz w:val="21"/>
        </w:rPr>
        <w:t>信息提供方：是指向协议对方提供本协议项下保密信息的一方。</w:t>
      </w:r>
    </w:p>
    <w:p>
      <w:pPr>
        <w:jc w:val="both"/>
      </w:pPr>
      <w:r>
        <w:rPr>
          <w:sz w:val="21"/>
        </w:rPr>
        <w:t>2.</w:t>
      </w:r>
      <w:r>
        <w:rPr>
          <w:sz w:val="21"/>
        </w:rPr>
        <w:t>信息接收方：是指接收信息提供方提供的本协议项下保密信息的一方。</w:t>
      </w:r>
    </w:p>
    <w:p>
      <w:pPr>
        <w:jc w:val="both"/>
      </w:pPr>
      <w:r>
        <w:rPr>
          <w:sz w:val="21"/>
        </w:rPr>
        <w:t>3.</w:t>
      </w:r>
      <w:r>
        <w:rPr>
          <w:sz w:val="21"/>
        </w:rPr>
        <w:t>保密信息：是指信息提供方及其关联方就甲乙双方业务合作事宜向信息接收方披露的如下信息内容：</w:t>
      </w:r>
    </w:p>
    <w:p>
      <w:pPr>
        <w:ind w:firstLine="420"/>
        <w:jc w:val="both"/>
      </w:pPr>
      <w:r>
        <w:rPr>
          <w:sz w:val="21"/>
        </w:rPr>
        <w:t>（</w:t>
      </w:r>
      <w:r>
        <w:rPr>
          <w:sz w:val="21"/>
        </w:rPr>
        <w:t>1</w:t>
      </w:r>
      <w:r>
        <w:rPr>
          <w:sz w:val="21"/>
        </w:rPr>
        <w:t>）</w:t>
      </w:r>
      <w:r>
        <w:rPr>
          <w:sz w:val="21"/>
        </w:rPr>
        <w:t>甲方披露时明确注明为保密、绝密等或要求乙方不得传播或公开的包括但不限于记载于纸张、电子存储介质等任何载体上的文字、图片、视听资料、电子数据和其它任何能够记载和传递信息的内容，包括但不限于乙方在项目调研、开发、管理、实施、运维、售后服务及后续合作过程中，对所接触到来源于甲方以任何方式获取、不为公众所知的所有信息、数据、资料和技术等，包括与项目规划有关的建设规划、实施方案、项目合同、其他内部文件等，与运行环境有关的网络拓扑、设备信息、网络协议、部署结构等，与系统开发有关的技术参数、软件架构、开发文档、配置文档、管理手册等，与运维管理有关的各类设备及系统账号口令、密码管理策略、日志数据、用户手册、内部管理规章制度等，与业务数据有关的教职员工、学生、注册用户等个人信息以及教学、科研、管理、办公、财务、人事等业务数据。乙方以任何形式全部或部分从保密信息中获得的任何信息、数据、资料和技术等均被视为保密信息。</w:t>
      </w:r>
    </w:p>
    <w:p>
      <w:pPr>
        <w:ind w:firstLine="420"/>
        <w:jc w:val="both"/>
      </w:pPr>
      <w:r>
        <w:rPr>
          <w:sz w:val="21"/>
        </w:rPr>
        <w:t>（</w:t>
      </w:r>
      <w:r>
        <w:rPr>
          <w:sz w:val="21"/>
        </w:rPr>
        <w:t>2</w:t>
      </w:r>
      <w:r>
        <w:rPr>
          <w:sz w:val="21"/>
        </w:rPr>
        <w:t>）</w:t>
      </w:r>
      <w:r>
        <w:rPr>
          <w:sz w:val="21"/>
        </w:rPr>
        <w:t>甲方披露时，虽未明确注明</w:t>
      </w:r>
      <w:r>
        <w:rPr>
          <w:sz w:val="21"/>
        </w:rPr>
        <w:t>“保密”或虽未明确要求保密，但明确告知属于尚未向公众披露或公开的信息内容。</w:t>
      </w:r>
    </w:p>
    <w:p>
      <w:pPr>
        <w:ind w:firstLine="420"/>
        <w:jc w:val="both"/>
      </w:pPr>
      <w:r>
        <w:rPr>
          <w:sz w:val="21"/>
        </w:rPr>
        <w:t>（</w:t>
      </w:r>
      <w:r>
        <w:rPr>
          <w:sz w:val="21"/>
        </w:rPr>
        <w:t>3</w:t>
      </w:r>
      <w:r>
        <w:rPr>
          <w:sz w:val="21"/>
        </w:rPr>
        <w:t>）</w:t>
      </w:r>
      <w:r>
        <w:rPr>
          <w:sz w:val="21"/>
        </w:rPr>
        <w:t>虽然不属于上述所列情形，但信息、数据、资料和技术自身性质表明其明显是保密的。</w:t>
      </w:r>
    </w:p>
    <w:p>
      <w:r>
        <w:rPr>
          <w:b/>
          <w:sz w:val="21"/>
        </w:rPr>
        <w:t>第一条</w:t>
      </w:r>
      <w:r>
        <w:rPr>
          <w:sz w:val="21"/>
        </w:rPr>
        <w:t>乙方严格遵守《中华人民共和国网络安全法》等相关法律法规和国家相关标准的要求，执行广东技术师范大学网络安全管理相关规定和办法。</w:t>
      </w:r>
    </w:p>
    <w:p>
      <w:r>
        <w:rPr>
          <w:b/>
          <w:sz w:val="21"/>
        </w:rPr>
        <w:t>第</w:t>
      </w:r>
      <w:r>
        <w:rPr>
          <w:b/>
          <w:sz w:val="21"/>
        </w:rPr>
        <w:t>二</w:t>
      </w:r>
      <w:r>
        <w:rPr>
          <w:b/>
          <w:sz w:val="21"/>
        </w:rPr>
        <w:t>条</w:t>
      </w:r>
      <w:r>
        <w:rPr>
          <w:sz w:val="21"/>
        </w:rPr>
        <w:t>甲方向乙方披露保密信息不构成将其商业秘密、商标、专利、技术秘密或任何其它知识产权拥有的权益向乙方及其代表的转让或授权。</w:t>
      </w:r>
    </w:p>
    <w:p>
      <w:r>
        <w:rPr>
          <w:b/>
          <w:sz w:val="21"/>
        </w:rPr>
        <w:t>第</w:t>
      </w:r>
      <w:r>
        <w:rPr>
          <w:b/>
          <w:sz w:val="21"/>
        </w:rPr>
        <w:t>三</w:t>
      </w:r>
      <w:r>
        <w:rPr>
          <w:b/>
          <w:sz w:val="21"/>
        </w:rPr>
        <w:t>条</w:t>
      </w:r>
      <w:r>
        <w:rPr>
          <w:sz w:val="21"/>
        </w:rPr>
        <w:t>乙方在接收保密信息后，应当在其内部严格限制保密信息的接触范围，可接触保密信息的人员仅限于与披露事由相关或从事与披露事由相关工作的必要工作人员，保密信息仅可在乙方范围内仅为项目之目的而使用，且乙方应保证相关使用人员在知悉该保密协议前，明确保密信息的保密性及其应承担的义务，并以书面形式同意接受本协议条款的约束。乙方应对上述人员的保密行为进行有效的监督管理，如发现保密信息泄露，应采取有效措施防止泄密进一步扩大，并及时告知甲方。因乙方工作人员违反本协议的保密要求而产生的责任由乙方自行承担。若乙方上述人员出现岗位调动或离职的情形，乙方有义务立即通知并配合甲方终止其与甲方有关的信息访问权限，收回其所持有的甲方保密资料和涉密介质，并确保该人员在离职后继续履行好保密义务。</w:t>
      </w:r>
    </w:p>
    <w:p>
      <w:r>
        <w:rPr>
          <w:b/>
          <w:sz w:val="21"/>
        </w:rPr>
        <w:t>第</w:t>
      </w:r>
      <w:r>
        <w:rPr>
          <w:b/>
          <w:sz w:val="21"/>
        </w:rPr>
        <w:t>四</w:t>
      </w:r>
      <w:r>
        <w:rPr>
          <w:b/>
          <w:sz w:val="21"/>
        </w:rPr>
        <w:t>条</w:t>
      </w:r>
      <w:r>
        <w:rPr>
          <w:sz w:val="21"/>
        </w:rPr>
        <w:t>乙方保证所获取的保密信息仅用于与双方合作项目有关的用途或目的。未经甲方同意，乙方不得对保密信息进行复制、修改、重组、逆向工程等，不得利用保密信息进行新的研究或开发利用。</w:t>
      </w:r>
    </w:p>
    <w:p>
      <w:r>
        <w:rPr>
          <w:b/>
          <w:sz w:val="21"/>
        </w:rPr>
        <w:t>第</w:t>
      </w:r>
      <w:r>
        <w:rPr>
          <w:b/>
          <w:sz w:val="21"/>
        </w:rPr>
        <w:t>五</w:t>
      </w:r>
      <w:r>
        <w:rPr>
          <w:b/>
          <w:sz w:val="21"/>
        </w:rPr>
        <w:t>条</w:t>
      </w:r>
      <w:r>
        <w:rPr>
          <w:sz w:val="21"/>
        </w:rPr>
        <w:t>未经甲方同意，乙方不得向任何第三方传播或披露甲方的保密信息。</w:t>
      </w:r>
    </w:p>
    <w:p>
      <w:r>
        <w:rPr>
          <w:b/>
          <w:sz w:val="21"/>
        </w:rPr>
        <w:t>第</w:t>
      </w:r>
      <w:r>
        <w:rPr>
          <w:b/>
          <w:sz w:val="21"/>
        </w:rPr>
        <w:t>六</w:t>
      </w:r>
      <w:r>
        <w:rPr>
          <w:b/>
          <w:sz w:val="21"/>
        </w:rPr>
        <w:t>条</w:t>
      </w:r>
      <w:r>
        <w:rPr>
          <w:sz w:val="21"/>
        </w:rPr>
        <w:t>乙方应采取必要措施保护和妥善保存从甲方获知的保密信息，防止保密信息被盗窃和</w:t>
      </w:r>
      <w:r>
        <w:rPr>
          <w:sz w:val="21"/>
        </w:rPr>
        <w:t>/或泄露，乙方保存保密信息的存储介质应由乙方指定的专人进行管理，并向甲方报备。</w:t>
      </w:r>
    </w:p>
    <w:p>
      <w:r>
        <w:rPr>
          <w:b/>
          <w:sz w:val="21"/>
        </w:rPr>
        <w:t>第</w:t>
      </w:r>
      <w:r>
        <w:rPr>
          <w:b/>
          <w:sz w:val="21"/>
        </w:rPr>
        <w:t>七</w:t>
      </w:r>
      <w:r>
        <w:rPr>
          <w:b/>
          <w:sz w:val="21"/>
        </w:rPr>
        <w:t>条</w:t>
      </w:r>
      <w:r>
        <w:rPr>
          <w:sz w:val="21"/>
        </w:rPr>
        <w:t>乙方不得刺探与本项目无关的甲方保密信息。</w:t>
      </w:r>
    </w:p>
    <w:p>
      <w:r>
        <w:rPr>
          <w:b/>
          <w:sz w:val="21"/>
        </w:rPr>
        <w:t>第</w:t>
      </w:r>
      <w:r>
        <w:rPr>
          <w:b/>
          <w:sz w:val="21"/>
        </w:rPr>
        <w:t>八</w:t>
      </w:r>
      <w:r>
        <w:rPr>
          <w:b/>
          <w:sz w:val="21"/>
        </w:rPr>
        <w:t>条</w:t>
      </w:r>
      <w:r>
        <w:rPr>
          <w:sz w:val="21"/>
        </w:rPr>
        <w:t>存有保密信息的存储介质如需送到单位外维修时，要将涉密资料备份后，对介质进行技术处理，以防泄密。</w:t>
      </w:r>
    </w:p>
    <w:p>
      <w:r>
        <w:rPr>
          <w:b/>
          <w:sz w:val="21"/>
        </w:rPr>
        <w:t>第</w:t>
      </w:r>
      <w:r>
        <w:rPr>
          <w:b/>
          <w:sz w:val="21"/>
        </w:rPr>
        <w:t>九</w:t>
      </w:r>
      <w:r>
        <w:rPr>
          <w:b/>
          <w:sz w:val="21"/>
        </w:rPr>
        <w:t>条</w:t>
      </w:r>
      <w:r>
        <w:rPr>
          <w:sz w:val="21"/>
        </w:rPr>
        <w:t>乙方所承担项目建设工作完成后或中途不再从事本项目相关工作，不得保留任何保密信息的副本。</w:t>
      </w:r>
    </w:p>
    <w:p>
      <w:r>
        <w:rPr>
          <w:b/>
          <w:sz w:val="21"/>
        </w:rPr>
        <w:t>第</w:t>
      </w:r>
      <w:r>
        <w:rPr>
          <w:b/>
          <w:sz w:val="21"/>
        </w:rPr>
        <w:t>十</w:t>
      </w:r>
      <w:r>
        <w:rPr>
          <w:b/>
          <w:sz w:val="21"/>
        </w:rPr>
        <w:t>条</w:t>
      </w:r>
      <w:r>
        <w:rPr>
          <w:sz w:val="21"/>
        </w:rPr>
        <w:t>甲乙双方一致认同，对于本协议签订及履行过程中、项目的商谈及合作过程中所接触到的甲方及其所属单位所有机构的保密信息，乙方应根据本协议约定履行保密义务、承担责任。</w:t>
      </w:r>
    </w:p>
    <w:p>
      <w:r>
        <w:rPr>
          <w:b/>
          <w:sz w:val="21"/>
        </w:rPr>
        <w:t>第</w:t>
      </w:r>
      <w:r>
        <w:rPr>
          <w:b/>
          <w:sz w:val="21"/>
        </w:rPr>
        <w:t>十</w:t>
      </w:r>
      <w:r>
        <w:rPr>
          <w:b/>
          <w:sz w:val="21"/>
        </w:rPr>
        <w:t>一条</w:t>
      </w:r>
      <w:r>
        <w:rPr>
          <w:sz w:val="21"/>
        </w:rPr>
        <w:t>乙方违反本协议约定的保密义务的，甲方有权要求乙方立即采取一切必要措施将因信息泄露而产生的不良影响降到最低，并应当向甲方提供与泄密有关的情况报告和相关资料。乙方同意：若违反本协议书内容，甲方有权制止乙方行为并要求其消除影响，视行为严重程度进行处罚；后果严重者，甲方将通过法律途径要求乙方承担合同金额</w:t>
      </w:r>
      <w:r>
        <w:rPr>
          <w:sz w:val="21"/>
        </w:rPr>
        <w:t>10%的违约金，并承担甲方为诉讼发生的诉讼费、律师费等。并向公安机关报案处理。</w:t>
      </w:r>
    </w:p>
    <w:p>
      <w:r>
        <w:rPr>
          <w:b/>
          <w:sz w:val="21"/>
        </w:rPr>
        <w:t>第</w:t>
      </w:r>
      <w:r>
        <w:rPr>
          <w:b/>
          <w:sz w:val="21"/>
        </w:rPr>
        <w:t>十二</w:t>
      </w:r>
      <w:r>
        <w:rPr>
          <w:b/>
          <w:sz w:val="21"/>
        </w:rPr>
        <w:t>条</w:t>
      </w:r>
      <w:r>
        <w:rPr>
          <w:sz w:val="21"/>
        </w:rPr>
        <w:t>乙方的保密义务自本协议签字盖章之日起开始生效。保密期限自本协议生效之日起至保密信息公开之日或甲方允许公开之日止。双方业务合作事宜的终止、失败或完成不影响本协议所规定的保密义务的履行。</w:t>
      </w:r>
    </w:p>
    <w:p>
      <w:r>
        <w:rPr>
          <w:b/>
          <w:sz w:val="21"/>
        </w:rPr>
        <w:t>第</w:t>
      </w:r>
      <w:r>
        <w:rPr>
          <w:b/>
          <w:sz w:val="21"/>
        </w:rPr>
        <w:t>十三</w:t>
      </w:r>
      <w:r>
        <w:rPr>
          <w:b/>
          <w:sz w:val="21"/>
        </w:rPr>
        <w:t>条</w:t>
      </w:r>
      <w:r>
        <w:rPr>
          <w:sz w:val="21"/>
        </w:rPr>
        <w:t>对本协议任何条款进行修改，均应以书面形式作出并经双方当事人签章，否则无效。</w:t>
      </w:r>
    </w:p>
    <w:p>
      <w:r>
        <w:rPr>
          <w:b/>
          <w:sz w:val="21"/>
        </w:rPr>
        <w:t>第</w:t>
      </w:r>
      <w:r>
        <w:rPr>
          <w:b/>
          <w:sz w:val="21"/>
        </w:rPr>
        <w:t>十四</w:t>
      </w:r>
      <w:r>
        <w:rPr>
          <w:b/>
          <w:sz w:val="21"/>
        </w:rPr>
        <w:t>条</w:t>
      </w:r>
      <w:r>
        <w:rPr>
          <w:sz w:val="21"/>
        </w:rPr>
        <w:t>本协议一式四份，甲方执三份，乙方执一份。</w:t>
      </w:r>
    </w:p>
    <w:p/>
    <w:tbl>
      <w:tblPr>
        <w:tblW w:w="0" w:type="auto"/>
        <w:tblBorders>
          <w:top w:val="none" w:color="000000" w:sz="4"/>
          <w:left w:val="none" w:color="000000" w:sz="4"/>
          <w:bottom w:val="none" w:color="000000" w:sz="4"/>
          <w:right w:val="none" w:color="000000" w:sz="4"/>
          <w:insideH w:val="none"/>
          <w:insideV w:val="none"/>
        </w:tblBorders>
      </w:tblPr>
      <w:tblGrid>
        <w:gridCol w:w="4416"/>
        <w:gridCol w:w="3875"/>
      </w:tblGrid>
      <w:tr>
        <w:tc>
          <w:tcPr>
            <w:tcW w:type="dxa" w:w="4416"/>
            <w:tcBorders>
              <w:top w:val="none" w:color="000000" w:sz="4"/>
              <w:left w:val="none" w:color="000000" w:sz="4"/>
              <w:bottom w:val="none" w:color="000000" w:sz="4"/>
              <w:right w:val="none" w:color="000000" w:sz="4"/>
            </w:tcBorders>
            <w:vAlign w:val="top"/>
          </w:tcPr>
          <w:p>
            <w:r>
              <w:rPr>
                <w:sz w:val="21"/>
              </w:rPr>
              <w:t>甲方（盖章）：</w:t>
            </w:r>
            <w:r>
              <w:rPr>
                <w:sz w:val="21"/>
              </w:rPr>
              <w:t xml:space="preserve">       </w:t>
            </w:r>
          </w:p>
          <w:p>
            <w:r>
              <w:rPr>
                <w:sz w:val="21"/>
              </w:rPr>
              <w:t>法定代表人（或被授权代表）：</w:t>
            </w:r>
          </w:p>
          <w:p>
            <w:r>
              <w:rPr>
                <w:sz w:val="21"/>
              </w:rPr>
              <w:t>签字日期：</w:t>
            </w:r>
          </w:p>
        </w:tc>
        <w:tc>
          <w:tcPr>
            <w:tcW w:type="dxa" w:w="3875"/>
            <w:tcBorders>
              <w:top w:val="none" w:color="000000" w:sz="4"/>
              <w:left w:val="none" w:color="000000" w:sz="4"/>
              <w:bottom w:val="none" w:color="000000" w:sz="4"/>
              <w:right w:val="none" w:color="000000" w:sz="4"/>
            </w:tcBorders>
            <w:vAlign w:val="top"/>
          </w:tcPr>
          <w:p>
            <w:r>
              <w:rPr>
                <w:sz w:val="21"/>
              </w:rPr>
              <w:t>乙方（盖章）：</w:t>
            </w:r>
          </w:p>
          <w:p>
            <w:r>
              <w:rPr>
                <w:sz w:val="21"/>
              </w:rPr>
              <w:t>法定代表人（或被授权代表）：</w:t>
            </w:r>
            <w:r>
              <w:rPr>
                <w:sz w:val="19"/>
              </w:rPr>
              <w:t xml:space="preserve"> </w:t>
            </w:r>
          </w:p>
          <w:p>
            <w:r>
              <w:rPr>
                <w:sz w:val="21"/>
              </w:rPr>
              <w:t>签字日期：</w:t>
            </w: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440001-2022-58126</w:t>
      </w:r>
    </w:p>
    <w:p>
      <w:pPr>
        <w:jc w:val="center"/>
      </w:pPr>
      <w:r>
        <w:rPr>
          <w:b/>
          <w:sz w:val="24"/>
        </w:rPr>
        <w:t>采购项目编号：</w:t>
      </w:r>
      <w:r>
        <w:rPr>
          <w:b/>
          <w:sz w:val="24"/>
        </w:rPr>
        <w:t>440001-2022-58126</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广东志正招标有限公司</w:t>
      </w:r>
    </w:p>
    <w:p>
      <w:pPr>
        <w:ind w:firstLine="480"/>
      </w:pPr>
      <w:r>
        <w:rPr/>
        <w:t>你方组织的</w:t>
      </w:r>
      <w:r>
        <w:rPr>
          <w:u w:val="single"/>
        </w:rPr>
        <w:t>“</w:t>
      </w:r>
      <w:r>
        <w:rPr>
          <w:u w:val="single"/>
        </w:rPr>
        <w:t>广东技术师范大学校园网和校园卡平台升级及图书馆配套项目</w:t>
      </w:r>
      <w:r>
        <w:rPr>
          <w:u w:val="single"/>
        </w:rPr>
        <w:t>”</w:t>
      </w:r>
      <w:r>
        <w:rPr/>
        <w:t>项目的招标[采购项目编号为：</w:t>
      </w:r>
      <w:r>
        <w:rPr>
          <w:u w:val="single"/>
        </w:rPr>
        <w:t>440001-2022-58126</w:t>
      </w:r>
      <w:r>
        <w:rPr/>
        <w:t>]，我方愿参与投标。</w:t>
      </w:r>
    </w:p>
    <w:p>
      <w:pPr>
        <w:ind w:firstLine="480"/>
      </w:pPr>
      <w:r>
        <w:rPr/>
        <w:t>我方确认收到贵方提供的</w:t>
      </w:r>
      <w:r>
        <w:rPr>
          <w:u w:val="single"/>
        </w:rPr>
        <w:t>“</w:t>
      </w:r>
      <w:r>
        <w:rPr>
          <w:u w:val="single"/>
        </w:rPr>
        <w:t>广东技术师范大学校园网和校园卡平台升级及图书馆配套项目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广东志正招标有限公司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广东技术师范大学校园网和校园卡平台升级及图书馆配套项目</w:t>
      </w:r>
      <w:r>
        <w:rPr/>
        <w:t>”项目采购[采购项目编号为</w:t>
      </w:r>
      <w:r>
        <w:rPr/>
        <w:t>440001-2022-58126</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广东技术师范大学</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广东志正招标有限公司</w:t>
      </w:r>
    </w:p>
    <w:p>
      <w:pPr>
        <w:ind w:firstLine="480"/>
      </w:pPr>
      <w:r>
        <w:rPr/>
        <w:t>如果我方在贵采购代理机构组织的</w:t>
      </w:r>
      <w:r>
        <w:rPr/>
        <w:t>广东技术师范大学校园网和校园卡平台升级及图书馆配套项目</w:t>
      </w:r>
      <w:r>
        <w:rPr/>
        <w:t>招标中获中标（采购项目编号：</w:t>
      </w:r>
      <w:r>
        <w:rPr/>
        <w:t>440001-2022-58126</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广东志正招标有限公司</w:t>
      </w:r>
    </w:p>
    <w:p>
      <w:pPr>
        <w:ind w:firstLine="480"/>
      </w:pPr>
      <w:r>
        <w:rPr/>
        <w:t>我单位已登记并准备参与“</w:t>
      </w:r>
      <w:r>
        <w:rPr/>
        <w:t>广东技术师范大学校园网和校园卡平台升级及图书馆配套项目</w:t>
      </w:r>
      <w:r>
        <w:rPr/>
        <w:t>”项目（采购项目编号：</w:t>
      </w:r>
      <w:r>
        <w:rPr/>
        <w:t>440001-2022-58126</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