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440001-2022-44211</w:t>
      </w:r>
    </w:p>
    <w:p>
      <w:pPr>
        <w:jc w:val="center"/>
      </w:pPr>
      <w:r>
        <w:rPr>
          <w:b/>
          <w:sz w:val="24"/>
        </w:rPr>
        <w:t>采购项目编号：</w:t>
      </w:r>
      <w:r>
        <w:rPr>
          <w:b/>
          <w:sz w:val="24"/>
        </w:rPr>
        <w:t>440001-2022-44211</w:t>
      </w:r>
    </w:p>
    <w:p>
      <w:pPr>
        <w:jc w:val="center"/>
      </w:pPr>
      <w:r>
        <w:rPr>
          <w:b/>
          <w:sz w:val="24"/>
        </w:rPr>
        <w:t>项目名称：</w:t>
      </w:r>
      <w:r>
        <w:rPr>
          <w:b/>
          <w:sz w:val="24"/>
        </w:rPr>
        <w:t>华南师范大学采购数据治理(三期)项目</w:t>
      </w:r>
    </w:p>
    <w:p>
      <w:pPr>
        <w:jc w:val="center"/>
      </w:pPr>
      <w:r>
        <w:rPr>
          <w:b/>
          <w:sz w:val="24"/>
        </w:rPr>
        <w:t>采购人：</w:t>
      </w:r>
      <w:r>
        <w:rPr>
          <w:b/>
          <w:sz w:val="24"/>
        </w:rPr>
        <w:t>华南师范大学</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华南师范大学</w:t>
      </w:r>
      <w:r>
        <w:rPr/>
        <w:t>的委托，采用</w:t>
      </w:r>
      <w:r>
        <w:rPr/>
        <w:t>公开招标</w:t>
      </w:r>
      <w:r>
        <w:rPr/>
        <w:t>方式组织采购</w:t>
      </w:r>
      <w:r>
        <w:rPr/>
        <w:t>华南师范大学采购数据治理(三期)项目</w:t>
      </w:r>
      <w:r>
        <w:rPr/>
        <w:t>。欢迎符合资格条件的国内供应商参加投标。</w:t>
      </w:r>
    </w:p>
    <w:p>
      <w:r>
        <w:rPr>
          <w:b/>
          <w:sz w:val="28"/>
        </w:rPr>
        <w:t>一.项目概述</w:t>
      </w:r>
    </w:p>
    <w:p>
      <w:r>
        <w:rPr>
          <w:b/>
          <w:sz w:val="24"/>
        </w:rPr>
        <w:t>1.名称与编号</w:t>
      </w:r>
    </w:p>
    <w:p>
      <w:pPr>
        <w:ind w:firstLine="480"/>
      </w:pPr>
      <w:r>
        <w:rPr/>
        <w:t>项目名称：</w:t>
      </w:r>
      <w:r>
        <w:rPr/>
        <w:t>华南师范大学采购数据治理(三期)项目</w:t>
      </w:r>
    </w:p>
    <w:p>
      <w:pPr>
        <w:ind w:firstLine="480"/>
      </w:pPr>
      <w:r>
        <w:rPr/>
        <w:t>采购计划编号：</w:t>
      </w:r>
      <w:r>
        <w:rPr/>
        <w:t>440001-2022-44211</w:t>
      </w:r>
    </w:p>
    <w:p>
      <w:pPr>
        <w:ind w:firstLine="480"/>
      </w:pPr>
      <w:r>
        <w:rPr/>
        <w:t>采购项目编号：</w:t>
      </w:r>
      <w:r>
        <w:rPr/>
        <w:t>440001-2022-44211</w:t>
      </w:r>
    </w:p>
    <w:p>
      <w:pPr>
        <w:ind w:firstLine="480"/>
      </w:pPr>
      <w:r>
        <w:rPr/>
        <w:t>采购方式：</w:t>
      </w:r>
      <w:r>
        <w:rPr/>
        <w:t>公开招标</w:t>
      </w:r>
    </w:p>
    <w:p>
      <w:pPr>
        <w:ind w:firstLine="480"/>
      </w:pPr>
      <w:r>
        <w:rPr/>
        <w:t>预算金额：</w:t>
      </w:r>
      <w:r>
        <w:rPr/>
        <w:t>1,040,000.00</w:t>
      </w:r>
      <w:r>
        <w:rPr/>
        <w:t>元</w:t>
      </w:r>
    </w:p>
    <w:p>
      <w:r>
        <w:rPr>
          <w:b/>
          <w:sz w:val="24"/>
        </w:rPr>
        <w:t>2.项目内容及需求情况（采购项目技术规格、参数及要求）</w:t>
      </w:r>
    </w:p>
    <w:p>
      <w:pPr>
        <w:ind w:firstLine="480"/>
      </w:pPr>
    </w:p>
    <w:p/>
    <w:p>
      <w:r>
        <w:rPr/>
        <w:t>采购包1(数据治理(三期)服务):</w:t>
      </w:r>
    </w:p>
    <w:p>
      <w:r>
        <w:rPr/>
        <w:t>采购包预算金额：1,040,000.00元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数据治理(三期)服务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合同履行期限：按招标文件要求</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采购包1（数据治理(三期)服务）：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p>
    <w:p>
      <w:r>
        <w:rPr>
          <w:b/>
          <w:sz w:val="28"/>
        </w:rPr>
        <w:t>六.本项目联系方式：</w:t>
      </w:r>
    </w:p>
    <w:p>
      <w:r>
        <w:rPr>
          <w:b/>
          <w:sz w:val="24"/>
        </w:rPr>
        <w:t>1.采购人信息</w:t>
      </w:r>
    </w:p>
    <w:p>
      <w:pPr>
        <w:ind w:firstLine="480"/>
      </w:pPr>
      <w:r>
        <w:rPr/>
        <w:t>名称：</w:t>
      </w:r>
      <w:r>
        <w:rPr/>
        <w:t>华南师范大学</w:t>
      </w:r>
    </w:p>
    <w:p>
      <w:pPr>
        <w:ind w:firstLine="480"/>
      </w:pPr>
      <w:r>
        <w:rPr/>
        <w:t>地址：</w:t>
      </w:r>
      <w:r>
        <w:rPr/>
        <w:t>广州市天河区中山大道西55号</w:t>
      </w:r>
    </w:p>
    <w:p>
      <w:pPr>
        <w:ind w:firstLine="480"/>
      </w:pPr>
      <w:r>
        <w:rPr/>
        <w:t>联系方式：</w:t>
      </w:r>
      <w:r>
        <w:rPr/>
        <w:t>020-85210852</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020-87554618</w:t>
      </w:r>
    </w:p>
    <w:p>
      <w:r>
        <w:rPr>
          <w:b/>
          <w:sz w:val="24"/>
        </w:rPr>
        <w:t>3.项目联系方式</w:t>
      </w:r>
    </w:p>
    <w:p>
      <w:pPr>
        <w:ind w:firstLine="480"/>
      </w:pPr>
      <w:r>
        <w:rPr/>
        <w:t>项目联系人：</w:t>
      </w:r>
      <w:r>
        <w:rPr/>
        <w:t>李心永/吴挺娟</w:t>
      </w:r>
    </w:p>
    <w:p>
      <w:pPr>
        <w:ind w:firstLine="480"/>
      </w:pPr>
      <w:r>
        <w:rPr/>
        <w:t>电话：</w:t>
      </w:r>
      <w:r>
        <w:rPr/>
        <w:t>020-87554618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说明：</w:t>
      </w:r>
    </w:p>
    <w:p>
      <w:pPr>
        <w:jc w:val="both"/>
      </w:pPr>
      <w:r>
        <w:rPr>
          <w:b/>
          <w:sz w:val="21"/>
        </w:rPr>
        <w:t>1、投标人须对本项目为单位的标的物进行整体投标，任何只对其中一部分内容进行的投标都被视为无效投标。</w:t>
      </w:r>
    </w:p>
    <w:p>
      <w:pPr>
        <w:jc w:val="both"/>
      </w:pPr>
      <w:r>
        <w:rPr>
          <w:b/>
          <w:sz w:val="21"/>
        </w:rPr>
        <w:t>2、本招标文件中，凡标有“★”的地方，投标人要特别加以注意，必须对此作出一一响应。若有一项带“★”的指标未响应或不满足，将导致其废标或投标无效。</w:t>
      </w:r>
    </w:p>
    <w:p>
      <w:pPr>
        <w:jc w:val="both"/>
      </w:pPr>
      <w:r>
        <w:rPr>
          <w:b/>
          <w:sz w:val="21"/>
        </w:rPr>
        <w:t>3、本项目所属行业： 其他未列明行业</w:t>
      </w:r>
      <w:r>
        <w:br/>
      </w:r>
    </w:p>
    <w:p>
      <w:pPr>
        <w:jc w:val="both"/>
      </w:pPr>
      <w:r>
        <w:rPr>
          <w:b/>
          <w:sz w:val="21"/>
        </w:rPr>
        <w:t>（一）</w:t>
      </w:r>
      <w:r>
        <w:rPr>
          <w:b/>
          <w:sz w:val="21"/>
        </w:rPr>
        <w:t>建设现状</w:t>
      </w:r>
    </w:p>
    <w:p>
      <w:pPr>
        <w:ind w:firstLine="480"/>
        <w:jc w:val="both"/>
      </w:pPr>
      <w:r>
        <w:rPr>
          <w:sz w:val="21"/>
        </w:rPr>
        <w:t>目前华南师范大学数据治理一期和二期建设已经完成，数据治理工作取得了一定成果。</w:t>
      </w:r>
    </w:p>
    <w:p>
      <w:pPr>
        <w:ind w:firstLine="480"/>
        <w:jc w:val="both"/>
      </w:pPr>
      <w:r>
        <w:rPr>
          <w:sz w:val="21"/>
        </w:rPr>
        <w:t>在一期项目中搭建了数据治理的基本框架，明确了数据标准，实现各业务系统之间的数据有效共享，监测数据运行体系，并基于标准和数据链路实现数据质量监控。在此基础上建设校情分析系统，对学校概况、教学资源、学生发展等进行多维度展示及分析，辅助学校进行管理和决策。</w:t>
      </w:r>
    </w:p>
    <w:p>
      <w:pPr>
        <w:ind w:firstLine="480"/>
        <w:jc w:val="both"/>
      </w:pPr>
      <w:r>
        <w:rPr>
          <w:sz w:val="21"/>
        </w:rPr>
        <w:t>其后，在二期的数据治理项目中，对学校的数据治理框架内容进行细化完善，补充了数据交换平台和和数据资产公示平台，优化了数据交换管理的体验和对数据资产信息在校内的规范化管理，促进了学校数据资产管理制度和数据运营在校内的推广。并以这样更完善的数据治理框架，在一期的基础上进一步扩展了数据源头的集成与清洗。以更加完善的校园数据仓库落地了教师一张表和酷屏分析，提供了教师个人数据服务和校情综合</w:t>
      </w:r>
      <w:r>
        <w:rPr>
          <w:sz w:val="21"/>
        </w:rPr>
        <w:t>3D分析服务，从更多的用户维度和技术维度推动我校的数据资产应用。</w:t>
      </w:r>
    </w:p>
    <w:p>
      <w:pPr>
        <w:jc w:val="both"/>
      </w:pPr>
      <w:r>
        <w:rPr>
          <w:b/>
          <w:sz w:val="21"/>
        </w:rPr>
        <w:t>（二）建设问题</w:t>
      </w:r>
    </w:p>
    <w:p>
      <w:pPr>
        <w:ind w:firstLine="480"/>
        <w:jc w:val="both"/>
      </w:pPr>
      <w:r>
        <w:rPr>
          <w:sz w:val="21"/>
        </w:rPr>
        <w:t>我校的数据治理工作经过两期建设，目前学校的数据仓库已经基本完善，实现了数据资产的统一汇聚。但在数据应用服务的建设上，仍有不足，没有充分发挥数据资产应用的价值和作用，更多的数据分析和数据服务应用价值亟待开采。具体表现为：</w:t>
      </w:r>
    </w:p>
    <w:p>
      <w:pPr>
        <w:ind w:firstLine="480"/>
        <w:jc w:val="both"/>
      </w:pPr>
      <w:r>
        <w:rPr>
          <w:sz w:val="21"/>
        </w:rPr>
        <w:t>（</w:t>
      </w:r>
      <w:r>
        <w:rPr>
          <w:sz w:val="21"/>
        </w:rPr>
        <w:t>1）数据分析缺乏移动端服务</w:t>
      </w:r>
    </w:p>
    <w:p>
      <w:pPr>
        <w:ind w:firstLine="480"/>
        <w:jc w:val="both"/>
      </w:pPr>
      <w:r>
        <w:rPr>
          <w:sz w:val="21"/>
        </w:rPr>
        <w:t>目前我校的数据分析服务基本上都是通过</w:t>
      </w:r>
      <w:r>
        <w:rPr>
          <w:sz w:val="21"/>
        </w:rPr>
        <w:t>PC端和大屏作为呈现终端。在全终端服务的智慧校园建设环境下，缺乏移动端的数据分析呈现，对于数据服务的及时性、便捷性和推广工作都有很大的损耗和阻碍。尤其是数据分析逐渐面向更多用户群里实现价值赋能的时候，为校领导、部门业务人员和全校师生提供移动端的数据分析服务已经迫在眉睫。</w:t>
      </w:r>
    </w:p>
    <w:p>
      <w:pPr>
        <w:ind w:firstLine="480"/>
        <w:jc w:val="both"/>
      </w:pPr>
      <w:r>
        <w:rPr>
          <w:sz w:val="21"/>
        </w:rPr>
        <w:t>（</w:t>
      </w:r>
      <w:r>
        <w:rPr>
          <w:sz w:val="21"/>
        </w:rPr>
        <w:t>2）数据分析服务的粒度不够精细化</w:t>
      </w:r>
    </w:p>
    <w:p>
      <w:pPr>
        <w:ind w:firstLine="480"/>
        <w:jc w:val="both"/>
      </w:pPr>
      <w:r>
        <w:rPr>
          <w:sz w:val="21"/>
        </w:rPr>
        <w:t>在前期的数据治理项目中，重心侧重于搭建学校的数据中心，实现数据资产的统一管理和质量监测，注重数据运维管理工作的优化。这部分工作为学校的数据管理体系打下了坚实的底盘。但在数据分析应用方面，缺乏细致的服务场景设计和对各部门以及角色的数据分析诉求调研梳理。所以前期的数据分析更多是学校整体数据的分析呈现，而对于不同职能部门的业务分析辅助，以及对主题数据的细化挖掘，做得还不够。要实现数据对学校管理工作和综合发展的切实加持和智能化辅助，精细化的数据分析服务势在必行。</w:t>
      </w:r>
    </w:p>
    <w:p>
      <w:pPr>
        <w:jc w:val="both"/>
      </w:pPr>
      <w:r>
        <w:rPr>
          <w:b/>
          <w:sz w:val="21"/>
        </w:rPr>
        <w:t>（三）总体目标</w:t>
      </w:r>
    </w:p>
    <w:p>
      <w:pPr>
        <w:ind w:firstLine="480"/>
        <w:jc w:val="both"/>
      </w:pPr>
      <w:r>
        <w:rPr>
          <w:sz w:val="21"/>
        </w:rPr>
        <w:t>基于我校数据治理一二期建设成果与客观存在的问题，围绕全面智慧校园建设，系统地分析学校现状与实际需求后，学校数据治理三期项目总体建设目标为：</w:t>
      </w:r>
    </w:p>
    <w:p>
      <w:pPr>
        <w:ind w:firstLine="482"/>
        <w:jc w:val="both"/>
      </w:pPr>
      <w:r>
        <w:rPr>
          <w:b/>
          <w:sz w:val="21"/>
        </w:rPr>
        <w:t>1、扩展数据分析服务多终端覆盖，建设移动数据分析应用</w:t>
      </w:r>
    </w:p>
    <w:p>
      <w:pPr>
        <w:ind w:firstLine="480"/>
        <w:jc w:val="both"/>
      </w:pPr>
      <w:r>
        <w:rPr>
          <w:sz w:val="21"/>
        </w:rPr>
        <w:t>随着移动互联与大数据技术的快速发展，多终端覆盖的数据分析服务已经成为国内诸多高校的智慧校园建设重点之一。本期项目将基于学校前期数据治理的成果，通过细化梳理面向领导、面向业务部门和面向教学主题三个大方向的移动数据分析场景，搭建我校的移动数据分析服务。通过移动化服务支持，更好地提升数据服务的及时性和便捷性，从而达到提高学校管理水平和提升办公效率的目的。</w:t>
      </w:r>
    </w:p>
    <w:p>
      <w:pPr>
        <w:ind w:firstLine="482"/>
        <w:jc w:val="both"/>
      </w:pPr>
      <w:r>
        <w:rPr>
          <w:b/>
          <w:sz w:val="21"/>
        </w:rPr>
        <w:t>2、聚焦人事主题域，精细化打造业务分析应用</w:t>
      </w:r>
    </w:p>
    <w:p>
      <w:pPr>
        <w:ind w:firstLine="480"/>
        <w:jc w:val="both"/>
      </w:pPr>
      <w:r>
        <w:rPr>
          <w:sz w:val="21"/>
        </w:rPr>
        <w:t>前期的数据分析应用更多是从学校整体管理的角度搭建了综合校情分析服务。但要实现学校具体业务的赋能和优化，就需要在学校综合校情分析之下，层层分析，关联业务。按照科学合理的分析指标梳理规范，面向人事相关部门领导和科室工作人员，结合到人事部门实际的工作场景和业务方向，落实具体的人事主题数据分析。让部门管理人员和工作人员，能及时在日常工作运行中及时得到业务运行数据反馈，进而在工作中做出调整，提高管理工作效率和部门服务能力。</w:t>
      </w:r>
    </w:p>
    <w:p>
      <w:pPr>
        <w:jc w:val="both"/>
      </w:pPr>
      <w:r>
        <w:rPr>
          <w:b/>
          <w:sz w:val="21"/>
        </w:rPr>
        <w:t>二、建设内容</w:t>
      </w:r>
    </w:p>
    <w:tbl>
      <w:tblPr>
        <w:tblW w:w="0" w:type="auto"/>
        <w:tblInd w:type="dxa" w:w="165"/>
        <w:tblBorders>
          <w:top w:val="none" w:color="000000" w:sz="4"/>
          <w:left w:val="none" w:color="000000" w:sz="4"/>
          <w:bottom w:val="none" w:color="000000" w:sz="4"/>
          <w:right w:val="none" w:color="000000" w:sz="4"/>
          <w:insideH w:val="none"/>
          <w:insideV w:val="none"/>
        </w:tblBorders>
      </w:tblPr>
      <w:tblGrid>
        <w:gridCol w:w="583"/>
        <w:gridCol w:w="1240"/>
        <w:gridCol w:w="5051"/>
        <w:gridCol w:w="675"/>
        <w:gridCol w:w="616"/>
      </w:tblGrid>
      <w:tr>
        <w:tc>
          <w:tcPr>
            <w:tcW w:type="dxa" w:w="583"/>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240"/>
            <w:tcBorders>
              <w:top w:val="single" w:color="000000" w:sz="4"/>
              <w:left w:val="none" w:color="000000" w:sz="4"/>
              <w:bottom w:val="single" w:color="000000" w:sz="4"/>
              <w:right w:val="single" w:color="000000" w:sz="4"/>
            </w:tcBorders>
            <w:vAlign w:val="top"/>
          </w:tcPr>
          <w:p>
            <w:pPr>
              <w:jc w:val="center"/>
            </w:pPr>
            <w:r>
              <w:rPr>
                <w:b/>
                <w:color w:val="000000"/>
                <w:sz w:val="21"/>
              </w:rPr>
              <w:t>系统名称</w:t>
            </w:r>
          </w:p>
        </w:tc>
        <w:tc>
          <w:tcPr>
            <w:tcW w:type="dxa" w:w="5051"/>
            <w:tcBorders>
              <w:top w:val="single" w:color="000000" w:sz="4"/>
              <w:left w:val="none" w:color="000000" w:sz="4"/>
              <w:bottom w:val="single" w:color="000000" w:sz="4"/>
              <w:right w:val="single" w:color="000000" w:sz="4"/>
            </w:tcBorders>
            <w:vAlign w:val="top"/>
          </w:tcPr>
          <w:p>
            <w:pPr>
              <w:jc w:val="center"/>
            </w:pPr>
            <w:r>
              <w:rPr>
                <w:b/>
                <w:color w:val="000000"/>
                <w:sz w:val="21"/>
              </w:rPr>
              <w:t>系统概述</w:t>
            </w:r>
          </w:p>
        </w:tc>
        <w:tc>
          <w:tcPr>
            <w:tcW w:type="dxa" w:w="675"/>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616"/>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r>
      <w:tr>
        <w:tc>
          <w:tcPr>
            <w:tcW w:type="dxa" w:w="58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A</w:t>
            </w:r>
            <w:r>
              <w:rPr>
                <w:color w:val="000000"/>
                <w:sz w:val="21"/>
              </w:rPr>
              <w:t>PI</w:t>
            </w:r>
            <w:r>
              <w:rPr>
                <w:color w:val="000000"/>
                <w:sz w:val="21"/>
              </w:rPr>
              <w:t>平台</w:t>
            </w:r>
          </w:p>
        </w:tc>
        <w:tc>
          <w:tcPr>
            <w:tcW w:type="dxa" w:w="5051"/>
            <w:tcBorders>
              <w:top w:val="none" w:color="000000" w:sz="4"/>
              <w:left w:val="none" w:color="000000" w:sz="4"/>
              <w:bottom w:val="single" w:color="000000" w:sz="4"/>
              <w:right w:val="single" w:color="000000" w:sz="4"/>
            </w:tcBorders>
            <w:vAlign w:val="top"/>
          </w:tcPr>
          <w:p>
            <w:pPr>
              <w:jc w:val="left"/>
            </w:pPr>
            <w:r>
              <w:rPr>
                <w:color w:val="000000"/>
                <w:sz w:val="21"/>
              </w:rPr>
              <w:t>API平台以接口全生命周期管理为核心，接入多种数据源及数据类型，通过配置自动生成标准RESTful接口，通过标准化的接口设计、开发、编排、测试、发布、运行、运维、下架管理，帮助高校打造一站式、自动化、高性能、高稳定性的接口管理、开发、测试、发布、运维的混合集成平台。</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16"/>
            <w:tcBorders>
              <w:top w:val="none" w:color="000000" w:sz="4"/>
              <w:left w:val="none" w:color="000000" w:sz="4"/>
              <w:bottom w:val="single" w:color="000000" w:sz="4"/>
              <w:right w:val="single" w:color="000000" w:sz="4"/>
            </w:tcBorders>
            <w:vAlign w:val="top"/>
          </w:tcPr>
          <w:p>
            <w:pPr>
              <w:jc w:val="center"/>
            </w:pPr>
            <w:r>
              <w:rPr>
                <w:color w:val="000000"/>
                <w:sz w:val="21"/>
              </w:rPr>
              <w:t>套</w:t>
            </w:r>
          </w:p>
        </w:tc>
      </w:tr>
      <w:tr>
        <w:tc>
          <w:tcPr>
            <w:tcW w:type="dxa" w:w="58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移动数据分析服务</w:t>
            </w:r>
          </w:p>
        </w:tc>
        <w:tc>
          <w:tcPr>
            <w:tcW w:type="dxa" w:w="5051"/>
            <w:tcBorders>
              <w:top w:val="none" w:color="000000" w:sz="4"/>
              <w:left w:val="none" w:color="000000" w:sz="4"/>
              <w:bottom w:val="single" w:color="000000" w:sz="4"/>
              <w:right w:val="single" w:color="000000" w:sz="4"/>
            </w:tcBorders>
            <w:vAlign w:val="top"/>
          </w:tcPr>
          <w:p>
            <w:pPr>
              <w:jc w:val="both"/>
            </w:pPr>
            <w:r>
              <w:rPr>
                <w:color w:val="000000"/>
                <w:sz w:val="21"/>
              </w:rPr>
              <w:t>以移动端为呈现依托，细化梳理面向领导、面向业务部门和面向教学主题三个大方向的移动数据分析场景，搭建我校的移动数据分析服务。</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16"/>
            <w:tcBorders>
              <w:top w:val="none" w:color="000000" w:sz="4"/>
              <w:left w:val="none" w:color="000000" w:sz="4"/>
              <w:bottom w:val="single" w:color="000000" w:sz="4"/>
              <w:right w:val="single" w:color="000000" w:sz="4"/>
            </w:tcBorders>
            <w:vAlign w:val="top"/>
          </w:tcPr>
          <w:p>
            <w:pPr>
              <w:jc w:val="center"/>
            </w:pPr>
            <w:r>
              <w:rPr>
                <w:color w:val="000000"/>
                <w:sz w:val="21"/>
              </w:rPr>
              <w:t>项</w:t>
            </w:r>
          </w:p>
        </w:tc>
      </w:tr>
      <w:tr>
        <w:tc>
          <w:tcPr>
            <w:tcW w:type="dxa" w:w="58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人事主题业务分析服务</w:t>
            </w:r>
          </w:p>
        </w:tc>
        <w:tc>
          <w:tcPr>
            <w:tcW w:type="dxa" w:w="5051"/>
            <w:tcBorders>
              <w:top w:val="none" w:color="000000" w:sz="4"/>
              <w:left w:val="none" w:color="000000" w:sz="4"/>
              <w:bottom w:val="single" w:color="000000" w:sz="4"/>
              <w:right w:val="single" w:color="000000" w:sz="4"/>
            </w:tcBorders>
            <w:vAlign w:val="top"/>
          </w:tcPr>
          <w:p>
            <w:pPr>
              <w:jc w:val="both"/>
            </w:pPr>
            <w:r>
              <w:rPr>
                <w:color w:val="000000"/>
                <w:sz w:val="21"/>
              </w:rPr>
              <w:t>聚焦人事主题业务数据，通过不同层级和维度的整合对比分析，可将整个学校的人事业务发展情况和教师在校个人成长情况可视化，更好地为管理部门决策提供依据。</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16"/>
            <w:tcBorders>
              <w:top w:val="none" w:color="000000" w:sz="4"/>
              <w:left w:val="none" w:color="000000" w:sz="4"/>
              <w:bottom w:val="single" w:color="000000" w:sz="4"/>
              <w:right w:val="single" w:color="000000" w:sz="4"/>
            </w:tcBorders>
            <w:vAlign w:val="top"/>
          </w:tcPr>
          <w:p>
            <w:pPr>
              <w:jc w:val="center"/>
            </w:pPr>
            <w:r>
              <w:rPr>
                <w:color w:val="000000"/>
                <w:sz w:val="21"/>
              </w:rPr>
              <w:t>项</w:t>
            </w:r>
          </w:p>
        </w:tc>
      </w:tr>
      <w:tr>
        <w:tc>
          <w:tcPr>
            <w:tcW w:type="dxa" w:w="58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240"/>
            <w:tcBorders>
              <w:top w:val="none" w:color="000000" w:sz="4"/>
              <w:left w:val="none" w:color="000000" w:sz="4"/>
              <w:bottom w:val="single" w:color="000000" w:sz="4"/>
              <w:right w:val="single" w:color="000000" w:sz="4"/>
            </w:tcBorders>
            <w:vAlign w:val="top"/>
          </w:tcPr>
          <w:p>
            <w:pPr>
              <w:jc w:val="center"/>
            </w:pPr>
            <w:r>
              <w:rPr>
                <w:color w:val="000000"/>
                <w:sz w:val="21"/>
              </w:rPr>
              <w:t>数据分析指标梳理服务</w:t>
            </w:r>
          </w:p>
        </w:tc>
        <w:tc>
          <w:tcPr>
            <w:tcW w:type="dxa" w:w="5051"/>
            <w:tcBorders>
              <w:top w:val="none" w:color="000000" w:sz="4"/>
              <w:left w:val="none" w:color="000000" w:sz="4"/>
              <w:bottom w:val="single" w:color="000000" w:sz="4"/>
              <w:right w:val="single" w:color="000000" w:sz="4"/>
            </w:tcBorders>
            <w:vAlign w:val="top"/>
          </w:tcPr>
          <w:p>
            <w:pPr>
              <w:jc w:val="both"/>
            </w:pPr>
            <w:r>
              <w:rPr>
                <w:color w:val="000000"/>
                <w:sz w:val="21"/>
              </w:rPr>
              <w:t>要求以科学的指标梳理规范，明确分析指标与职能业务和业务数据的关联性，明确指标与职能部门业务之间的归属关系，并且从宏观上对数据来源和原子指标进行体系化的梳理。</w:t>
            </w:r>
          </w:p>
        </w:tc>
        <w:tc>
          <w:tcPr>
            <w:tcW w:type="dxa" w:w="675"/>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616"/>
            <w:tcBorders>
              <w:top w:val="none" w:color="000000" w:sz="4"/>
              <w:left w:val="none" w:color="000000" w:sz="4"/>
              <w:bottom w:val="single" w:color="000000" w:sz="4"/>
              <w:right w:val="single" w:color="000000" w:sz="4"/>
            </w:tcBorders>
            <w:vAlign w:val="top"/>
          </w:tcPr>
          <w:p>
            <w:pPr>
              <w:jc w:val="center"/>
            </w:pPr>
            <w:r>
              <w:rPr>
                <w:color w:val="000000"/>
                <w:sz w:val="21"/>
              </w:rPr>
              <w:t>项</w:t>
            </w:r>
          </w:p>
        </w:tc>
      </w:tr>
    </w:tbl>
    <w:p/>
    <w:p>
      <w:pPr>
        <w:ind w:firstLine="480"/>
      </w:pPr>
    </w:p>
    <w:p/>
    <w:p>
      <w:r>
        <w:rPr/>
        <w:t>合同包1（数据治理(三期)服务）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必须在合同签订后十二个月内完成开发、实施、测试等；然后试运行一个月结束后如达到验收标准，则在15个工作日内组织验收。中标人应针对本项目的完成时间提交项目开发计划，项目计划经采购人确认后严格按计划执行，如需变更必须提出书面的项目变更手续。</w:t>
            </w:r>
          </w:p>
        </w:tc>
      </w:tr>
      <w:tr>
        <w:tc>
          <w:tcPr>
            <w:tcW w:type="dxa" w:w="4153"/>
          </w:tcPr>
          <w:p>
            <w:r>
              <w:rPr/>
              <w:t>标的提供的地点</w:t>
            </w:r>
          </w:p>
        </w:tc>
        <w:tc>
          <w:tcPr>
            <w:tcW w:type="dxa" w:w="4153"/>
          </w:tcPr>
          <w:p/>
          <w:p>
            <w:r>
              <w:rPr/>
              <w:t>按采购人指定地点（石牌校区网络中心）</w:t>
            </w:r>
          </w:p>
        </w:tc>
      </w:tr>
      <w:tr>
        <w:tc>
          <w:tcPr>
            <w:tcW w:type="dxa" w:w="4153"/>
          </w:tcPr>
          <w:p>
            <w:r>
              <w:rPr/>
              <w:t>付款方式</w:t>
            </w:r>
          </w:p>
        </w:tc>
        <w:tc>
          <w:tcPr>
            <w:tcW w:type="dxa" w:w="4153"/>
          </w:tcPr>
          <w:p/>
          <w:p/>
          <w:p>
            <w:r>
              <w:rPr/>
              <w:t>1期：支付比例20%,1.合同签订生效后，中标人在5个工作日内，向采购人提交合同金额的5%作为履约保证金。采购人收到履约保证金后按广东省财政厅规定的支付手续在15个工作日内办理向中标人支付合同总金额20%款项作为项目预付款。</w:t>
            </w:r>
          </w:p>
          <w:p/>
          <w:p>
            <w:r>
              <w:rPr/>
              <w:t>2期：支付比例30%,1.项目完成API平台建设后，中标人向采购人对上述内容申请阶段性验收，若该部分内容已按合同要求完成，凭使用部门在验收材料签字盖章确认后，采购人按广东省财政厅规定的支付手续在15个工作日内办理支付合同总金额30%款项给中标人。</w:t>
            </w:r>
          </w:p>
          <w:p/>
          <w:p>
            <w:r>
              <w:rPr/>
              <w:t>3期：支付比例50%,1.项目通过最终验收，采购人按广东省财政厅规定的支付手续在15个工作日内办理支付合同总金额50%款项给中标人。无违反合同约定的，项目履约保证金（即合同总额的5％）在质保期满壹年后15个工作日内，采购人按财务制度规定向中标人一次性无息付清。 注：中标人在采购人办理以上各期付款手续前，须向采购人出具等额的符合国家规定的发票。如执行国库支付的，采购人在验收合格后十五个工作日内办理财政集中支付申请手续，付款按照财政部国库集中支付的有关规定办理。付款时间为采购方向政府采购支付部门提出支付申请的时间（不含政府财政支付部门审查的时间）。付款方式：银行汇款。</w:t>
            </w:r>
          </w:p>
        </w:tc>
      </w:tr>
      <w:tr>
        <w:tc>
          <w:tcPr>
            <w:tcW w:type="dxa" w:w="4153"/>
          </w:tcPr>
          <w:p>
            <w:r>
              <w:rPr/>
              <w:t>验收要求</w:t>
            </w:r>
          </w:p>
        </w:tc>
        <w:tc>
          <w:tcPr>
            <w:tcW w:type="dxa" w:w="4153"/>
          </w:tcPr>
          <w:p/>
          <w:p/>
          <w:p/>
          <w:p>
            <w:r>
              <w:rPr/>
              <w:t>1期：中标人应负责在项目用户验收前将系统的全部各种相关的系统软件，各阶段开发文档，运行稳定可靠的本系统及其安装程序，以及有关产品和系统说明书、安装手册、技术文件、资料、及安装、测试、验收报告等文档汇集成册交付项目单位。 采购人、中标人双方按验收要求对项目文档、培训情况及试运行出现问题进行验收。在所有验收项全部达到相应要求后，由中标人出具《验收报告》，双方签署《验收报告》。</w:t>
            </w:r>
          </w:p>
        </w:tc>
      </w:tr>
      <w:tr>
        <w:tc>
          <w:tcPr>
            <w:tcW w:type="dxa" w:w="4153"/>
          </w:tcPr>
          <w:p>
            <w:r>
              <w:rPr/>
              <w:t>履约保证金</w:t>
            </w:r>
          </w:p>
        </w:tc>
        <w:tc>
          <w:tcPr>
            <w:tcW w:type="dxa" w:w="4153"/>
          </w:tcPr>
          <w:p/>
          <w:p/>
          <w:p/>
          <w:p/>
          <w:p>
            <w:r>
              <w:rPr/>
              <w:t>收取比例：5%,说明：合同签订生效后，中标人在5个工作日内向采购人提交合同金额的5%作为履约保证金。无违反合同约定的，项目履约保证金（即合同总额的5％）在质保期满壹年后15个工作日内，采购人按财务制度规定向中标人一次性无息付清。</w:t>
            </w:r>
          </w:p>
        </w:tc>
      </w:tr>
      <w:tr>
        <w:tc>
          <w:tcPr>
            <w:tcW w:type="dxa" w:w="4153"/>
          </w:tcPr>
          <w:p>
            <w:r>
              <w:rPr/>
              <w:t>其他</w:t>
            </w:r>
          </w:p>
        </w:tc>
        <w:tc>
          <w:tcPr>
            <w:tcW w:type="dxa" w:w="4153"/>
          </w:tcPr>
          <w:p/>
          <w:p/>
          <w:p>
            <w:r>
              <w:rPr/>
              <w:t>1.系统布署与安装，（1）提供本项目采购的所有平台软件系统的布署与安装、调试和已有的应用系统集成及技术服务的全部内容，软件系统的布署安装的主要目标不仅是使所有软件能够在相应平台上正常运行，而且必须具有对软件系统运行的监控测试手段，以证明系统优化运行。 （2）系统及设备安装方面要求： 要求投标人必须具有良好信誉和相关实力的技术队伍。 投标人应本着认真负责态度，组织技术队伍，做好投标的整体方案，并书面提出长期保修、维护、服务以及今后技术支持的措施计划和承诺。 相关软件系统的布署与安装根据实施计划执行。 所有软件系统均须由投标人送货上门并安装调试，采购人不再支付任何费用。 自系统安装工作一开始，投标人应允许采购单位的工作人员一起参与系统的安装、测试、诊断及解决遇到的问题等各项工作。</w:t>
            </w:r>
          </w:p>
          <w:p/>
          <w:p>
            <w:r>
              <w:rPr/>
              <w:t>2.售后和培训要求，（1）售后服务 1）投标人应承诺保证该项目按时正式稳定地运行； 2）售后服务从系统验收通过之日起计算； 3）投标人在项目终验后，必须提供一年的维护期，在维护期内，提供应用系统版本升级及对软件进行维护和完善，由此产生的一切费用由中标人承担； 4）所有保修服务方式均为投标人上门保修，即由投标人派员到采购人使用现场维护。由此产生的一切费用均由投标人承担； 5）全天候24小时服务响应，维护工程师应在接到报障后2个小时内到现场处理应用系统出现的故障；一年内每三个月一次系统安全检测； 6）投标人应提供定期的咨询服务（维护期内至少每三个月一次，维护期后至少每半年一次），若采购人行政组织调整或业务流程变更，则投标人应提供及时的变更服务。 （2）项目培训 投标人必须提供相应的应用软件技术、系统操作等方面的培训。有关应用软件的操作培训课程，培训应该在系统运作前完成。投标人须在投标文件中提出全面、详细的培训课程以及时间表交给采购人，并在合同签定后征得采购人和监理同意后实施。 投标人在实施过程中提供全面的培训，包括面向系统管理员和业务人员的相应的培训、基于系统平台接口规范标准的二次开发培训、开发平台和开发工具培训、配置管理和系统维护培训、数据定义和管理培训、客户端操作培训。投标人将详细的培训课程以及时间表交给采购人，最后以采购人认可为准。由此产生的一切费用均由投标人承担。 对于所有培训，投标人必须派出具有相应专业资格和实际工作、教育经验的教师和相应的辅导人员进行培训，主要培训教员应至少具有三年的相关培训经验，培训所使用的语言必须是中文，否则投标人必须提供相应的翻译。 培训项目结束之时，安排学员进行培训测试，以检验学员对系统的基本操作能力和掌握水平；同时学员也可对于整个培训项目作出评价，当学员普遍反映对培训课程不满意时，采购人可要求投标人重新安排培训，并承担全费用。 投标人必须为所有被培训人员提供文字资料和讲义等培训教材，培训教材必须以印刷品形式提供，费用由投标人支付。所有的资料必须是中文或英文书写。 投标人须提供详细的培训计划：对采购人的人员培训方式分两类，一类为业务人员培训，培训采用集中授课、现场演示和辅助操作三种培训方式；另一类为技术人员培训，培训采用   理论培训和实际操作相结合的方式。 培训方式：集中授课、现场演示和辅助操作。 培训主要面向的对象如下： （1）开发管理培训：即是系统开发的各个阶段的培训，这些阶段包括：项目准备、用户需求分析、系统概要设计、系统详细设计、程序编制和运行建立。 开发管理培训涉及的学校的相关人员主要是技术人员，分阶段的被培训的人员包括：项目管理人员、需求分析人员、系统分析设计人员和系统开发人员。 （2）运行管理培训：为了使学校的相关人员掌握有关应用系统的使用、维护和管理方法，达到能独立进行管理、故障处理、日常测试和维护等工作的目的，应进行系统的技术培训，以保证所建设的系统能够正常、安全、平稳地运行。 （3）使用培训：对学校的相关人员的用户进行应用系统使用培训，掌握平台的使用。</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数据治理(三期)服务</w:t>
            </w:r>
          </w:p>
        </w:tc>
        <w:tc>
          <w:tcPr>
            <w:tcW w:type="dxa" w:w="933"/>
          </w:tcPr>
          <w:p>
            <w:pPr>
              <w:jc w:val="left"/>
            </w:pPr>
            <w:r>
              <w:rPr/>
              <w:t>项</w:t>
            </w:r>
          </w:p>
        </w:tc>
        <w:tc>
          <w:tcPr>
            <w:tcW w:type="dxa" w:w="933"/>
          </w:tcPr>
          <w:p>
            <w:pPr>
              <w:jc w:val="right"/>
            </w:pPr>
            <w:r>
              <w:rPr/>
              <w:t>1.00</w:t>
            </w:r>
          </w:p>
        </w:tc>
        <w:tc>
          <w:tcPr>
            <w:tcW w:type="dxa" w:w="933"/>
          </w:tcPr>
          <w:p>
            <w:pPr>
              <w:jc w:val="right"/>
            </w:pPr>
            <w:r>
              <w:rPr/>
              <w:t>1,040,000.00</w:t>
            </w:r>
          </w:p>
        </w:tc>
        <w:tc>
          <w:tcPr>
            <w:tcW w:type="dxa" w:w="933"/>
          </w:tcPr>
          <w:p>
            <w:pPr>
              <w:jc w:val="right"/>
            </w:pPr>
            <w:r>
              <w:rPr/>
              <w:t>1,040,000.00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数据治理(三期)服务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一、项目需求</w:t>
            </w:r>
          </w:p>
          <w:p>
            <w:pPr>
              <w:jc w:val="left"/>
            </w:pPr>
            <w:r>
              <w:rPr>
                <w:b/>
                <w:sz w:val="21"/>
              </w:rPr>
              <w:t>（一）总体要求</w:t>
            </w:r>
          </w:p>
          <w:p>
            <w:pPr>
              <w:ind w:firstLine="480"/>
              <w:jc w:val="both"/>
            </w:pPr>
            <w:r>
              <w:rPr>
                <w:sz w:val="21"/>
              </w:rPr>
              <w:t>1.</w:t>
            </w:r>
            <w:r>
              <w:rPr>
                <w:sz w:val="21"/>
              </w:rPr>
              <w:t>符合国家有关规定。系统建设须符合我国相关部门制订的标准，对安全策略、密码与安全设备使用、网络互联、安全管理等须符合我国信息安全法律法规。</w:t>
            </w:r>
          </w:p>
          <w:p>
            <w:pPr>
              <w:ind w:firstLine="480"/>
              <w:jc w:val="both"/>
            </w:pPr>
            <w:r>
              <w:rPr>
                <w:sz w:val="21"/>
              </w:rPr>
              <w:t>2.</w:t>
            </w:r>
            <w:r>
              <w:rPr>
                <w:sz w:val="21"/>
              </w:rPr>
              <w:t>▲本期项目建设平台必须与一期、二期平台的SpringCloud微服务开发架构保持一致，保障本期项目平台建设的可用性与稳定性。投标人需提供微服务管理相关软件著作权证书复印件，附中国版权保护中心网站查询截图证明。</w:t>
            </w:r>
          </w:p>
          <w:p>
            <w:pPr>
              <w:ind w:firstLine="480"/>
              <w:jc w:val="both"/>
            </w:pPr>
            <w:r>
              <w:rPr>
                <w:sz w:val="21"/>
              </w:rPr>
              <w:t>3.</w:t>
            </w:r>
            <w:r>
              <w:rPr>
                <w:sz w:val="21"/>
              </w:rPr>
              <w:t>项目平台部署应支持微服务部署、运维，包括微服务部署，微服务自动伸缩配置、服务升级与回滚、容器扩容与缩容等；支持微服务项目定制化配置，可直接编写</w:t>
            </w:r>
            <w:r>
              <w:rPr>
                <w:sz w:val="21"/>
              </w:rPr>
              <w:t>Dockerfile、配置文件和JAVA专属配置等。</w:t>
            </w:r>
          </w:p>
          <w:p>
            <w:pPr>
              <w:ind w:firstLine="480"/>
              <w:jc w:val="both"/>
            </w:pPr>
            <w:r>
              <w:rPr>
                <w:sz w:val="21"/>
              </w:rPr>
              <w:t>4.</w:t>
            </w:r>
            <w:r>
              <w:rPr>
                <w:sz w:val="21"/>
              </w:rPr>
              <w:t>系统设计规范必须符合以下原则：实用性和可行性、前瞻性和成熟性、开放性与标准化原则、可靠性和稳定性、可扩充性及易升级性、安全性和保密性、可管理性和可维护性。</w:t>
            </w:r>
          </w:p>
          <w:p>
            <w:pPr>
              <w:ind w:firstLine="480"/>
              <w:jc w:val="both"/>
            </w:pPr>
            <w:r>
              <w:rPr>
                <w:sz w:val="21"/>
              </w:rPr>
              <w:t>5.</w:t>
            </w:r>
            <w:r>
              <w:rPr>
                <w:sz w:val="21"/>
              </w:rPr>
              <w:t>确保应用系统源代码安全，无漏洞；提供较完善的数据加密机制，确保数据存储和数据传</w:t>
            </w:r>
            <w:r>
              <w:rPr>
                <w:color w:val="000000"/>
                <w:sz w:val="21"/>
              </w:rPr>
              <w:t>输安全；提供明晰的身份鉴别和访问控制机制，按业务要求实现功能分级，并对用户分级授权。</w:t>
            </w:r>
          </w:p>
          <w:p>
            <w:pPr>
              <w:ind w:firstLine="480"/>
              <w:jc w:val="both"/>
            </w:pPr>
            <w:r>
              <w:rPr>
                <w:color w:val="000000"/>
                <w:sz w:val="21"/>
              </w:rPr>
              <w:t>6.</w:t>
            </w:r>
            <w:r>
              <w:rPr>
                <w:color w:val="000000"/>
                <w:sz w:val="21"/>
              </w:rPr>
              <w:t>▲本期项目建设API平台、移动数据分析服务、人事主题业务分析服务，其权威数据来源为数据治理（一期）项目的主数据管理平台，本期项目所建平台及服务须与原主数据管理平台集成、对接，保障数据的准确性和实时性</w:t>
            </w:r>
            <w:r>
              <w:rPr>
                <w:b/>
                <w:color w:val="000000"/>
                <w:sz w:val="21"/>
              </w:rPr>
              <w:t>，投标人须提供能与原主数据管理平台进行集成、数据对接的承诺或声明。</w:t>
            </w:r>
          </w:p>
          <w:p>
            <w:pPr>
              <w:ind w:firstLine="480"/>
              <w:jc w:val="both"/>
            </w:pPr>
            <w:r>
              <w:rPr>
                <w:color w:val="000000"/>
                <w:sz w:val="21"/>
              </w:rPr>
              <w:t>7.</w:t>
            </w:r>
            <w:r>
              <w:rPr>
                <w:color w:val="000000"/>
                <w:sz w:val="21"/>
              </w:rPr>
              <w:t>▲为保障学校综合数据分析及展示的应用一致性及管理维护的统一性，投标人须承诺本期项目所建移动数据分析及人事主主题业务分析需基于数据治理（二期）项目的数据分析展示平台进行开发定制，</w:t>
            </w:r>
            <w:r>
              <w:rPr>
                <w:b/>
                <w:color w:val="000000"/>
                <w:sz w:val="21"/>
              </w:rPr>
              <w:t>提供盖章承诺或声明</w:t>
            </w:r>
            <w:r>
              <w:rPr>
                <w:color w:val="000000"/>
                <w:sz w:val="21"/>
              </w:rPr>
              <w:t>。</w:t>
            </w:r>
          </w:p>
          <w:p>
            <w:pPr>
              <w:ind w:firstLine="480"/>
              <w:jc w:val="both"/>
            </w:pPr>
            <w:r>
              <w:rPr>
                <w:sz w:val="21"/>
              </w:rPr>
              <w:t>8.</w:t>
            </w:r>
            <w:r>
              <w:rPr>
                <w:sz w:val="21"/>
              </w:rPr>
              <w:t>▲本期项目建设平台需要与一期项目主数据管理平台进行数据对接，投标人需承诺对接所产生的所有费用应包含在投标报价中，</w:t>
            </w:r>
            <w:r>
              <w:rPr>
                <w:b/>
                <w:sz w:val="21"/>
              </w:rPr>
              <w:t>提供盖章承诺</w:t>
            </w:r>
            <w:r>
              <w:rPr>
                <w:b/>
                <w:color w:val="000000"/>
                <w:sz w:val="21"/>
              </w:rPr>
              <w:t>或声明</w:t>
            </w:r>
            <w:r>
              <w:rPr>
                <w:sz w:val="21"/>
              </w:rPr>
              <w:t>。</w:t>
            </w:r>
          </w:p>
          <w:p>
            <w:pPr>
              <w:ind w:firstLine="480"/>
              <w:jc w:val="both"/>
            </w:pPr>
            <w:r>
              <w:rPr>
                <w:sz w:val="21"/>
              </w:rPr>
              <w:t>9.</w:t>
            </w:r>
            <w:r>
              <w:rPr>
                <w:sz w:val="21"/>
              </w:rPr>
              <w:t>▲要求响应国家安全可控政策，与国产化进行适配。要求投标人提供自主产品（数据中心或大数据中心）可兼容国产数据库，提供相关证明材料</w:t>
            </w:r>
            <w:r>
              <w:rPr>
                <w:sz w:val="21"/>
              </w:rPr>
              <w:t>（</w:t>
            </w:r>
            <w:r>
              <w:rPr>
                <w:sz w:val="21"/>
              </w:rPr>
              <w:t>不限于</w:t>
            </w:r>
            <w:r>
              <w:rPr>
                <w:sz w:val="21"/>
              </w:rPr>
              <w:t>人大金仓的产品兼容性认证、飞腾的产品兼容性证明或产品生态伙伴证明材料）</w:t>
            </w:r>
            <w:r>
              <w:rPr>
                <w:sz w:val="21"/>
              </w:rPr>
              <w:t>。</w:t>
            </w:r>
          </w:p>
          <w:p>
            <w:pPr>
              <w:jc w:val="left"/>
            </w:pPr>
            <w:r>
              <w:br/>
            </w:r>
            <w:r>
              <w:rPr>
                <w:b/>
                <w:sz w:val="21"/>
              </w:rPr>
              <w:t>（二）</w:t>
            </w:r>
            <w:r>
              <w:rPr>
                <w:b/>
                <w:sz w:val="21"/>
              </w:rPr>
              <w:t>API</w:t>
            </w:r>
            <w:r>
              <w:rPr>
                <w:b/>
                <w:sz w:val="21"/>
              </w:rPr>
              <w:t>平台</w:t>
            </w:r>
          </w:p>
          <w:p>
            <w:pPr>
              <w:jc w:val="left"/>
            </w:pPr>
            <w:r>
              <w:rPr>
                <w:b/>
                <w:sz w:val="21"/>
              </w:rPr>
              <w:t>1.技术需求</w:t>
            </w:r>
          </w:p>
          <w:p>
            <w:pPr>
              <w:ind w:firstLine="480"/>
              <w:jc w:val="both"/>
            </w:pPr>
            <w:r>
              <w:rPr>
                <w:sz w:val="21"/>
              </w:rPr>
              <w:t>1)</w:t>
            </w:r>
            <w:r>
              <w:rPr>
                <w:sz w:val="21"/>
              </w:rPr>
              <w:t>易用性：本项目用户界面友好、美观，操作符合用户习惯；软件提供标准的操作提示信息，界面文字符合设计规范。</w:t>
            </w:r>
          </w:p>
          <w:p>
            <w:pPr>
              <w:ind w:firstLine="480"/>
              <w:jc w:val="both"/>
            </w:pPr>
            <w:r>
              <w:rPr>
                <w:sz w:val="21"/>
              </w:rPr>
              <w:t>2)</w:t>
            </w:r>
            <w:r>
              <w:rPr>
                <w:sz w:val="21"/>
              </w:rPr>
              <w:t>扩展性：平台采用微服务架构设计开发，对业务服务进行解耦，具体良好的扩展性。</w:t>
            </w:r>
          </w:p>
          <w:p>
            <w:pPr>
              <w:ind w:firstLine="480"/>
              <w:jc w:val="both"/>
            </w:pPr>
            <w:r>
              <w:rPr>
                <w:sz w:val="21"/>
              </w:rPr>
              <w:t>3)</w:t>
            </w:r>
            <w:r>
              <w:rPr>
                <w:sz w:val="21"/>
              </w:rPr>
              <w:t>技术路线：后端采用</w:t>
            </w:r>
            <w:r>
              <w:rPr>
                <w:sz w:val="21"/>
              </w:rPr>
              <w:t>Java语言，使用Spring Boot+MyBatis Plus等框架进行开发，前端使用React+Ant Design框架进行开发。</w:t>
            </w:r>
          </w:p>
          <w:p>
            <w:pPr>
              <w:ind w:firstLine="480"/>
              <w:jc w:val="both"/>
            </w:pPr>
            <w:r>
              <w:rPr>
                <w:sz w:val="21"/>
              </w:rPr>
              <w:t>4)</w:t>
            </w:r>
            <w:r>
              <w:rPr>
                <w:sz w:val="21"/>
              </w:rPr>
              <w:t>可靠性：系统支持集群高可用部署，服务故障检测、自动转移、弹性伸缩。并停机故障后会自动根据依赖关系自动恢复启动。</w:t>
            </w:r>
          </w:p>
          <w:p>
            <w:pPr>
              <w:ind w:firstLine="480"/>
              <w:jc w:val="both"/>
            </w:pPr>
            <w:r>
              <w:rPr>
                <w:sz w:val="21"/>
              </w:rPr>
              <w:t>5)</w:t>
            </w:r>
            <w:r>
              <w:rPr>
                <w:sz w:val="21"/>
              </w:rPr>
              <w:t>安全性：支持各用户在系统中查看、操作业务数据的权限。另外，系统能防止</w:t>
            </w:r>
            <w:r>
              <w:rPr>
                <w:sz w:val="21"/>
              </w:rPr>
              <w:t>SQL 注入、跨站点访问等的攻击机制。支持根据业务的不同控制开发者调用接口的权限，开发者必须通过系统颁发的唯一的appId和秘钥才能调用授权的接口。</w:t>
            </w:r>
          </w:p>
          <w:p>
            <w:pPr>
              <w:ind w:firstLine="480"/>
              <w:jc w:val="both"/>
            </w:pPr>
            <w:r>
              <w:rPr>
                <w:sz w:val="21"/>
              </w:rPr>
              <w:t>6)</w:t>
            </w:r>
            <w:r>
              <w:rPr>
                <w:sz w:val="21"/>
              </w:rPr>
              <w:t>数据权限：平台支持用户查看和操作数据的范围，应用管理员及应用成员只能管理和操作已分配应用的接口。</w:t>
            </w:r>
          </w:p>
          <w:p>
            <w:pPr>
              <w:ind w:firstLine="480"/>
              <w:jc w:val="both"/>
            </w:pPr>
            <w:r>
              <w:rPr>
                <w:sz w:val="21"/>
              </w:rPr>
              <w:t>7)</w:t>
            </w:r>
            <w:r>
              <w:rPr>
                <w:sz w:val="21"/>
              </w:rPr>
              <w:t>监控预警：平台提供平台运行、接口运行及接口调用过程中的异常信息预警，并能通过邮件、短信、钉钉、微信等多种渠道通知相应人员。支持预警消息的合并与降噪处理。</w:t>
            </w:r>
          </w:p>
          <w:p>
            <w:pPr>
              <w:ind w:firstLine="480"/>
              <w:jc w:val="both"/>
            </w:pPr>
            <w:r>
              <w:rPr>
                <w:sz w:val="21"/>
              </w:rPr>
              <w:t>8)</w:t>
            </w:r>
            <w:r>
              <w:rPr>
                <w:sz w:val="21"/>
              </w:rPr>
              <w:t>系统性能：系统支持</w:t>
            </w:r>
            <w:r>
              <w:rPr>
                <w:sz w:val="21"/>
              </w:rPr>
              <w:t>5000以上用户同时在线访问使用，页面平均响应时间不超过3秒。对外发布出来的API接口单节点情况下支持2000绝对并发且平均响应时间不超过3秒。</w:t>
            </w:r>
          </w:p>
          <w:p>
            <w:pPr>
              <w:ind w:firstLine="480"/>
              <w:jc w:val="both"/>
            </w:pPr>
            <w:r>
              <w:rPr>
                <w:sz w:val="21"/>
              </w:rPr>
              <w:t>9)</w:t>
            </w:r>
            <w:r>
              <w:rPr>
                <w:sz w:val="21"/>
              </w:rPr>
              <w:t>接口定义：平台支持多种关系型数据库（</w:t>
            </w:r>
            <w:r>
              <w:rPr>
                <w:sz w:val="21"/>
              </w:rPr>
              <w:t>Oarcal、MySQL、人大金仓等）、非结构化数据（Excel、txt、json）、第三方系统接口（webservice、RPC、RESTful等）等多种来源的API接口定义，支持线上API接口界面化配置和低代码开发；平台无缝对接Swagger工具，支持直接连接swagger或通过swagger文件快速导入第三方业务系统的接口；平台支持一键生成基于关系型数据库的新增、删除、修改、查询、启用、停用接口；</w:t>
            </w:r>
          </w:p>
          <w:p>
            <w:pPr>
              <w:ind w:firstLine="480"/>
              <w:jc w:val="both"/>
            </w:pPr>
            <w:r>
              <w:rPr>
                <w:sz w:val="21"/>
              </w:rPr>
              <w:t>10)</w:t>
            </w:r>
            <w:r>
              <w:rPr>
                <w:sz w:val="21"/>
              </w:rPr>
              <w:t>接口编排：平台支持图形化界面拖拽的方式进行接口编排，实现不同业务系统接口的有机结合，快速实现业务重组。</w:t>
            </w:r>
          </w:p>
          <w:p>
            <w:pPr>
              <w:ind w:firstLine="480"/>
              <w:jc w:val="both"/>
            </w:pPr>
            <w:r>
              <w:rPr>
                <w:sz w:val="21"/>
              </w:rPr>
              <w:t>11)</w:t>
            </w:r>
            <w:r>
              <w:rPr>
                <w:sz w:val="21"/>
              </w:rPr>
              <w:t>接口测试：平台提供线上编写测试用例，实现自动化测试，并提供详细的接口测试报告；支持自定义断言规则；</w:t>
            </w:r>
          </w:p>
          <w:p>
            <w:pPr>
              <w:ind w:firstLine="480"/>
              <w:jc w:val="both"/>
            </w:pPr>
            <w:r>
              <w:rPr>
                <w:sz w:val="21"/>
              </w:rPr>
              <w:t>12)</w:t>
            </w:r>
            <w:r>
              <w:rPr>
                <w:sz w:val="21"/>
              </w:rPr>
              <w:t>接口发布：为保障接口的正确性和稳定性，接口必须通过测试才能被发布；接口发布后可根据接口的修改记录自动形成接口版本号，系统支持线上对接口版本的差异进行比较；接口可一键发布、自动编译且打包成镜像，自动部署到</w:t>
            </w:r>
            <w:r>
              <w:rPr>
                <w:sz w:val="21"/>
              </w:rPr>
              <w:t>K8S或以K8S为基础容器平台中，可主动监控服务的运行状况；</w:t>
            </w:r>
          </w:p>
          <w:p>
            <w:pPr>
              <w:ind w:firstLine="480"/>
              <w:jc w:val="both"/>
            </w:pPr>
            <w:r>
              <w:rPr>
                <w:sz w:val="21"/>
              </w:rPr>
              <w:t>13)</w:t>
            </w:r>
            <w:r>
              <w:rPr>
                <w:sz w:val="21"/>
              </w:rPr>
              <w:t>接口授权：平台支持批量将</w:t>
            </w:r>
            <w:r>
              <w:rPr>
                <w:sz w:val="21"/>
              </w:rPr>
              <w:t>API接口授权给到开发者，开发者可以登录接口中心查看已分配的API接口详细文档，并通过appId和秘钥对接口进行调用；平台可控制已发布的API接口的调用频率；</w:t>
            </w:r>
          </w:p>
          <w:p>
            <w:pPr>
              <w:ind w:firstLine="480"/>
              <w:jc w:val="both"/>
            </w:pPr>
            <w:r>
              <w:rPr>
                <w:sz w:val="21"/>
              </w:rPr>
              <w:t>14)</w:t>
            </w:r>
            <w:r>
              <w:rPr>
                <w:sz w:val="21"/>
              </w:rPr>
              <w:t>日志审计：平台提供丰富的日志便于审计人员开展审计工作。对于系统发布的接口提供日志审计能力，审计人员可以查看接口调用的历史记录，包括调用的开发者、入参、出参、操作日期、操作结果以及本次调用的详细记录。记录用户的登录和操作日志，包括用户访问的浏览器信息、</w:t>
            </w:r>
            <w:r>
              <w:rPr>
                <w:sz w:val="21"/>
              </w:rPr>
              <w:t>IP地址、操作时间，能够精确的了解用户具体操作的数据。</w:t>
            </w:r>
          </w:p>
          <w:p>
            <w:pPr>
              <w:jc w:val="left"/>
            </w:pPr>
            <w:r>
              <w:rPr>
                <w:b/>
                <w:sz w:val="21"/>
              </w:rPr>
              <w:t>2.功能需求</w:t>
            </w:r>
          </w:p>
          <w:p>
            <w:pPr>
              <w:jc w:val="left"/>
            </w:pPr>
            <w:r>
              <w:rPr>
                <w:b/>
                <w:sz w:val="21"/>
              </w:rPr>
              <w:t>2.1系统管理</w:t>
            </w:r>
          </w:p>
          <w:p>
            <w:pPr>
              <w:ind w:firstLine="480"/>
              <w:jc w:val="both"/>
            </w:pPr>
            <w:r>
              <w:rPr>
                <w:sz w:val="21"/>
              </w:rPr>
              <w:t>2.1.1</w:t>
            </w:r>
            <w:r>
              <w:rPr>
                <w:sz w:val="21"/>
              </w:rPr>
              <w:t>系统管理是对全局基础数据进行管理，是实现接口全生命周期管理的前提基础。除预置基础数据外，可通过自定义新增的方式丰富基础数据内容，为平台内接口创建、设计、开发、测试、发布和使用提供便利，提升平台整体易用性。</w:t>
            </w:r>
          </w:p>
          <w:p>
            <w:pPr>
              <w:ind w:firstLine="480"/>
              <w:jc w:val="both"/>
            </w:pPr>
            <w:r>
              <w:rPr>
                <w:sz w:val="21"/>
              </w:rPr>
              <w:t>2.1.2</w:t>
            </w:r>
            <w:r>
              <w:rPr>
                <w:sz w:val="21"/>
              </w:rPr>
              <w:t>系统管理支持以下功能：</w:t>
            </w:r>
          </w:p>
          <w:p>
            <w:pPr>
              <w:ind w:firstLine="480"/>
              <w:jc w:val="both"/>
            </w:pPr>
            <w:r>
              <w:rPr>
                <w:sz w:val="21"/>
              </w:rPr>
              <w:t>（</w:t>
            </w:r>
            <w:r>
              <w:rPr>
                <w:sz w:val="21"/>
              </w:rPr>
              <w:t>1</w:t>
            </w:r>
            <w:r>
              <w:rPr>
                <w:sz w:val="21"/>
              </w:rPr>
              <w:t>）</w:t>
            </w:r>
            <w:r>
              <w:rPr>
                <w:sz w:val="21"/>
              </w:rPr>
              <w:t>应用管理</w:t>
            </w:r>
          </w:p>
          <w:p>
            <w:pPr>
              <w:ind w:firstLine="480"/>
              <w:jc w:val="both"/>
            </w:pPr>
            <w:r>
              <w:rPr>
                <w:sz w:val="21"/>
              </w:rPr>
              <w:t>提供平台内应用及应用成员管理功能。通过团队成员角色授权，明确平台内应用管理和应用下接口设计、开发、测试、发布、下架的操作权限，保障平台内业务有序开展。</w:t>
            </w:r>
          </w:p>
          <w:p>
            <w:pPr>
              <w:ind w:firstLine="480"/>
              <w:jc w:val="both"/>
            </w:pPr>
            <w:r>
              <w:rPr>
                <w:sz w:val="21"/>
              </w:rPr>
              <w:t>（</w:t>
            </w:r>
            <w:r>
              <w:rPr>
                <w:sz w:val="21"/>
              </w:rPr>
              <w:t>2</w:t>
            </w:r>
            <w:r>
              <w:rPr>
                <w:sz w:val="21"/>
              </w:rPr>
              <w:t>）</w:t>
            </w:r>
            <w:r>
              <w:rPr>
                <w:sz w:val="21"/>
              </w:rPr>
              <w:t>标签管理</w:t>
            </w:r>
          </w:p>
          <w:p>
            <w:pPr>
              <w:ind w:firstLine="480"/>
              <w:jc w:val="both"/>
            </w:pPr>
            <w:r>
              <w:rPr>
                <w:sz w:val="21"/>
              </w:rPr>
              <w:t>提供自定义标签管理功能，通过对接口进行标记，实现对接口数据快速筛选和分析能力。设计接口时，系统为接口提供了标签标记功能；当接口发布时，标签作为筛选不同类型接口的依据，为用户搜索接口提供便利。</w:t>
            </w:r>
          </w:p>
          <w:p>
            <w:pPr>
              <w:ind w:firstLine="480"/>
              <w:jc w:val="both"/>
            </w:pPr>
            <w:r>
              <w:rPr>
                <w:sz w:val="21"/>
              </w:rPr>
              <w:t>（</w:t>
            </w:r>
            <w:r>
              <w:rPr>
                <w:sz w:val="21"/>
              </w:rPr>
              <w:t>3</w:t>
            </w:r>
            <w:r>
              <w:rPr>
                <w:sz w:val="21"/>
              </w:rPr>
              <w:t>）</w:t>
            </w:r>
            <w:r>
              <w:rPr>
                <w:sz w:val="21"/>
              </w:rPr>
              <w:t>规则管理</w:t>
            </w:r>
          </w:p>
          <w:p>
            <w:pPr>
              <w:ind w:firstLine="480"/>
              <w:jc w:val="both"/>
            </w:pPr>
            <w:r>
              <w:rPr>
                <w:sz w:val="21"/>
              </w:rPr>
              <w:t>提供管理通用规则模板的功能；系统除预置常用规则模板外，还支持通过自定义添加规则功能，丰富接口开发环节可选规则范围。在开发接口时，用户直接调用规则模板就能完成接口的前后置脚本开发，大大降低了开发接口的难度。</w:t>
            </w:r>
          </w:p>
          <w:p>
            <w:pPr>
              <w:ind w:firstLine="480"/>
              <w:jc w:val="both"/>
            </w:pPr>
            <w:r>
              <w:rPr>
                <w:sz w:val="21"/>
              </w:rPr>
              <w:t>（</w:t>
            </w:r>
            <w:r>
              <w:rPr>
                <w:sz w:val="21"/>
              </w:rPr>
              <w:t>4</w:t>
            </w:r>
            <w:r>
              <w:rPr>
                <w:sz w:val="21"/>
              </w:rPr>
              <w:t>）</w:t>
            </w:r>
            <w:r>
              <w:rPr>
                <w:sz w:val="21"/>
              </w:rPr>
              <w:t>代码集管理</w:t>
            </w:r>
          </w:p>
          <w:p>
            <w:pPr>
              <w:ind w:firstLine="480"/>
              <w:jc w:val="both"/>
            </w:pPr>
            <w:r>
              <w:rPr>
                <w:sz w:val="21"/>
              </w:rPr>
              <w:t>提供规则下关联代码统一管理功能。规则关联代码后，在接口开发环节通过选择规则后能够直接从代码集中读取代码，减少代码编写工作，大大降低接口开发难度。另外，通过代码集代码统一管理、集中维护功能，可以大幅减少规则修改后的代码维护工作量，减少运维压力。</w:t>
            </w:r>
          </w:p>
          <w:p>
            <w:pPr>
              <w:ind w:firstLine="480"/>
              <w:jc w:val="both"/>
            </w:pPr>
            <w:r>
              <w:rPr>
                <w:sz w:val="21"/>
              </w:rPr>
              <w:t>（</w:t>
            </w:r>
            <w:r>
              <w:rPr>
                <w:sz w:val="21"/>
              </w:rPr>
              <w:t>5</w:t>
            </w:r>
            <w:r>
              <w:rPr>
                <w:sz w:val="21"/>
              </w:rPr>
              <w:t>）</w:t>
            </w:r>
            <w:r>
              <w:rPr>
                <w:sz w:val="21"/>
              </w:rPr>
              <w:t>状态码管理</w:t>
            </w:r>
          </w:p>
          <w:p>
            <w:pPr>
              <w:ind w:firstLine="480"/>
              <w:jc w:val="both"/>
            </w:pPr>
            <w:r>
              <w:rPr>
                <w:sz w:val="21"/>
              </w:rPr>
              <w:t>提供接口发送请求时响应状态的统一管理功能，通过系统预置状态码及自定义添加状态码的方式，建立响应状态显示规范，用户由接口的状态码和返回的状态码快速掌握接口当前状态以及是否调用成功。</w:t>
            </w:r>
          </w:p>
          <w:p>
            <w:pPr>
              <w:ind w:firstLine="480"/>
              <w:jc w:val="both"/>
            </w:pPr>
            <w:r>
              <w:rPr>
                <w:sz w:val="21"/>
              </w:rPr>
              <w:t>（</w:t>
            </w:r>
            <w:r>
              <w:rPr>
                <w:sz w:val="21"/>
              </w:rPr>
              <w:t>6</w:t>
            </w:r>
            <w:r>
              <w:rPr>
                <w:sz w:val="21"/>
              </w:rPr>
              <w:t>）</w:t>
            </w:r>
            <w:r>
              <w:rPr>
                <w:sz w:val="21"/>
              </w:rPr>
              <w:t>数据源管理</w:t>
            </w:r>
          </w:p>
          <w:p>
            <w:pPr>
              <w:ind w:firstLine="480"/>
              <w:jc w:val="both"/>
            </w:pPr>
            <w:r>
              <w:rPr>
                <w:sz w:val="21"/>
              </w:rPr>
              <w:t>提供基于</w:t>
            </w:r>
            <w:r>
              <w:rPr>
                <w:sz w:val="21"/>
              </w:rPr>
              <w:t>Web界面的数据源连接参数的管理功能。接口开发时，可通过选择数据源配置参数，获取数据源中的相关表信息，实现接口的快速开发。目前系统支持Oracle、SQL Server、MySQL这三种数据源。</w:t>
            </w:r>
          </w:p>
          <w:p>
            <w:pPr>
              <w:ind w:firstLine="480"/>
              <w:jc w:val="both"/>
            </w:pPr>
            <w:r>
              <w:rPr>
                <w:sz w:val="21"/>
              </w:rPr>
              <w:t>（</w:t>
            </w:r>
            <w:r>
              <w:rPr>
                <w:sz w:val="21"/>
              </w:rPr>
              <w:t>7</w:t>
            </w:r>
            <w:r>
              <w:rPr>
                <w:sz w:val="21"/>
              </w:rPr>
              <w:t>）</w:t>
            </w:r>
            <w:r>
              <w:rPr>
                <w:sz w:val="21"/>
              </w:rPr>
              <w:t>环境管理</w:t>
            </w:r>
          </w:p>
          <w:p>
            <w:pPr>
              <w:ind w:firstLine="480"/>
              <w:jc w:val="both"/>
            </w:pPr>
            <w:r>
              <w:rPr>
                <w:sz w:val="21"/>
              </w:rPr>
              <w:t>通过设置环境的基本信息、代码仓库环境配置、</w:t>
            </w:r>
            <w:r>
              <w:rPr>
                <w:sz w:val="21"/>
              </w:rPr>
              <w:t>CI/CD环境配置、网关环境配置和docker容器环境配置来完成API平台中应用的镜像构建、代码生成和运行应用。实现应用自动部署功能，保障了接口版本信息更新及时。</w:t>
            </w:r>
          </w:p>
          <w:p>
            <w:pPr>
              <w:ind w:firstLine="480"/>
              <w:jc w:val="both"/>
            </w:pPr>
            <w:r>
              <w:rPr>
                <w:sz w:val="21"/>
              </w:rPr>
              <w:t>▲</w:t>
            </w:r>
            <w:r>
              <w:rPr>
                <w:sz w:val="21"/>
              </w:rPr>
              <w:t>（</w:t>
            </w:r>
            <w:r>
              <w:rPr>
                <w:sz w:val="21"/>
              </w:rPr>
              <w:t>8</w:t>
            </w:r>
            <w:r>
              <w:rPr>
                <w:sz w:val="21"/>
              </w:rPr>
              <w:t>）</w:t>
            </w:r>
            <w:r>
              <w:rPr>
                <w:sz w:val="21"/>
              </w:rPr>
              <w:t>接口版本管理</w:t>
            </w:r>
          </w:p>
          <w:p>
            <w:pPr>
              <w:ind w:firstLine="480"/>
              <w:jc w:val="both"/>
            </w:pPr>
            <w:r>
              <w:rPr>
                <w:sz w:val="21"/>
              </w:rPr>
              <w:t>提供历史版本查看及对比的功能，可通过不同版本间信息比对，清晰掌握接口版本变化趋势和变化内容。</w:t>
            </w:r>
            <w:r>
              <w:rPr>
                <w:b/>
                <w:sz w:val="21"/>
              </w:rPr>
              <w:t>（要求提供系统截图）</w:t>
            </w:r>
          </w:p>
          <w:p>
            <w:pPr>
              <w:ind w:firstLine="480"/>
              <w:jc w:val="both"/>
            </w:pPr>
            <w:r>
              <w:rPr>
                <w:sz w:val="21"/>
              </w:rPr>
              <w:t>（</w:t>
            </w:r>
            <w:r>
              <w:rPr>
                <w:sz w:val="21"/>
              </w:rPr>
              <w:t>9</w:t>
            </w:r>
            <w:r>
              <w:rPr>
                <w:sz w:val="21"/>
              </w:rPr>
              <w:t>）</w:t>
            </w:r>
            <w:r>
              <w:rPr>
                <w:sz w:val="21"/>
              </w:rPr>
              <w:t>回收站</w:t>
            </w:r>
          </w:p>
          <w:p>
            <w:pPr>
              <w:ind w:firstLine="480"/>
              <w:jc w:val="both"/>
            </w:pPr>
            <w:r>
              <w:rPr>
                <w:sz w:val="21"/>
              </w:rPr>
              <w:t>提供已删除接口回收管理功能。被删除接口会暂时存放在回收站中，为避免误删接口影响业务的正常进行，需在回收站中再一次点击删除操作才会永久接口，也可通过恢复操作，还原被删除接口位置和信息。</w:t>
            </w:r>
          </w:p>
          <w:p>
            <w:pPr>
              <w:jc w:val="left"/>
            </w:pPr>
            <w:r>
              <w:rPr>
                <w:b/>
                <w:sz w:val="21"/>
              </w:rPr>
              <w:t>2.2接口设计</w:t>
            </w:r>
          </w:p>
          <w:p>
            <w:pPr>
              <w:ind w:firstLine="480"/>
              <w:jc w:val="both"/>
            </w:pPr>
            <w:r>
              <w:rPr>
                <w:sz w:val="21"/>
              </w:rPr>
              <w:t>2.2.1</w:t>
            </w:r>
            <w:r>
              <w:rPr>
                <w:sz w:val="21"/>
              </w:rPr>
              <w:t>接口设计是一个完成对接口基本信息、调用限制以及接口入参和出参等信息进行设计的模块。</w:t>
            </w:r>
          </w:p>
          <w:p>
            <w:pPr>
              <w:ind w:firstLine="480"/>
              <w:jc w:val="both"/>
            </w:pPr>
            <w:r>
              <w:rPr>
                <w:sz w:val="21"/>
              </w:rPr>
              <w:t>2.2.2</w:t>
            </w:r>
            <w:r>
              <w:rPr>
                <w:sz w:val="21"/>
              </w:rPr>
              <w:t>接口设计支持以下功能：</w:t>
            </w:r>
          </w:p>
          <w:p>
            <w:pPr>
              <w:ind w:firstLine="480"/>
              <w:jc w:val="both"/>
            </w:pPr>
            <w:r>
              <w:rPr>
                <w:sz w:val="21"/>
              </w:rPr>
              <w:t>（</w:t>
            </w:r>
            <w:r>
              <w:rPr>
                <w:sz w:val="21"/>
              </w:rPr>
              <w:t>1</w:t>
            </w:r>
            <w:r>
              <w:rPr>
                <w:sz w:val="21"/>
              </w:rPr>
              <w:t>）</w:t>
            </w:r>
            <w:r>
              <w:rPr>
                <w:sz w:val="21"/>
              </w:rPr>
              <w:t>接口频率限制</w:t>
            </w:r>
          </w:p>
          <w:p>
            <w:pPr>
              <w:ind w:firstLine="480"/>
              <w:jc w:val="both"/>
            </w:pPr>
            <w:r>
              <w:rPr>
                <w:sz w:val="21"/>
              </w:rPr>
              <w:t>提供接口频率限制的设置功能，支持设置接口在一段时间内最大的调用频率，防止同一时间内接口被频繁调用导致系统崩溃情形的发生。</w:t>
            </w:r>
          </w:p>
          <w:p>
            <w:pPr>
              <w:ind w:firstLine="480"/>
              <w:jc w:val="both"/>
            </w:pPr>
            <w:r>
              <w:rPr>
                <w:sz w:val="21"/>
              </w:rPr>
              <w:t>（</w:t>
            </w:r>
            <w:r>
              <w:rPr>
                <w:sz w:val="21"/>
              </w:rPr>
              <w:t>2</w:t>
            </w:r>
            <w:r>
              <w:rPr>
                <w:sz w:val="21"/>
              </w:rPr>
              <w:t>）</w:t>
            </w:r>
            <w:r>
              <w:rPr>
                <w:sz w:val="21"/>
              </w:rPr>
              <w:t>导入分页参数</w:t>
            </w:r>
          </w:p>
          <w:p>
            <w:pPr>
              <w:ind w:firstLine="480"/>
              <w:jc w:val="both"/>
            </w:pPr>
            <w:r>
              <w:rPr>
                <w:sz w:val="21"/>
              </w:rPr>
              <w:t>针对需要分页查询的接口，系统提供了导入分页参数功能；勾选后系统自动填入分页功能所需的参数名和参数说明，简化设计操作。</w:t>
            </w:r>
          </w:p>
          <w:p>
            <w:pPr>
              <w:jc w:val="left"/>
            </w:pPr>
            <w:r>
              <w:rPr>
                <w:b/>
                <w:sz w:val="21"/>
              </w:rPr>
              <w:t>2.3接口开发</w:t>
            </w:r>
          </w:p>
          <w:p>
            <w:pPr>
              <w:ind w:firstLine="480"/>
              <w:jc w:val="both"/>
            </w:pPr>
            <w:r>
              <w:rPr>
                <w:sz w:val="21"/>
              </w:rPr>
              <w:t>2.3.1</w:t>
            </w:r>
            <w:r>
              <w:rPr>
                <w:sz w:val="21"/>
              </w:rPr>
              <w:t>系统提供低代码甚至无代码开发接口的能力；系统通过创建领域模型、使用</w:t>
            </w:r>
            <w:r>
              <w:rPr>
                <w:sz w:val="21"/>
              </w:rPr>
              <w:t>SQL语句等方式实现接口开发，具有更快速、更易于学习的特点，满足更多业务场景的开发需求。</w:t>
            </w:r>
          </w:p>
          <w:p>
            <w:pPr>
              <w:ind w:firstLine="480"/>
              <w:jc w:val="both"/>
            </w:pPr>
            <w:r>
              <w:rPr>
                <w:sz w:val="21"/>
              </w:rPr>
              <w:t>2.3.2</w:t>
            </w:r>
            <w:r>
              <w:rPr>
                <w:sz w:val="21"/>
              </w:rPr>
              <w:t>接口开发支持以下功能：</w:t>
            </w:r>
          </w:p>
          <w:p>
            <w:pPr>
              <w:ind w:firstLine="480"/>
              <w:jc w:val="both"/>
            </w:pPr>
            <w:r>
              <w:rPr>
                <w:sz w:val="21"/>
              </w:rPr>
              <w:t>（</w:t>
            </w:r>
            <w:r>
              <w:rPr>
                <w:sz w:val="21"/>
              </w:rPr>
              <w:t>1</w:t>
            </w:r>
            <w:r>
              <w:rPr>
                <w:sz w:val="21"/>
              </w:rPr>
              <w:t>）</w:t>
            </w:r>
            <w:r>
              <w:rPr>
                <w:sz w:val="21"/>
              </w:rPr>
              <w:t>第三方接口开发</w:t>
            </w:r>
          </w:p>
          <w:p>
            <w:pPr>
              <w:ind w:firstLine="480"/>
              <w:jc w:val="both"/>
            </w:pPr>
            <w:r>
              <w:rPr>
                <w:sz w:val="21"/>
              </w:rPr>
              <w:t>适用于改造第三方接口的生成新接口；通过集成多方接口对外提供接口服务能力。</w:t>
            </w:r>
          </w:p>
          <w:p>
            <w:pPr>
              <w:ind w:firstLine="480"/>
              <w:jc w:val="both"/>
            </w:pPr>
            <w:r>
              <w:rPr>
                <w:sz w:val="21"/>
              </w:rPr>
              <w:t>（</w:t>
            </w:r>
            <w:r>
              <w:rPr>
                <w:sz w:val="21"/>
              </w:rPr>
              <w:t>2</w:t>
            </w:r>
            <w:r>
              <w:rPr>
                <w:sz w:val="21"/>
              </w:rPr>
              <w:t>）</w:t>
            </w:r>
            <w:r>
              <w:rPr>
                <w:sz w:val="21"/>
              </w:rPr>
              <w:t>结构化接口开发</w:t>
            </w:r>
          </w:p>
          <w:p>
            <w:pPr>
              <w:ind w:firstLine="480"/>
              <w:jc w:val="both"/>
            </w:pPr>
            <w:r>
              <w:rPr>
                <w:sz w:val="21"/>
              </w:rPr>
              <w:t>适用于对数据源的表数据进行新增、删除、修改和查询从而快速生成对应功能的接口。用户仅需选择数据源和表数据即可完成接口的开发，通过配置自动生成标准</w:t>
            </w:r>
            <w:r>
              <w:rPr>
                <w:sz w:val="21"/>
              </w:rPr>
              <w:t>RESTful接口；同时还支持使用SQL语句直接完成接口开发。</w:t>
            </w:r>
          </w:p>
          <w:p>
            <w:pPr>
              <w:ind w:firstLine="480"/>
              <w:jc w:val="both"/>
            </w:pPr>
            <w:r>
              <w:rPr>
                <w:sz w:val="21"/>
              </w:rPr>
              <w:t>（</w:t>
            </w:r>
            <w:r>
              <w:rPr>
                <w:sz w:val="21"/>
              </w:rPr>
              <w:t>3</w:t>
            </w:r>
            <w:r>
              <w:rPr>
                <w:sz w:val="21"/>
              </w:rPr>
              <w:t>）</w:t>
            </w:r>
            <w:r>
              <w:rPr>
                <w:sz w:val="21"/>
              </w:rPr>
              <w:t>非结构化接口开发</w:t>
            </w:r>
          </w:p>
          <w:p>
            <w:pPr>
              <w:ind w:firstLine="480"/>
              <w:jc w:val="both"/>
            </w:pPr>
            <w:r>
              <w:rPr>
                <w:sz w:val="21"/>
              </w:rPr>
              <w:t>适用于开发传输</w:t>
            </w:r>
            <w:r>
              <w:rPr>
                <w:sz w:val="21"/>
              </w:rPr>
              <w:t>txt、JSON、XML和Excel文件的接口；仅需上传文件即可完成接口开发工作，系统自动转换成标准REST ful接口，大大降低接口开发难度。</w:t>
            </w:r>
          </w:p>
          <w:p>
            <w:pPr>
              <w:ind w:firstLine="480"/>
              <w:jc w:val="both"/>
            </w:pPr>
            <w:r>
              <w:rPr>
                <w:sz w:val="21"/>
              </w:rPr>
              <w:t>（</w:t>
            </w:r>
            <w:r>
              <w:rPr>
                <w:sz w:val="21"/>
              </w:rPr>
              <w:t>4</w:t>
            </w:r>
            <w:r>
              <w:rPr>
                <w:sz w:val="21"/>
              </w:rPr>
              <w:t>）</w:t>
            </w:r>
            <w:r>
              <w:rPr>
                <w:sz w:val="21"/>
              </w:rPr>
              <w:t>在线代码开发</w:t>
            </w:r>
          </w:p>
          <w:p>
            <w:pPr>
              <w:ind w:firstLine="480"/>
              <w:jc w:val="both"/>
            </w:pPr>
            <w:r>
              <w:rPr>
                <w:sz w:val="21"/>
              </w:rPr>
              <w:t>适用于使用代码开发接口；支持使用</w:t>
            </w:r>
            <w:r>
              <w:rPr>
                <w:sz w:val="21"/>
              </w:rPr>
              <w:t>Java语言在线编辑代码。系统内置代码模板和脚本规则，大大减少代码编辑工作，快速实现代码开发。</w:t>
            </w:r>
          </w:p>
          <w:p>
            <w:pPr>
              <w:ind w:firstLine="480"/>
              <w:jc w:val="both"/>
            </w:pPr>
            <w:r>
              <w:rPr>
                <w:sz w:val="21"/>
              </w:rPr>
              <w:t>（</w:t>
            </w:r>
            <w:r>
              <w:rPr>
                <w:sz w:val="21"/>
              </w:rPr>
              <w:t>5</w:t>
            </w:r>
            <w:r>
              <w:rPr>
                <w:sz w:val="21"/>
              </w:rPr>
              <w:t>）</w:t>
            </w:r>
            <w:r>
              <w:rPr>
                <w:sz w:val="21"/>
              </w:rPr>
              <w:t>快速开发</w:t>
            </w:r>
          </w:p>
          <w:p>
            <w:pPr>
              <w:ind w:firstLine="480"/>
              <w:jc w:val="both"/>
            </w:pPr>
            <w:r>
              <w:rPr>
                <w:sz w:val="21"/>
              </w:rPr>
              <w:t>系统提供使用数据库表创建实体模型和在线创建实体模型两种方式，当数据库中无所需实体模型时，能够反向创建实体模型以达到用户所需。通过实体模型能够一次性完成新增、单条数据修改、单条数据查询、列表分页查询、物理删除、逻辑删除、启用</w:t>
            </w:r>
            <w:r>
              <w:rPr>
                <w:sz w:val="21"/>
              </w:rPr>
              <w:t>/禁用这7种接口的设计和开发。实现一次创建快速得到多个接口。</w:t>
            </w:r>
          </w:p>
          <w:p>
            <w:pPr>
              <w:jc w:val="left"/>
            </w:pPr>
            <w:r>
              <w:rPr>
                <w:b/>
                <w:sz w:val="21"/>
              </w:rPr>
              <w:t>2.4接口编排</w:t>
            </w:r>
          </w:p>
          <w:p>
            <w:pPr>
              <w:ind w:firstLine="480"/>
              <w:jc w:val="both"/>
            </w:pPr>
            <w:r>
              <w:rPr>
                <w:sz w:val="21"/>
              </w:rPr>
              <w:t>通过可视化拖拽和在线配置的方式将多个现有的接口组合成新的接口，快速发布接口以满足不同的业务场景需求。为接口提供流程再造与服务再造能力，实现接口能力复用以及达到接口场景化。</w:t>
            </w:r>
          </w:p>
          <w:p>
            <w:pPr>
              <w:jc w:val="left"/>
            </w:pPr>
            <w:r>
              <w:rPr>
                <w:b/>
                <w:sz w:val="21"/>
              </w:rPr>
              <w:t>2.5接口测试</w:t>
            </w:r>
          </w:p>
          <w:p>
            <w:pPr>
              <w:ind w:firstLine="480"/>
              <w:jc w:val="both"/>
            </w:pPr>
            <w:r>
              <w:rPr>
                <w:sz w:val="21"/>
              </w:rPr>
              <w:t>2.5.1</w:t>
            </w:r>
            <w:r>
              <w:rPr>
                <w:sz w:val="21"/>
              </w:rPr>
              <w:t>接口测试以用例的形式对已完成开发的接口进行测试，保障接口的可用性。系统采用零代码化测试用例编写，不需要写任何代码即可完成测试用例编写。</w:t>
            </w:r>
          </w:p>
          <w:p>
            <w:pPr>
              <w:ind w:firstLine="480"/>
              <w:jc w:val="both"/>
            </w:pPr>
            <w:r>
              <w:rPr>
                <w:sz w:val="21"/>
              </w:rPr>
              <w:t>2.5.2</w:t>
            </w:r>
            <w:r>
              <w:rPr>
                <w:sz w:val="21"/>
              </w:rPr>
              <w:t>接口测试支持以下功能：</w:t>
            </w:r>
          </w:p>
          <w:p>
            <w:pPr>
              <w:ind w:firstLine="480"/>
              <w:jc w:val="both"/>
            </w:pPr>
            <w:r>
              <w:rPr>
                <w:sz w:val="21"/>
              </w:rPr>
              <w:t>（</w:t>
            </w:r>
            <w:r>
              <w:rPr>
                <w:sz w:val="21"/>
              </w:rPr>
              <w:t>1</w:t>
            </w:r>
            <w:r>
              <w:rPr>
                <w:sz w:val="21"/>
              </w:rPr>
              <w:t>）</w:t>
            </w:r>
            <w:r>
              <w:rPr>
                <w:sz w:val="21"/>
              </w:rPr>
              <w:t>测试管理</w:t>
            </w:r>
          </w:p>
          <w:p>
            <w:pPr>
              <w:ind w:firstLine="480"/>
              <w:jc w:val="both"/>
            </w:pPr>
            <w:r>
              <w:rPr>
                <w:sz w:val="21"/>
              </w:rPr>
              <w:t>系统记录所有的测试用例以及用例的测试记录，方便测试管理和测试信息查；支持提供复制用例功能，轻松完成用例编写。测试过程中支持操作数据库，执行数据插入、删除、编辑等操作。</w:t>
            </w:r>
          </w:p>
          <w:p>
            <w:pPr>
              <w:ind w:firstLine="480"/>
              <w:jc w:val="both"/>
            </w:pPr>
            <w:r>
              <w:rPr>
                <w:sz w:val="21"/>
              </w:rPr>
              <w:t>（</w:t>
            </w:r>
            <w:r>
              <w:rPr>
                <w:sz w:val="21"/>
              </w:rPr>
              <w:t>2</w:t>
            </w:r>
            <w:r>
              <w:rPr>
                <w:sz w:val="21"/>
              </w:rPr>
              <w:t>）</w:t>
            </w:r>
            <w:r>
              <w:rPr>
                <w:sz w:val="21"/>
              </w:rPr>
              <w:t>测试计划</w:t>
            </w:r>
          </w:p>
          <w:p>
            <w:pPr>
              <w:ind w:firstLine="480"/>
              <w:jc w:val="both"/>
            </w:pPr>
            <w:r>
              <w:rPr>
                <w:sz w:val="21"/>
              </w:rPr>
              <w:t>提供设置定时器自动执行测试任务功能，实现周期性自动化测试；一键发起自动化测试并实时得到测试结果，极大的提高回归测试效率。测试结果将形成测试报告，以邮件形式将报告发送给指定人员邮箱，维护接口可用性。</w:t>
            </w:r>
          </w:p>
          <w:p>
            <w:pPr>
              <w:jc w:val="left"/>
            </w:pPr>
            <w:r>
              <w:rPr>
                <w:b/>
                <w:sz w:val="21"/>
              </w:rPr>
              <w:t>2.6接口发布</w:t>
            </w:r>
          </w:p>
          <w:p>
            <w:pPr>
              <w:ind w:firstLine="480"/>
              <w:jc w:val="both"/>
            </w:pPr>
            <w:r>
              <w:rPr>
                <w:sz w:val="21"/>
              </w:rPr>
              <w:t>接口发布提供了审核机制来保障接口的可用性，接口发布后由系统管理员来进行审核，审核通过的接口才能提供给开发者调用。</w:t>
            </w:r>
          </w:p>
          <w:p>
            <w:pPr>
              <w:jc w:val="left"/>
            </w:pPr>
            <w:r>
              <w:rPr>
                <w:b/>
                <w:sz w:val="21"/>
              </w:rPr>
              <w:t>2.7开发者管理</w:t>
            </w:r>
          </w:p>
          <w:p>
            <w:pPr>
              <w:ind w:firstLine="480"/>
              <w:jc w:val="both"/>
            </w:pPr>
            <w:r>
              <w:rPr>
                <w:sz w:val="21"/>
              </w:rPr>
              <w:t>2.7.1</w:t>
            </w:r>
            <w:r>
              <w:rPr>
                <w:sz w:val="21"/>
              </w:rPr>
              <w:t>开发者作为接口授权对象，系统提供开发者统一管理及授权接口管理功能。同时，平台为开发者提供开发者中心，帮助开发者及时获取已授权接口以及接口调用统计。</w:t>
            </w:r>
          </w:p>
          <w:p>
            <w:pPr>
              <w:ind w:firstLine="480"/>
              <w:jc w:val="both"/>
            </w:pPr>
            <w:r>
              <w:rPr>
                <w:sz w:val="21"/>
              </w:rPr>
              <w:t>2.7.2</w:t>
            </w:r>
            <w:r>
              <w:rPr>
                <w:sz w:val="21"/>
              </w:rPr>
              <w:t>开发者管理支持以下功能：</w:t>
            </w:r>
          </w:p>
          <w:p>
            <w:pPr>
              <w:ind w:firstLine="480"/>
              <w:jc w:val="both"/>
            </w:pPr>
            <w:r>
              <w:rPr>
                <w:sz w:val="21"/>
              </w:rPr>
              <w:t>（</w:t>
            </w:r>
            <w:r>
              <w:rPr>
                <w:sz w:val="21"/>
              </w:rPr>
              <w:t>1</w:t>
            </w:r>
            <w:r>
              <w:rPr>
                <w:sz w:val="21"/>
              </w:rPr>
              <w:t>）</w:t>
            </w:r>
            <w:r>
              <w:rPr>
                <w:sz w:val="21"/>
              </w:rPr>
              <w:t>开发者授权</w:t>
            </w:r>
          </w:p>
          <w:p>
            <w:pPr>
              <w:ind w:firstLine="480"/>
              <w:jc w:val="both"/>
            </w:pPr>
            <w:r>
              <w:rPr>
                <w:sz w:val="21"/>
              </w:rPr>
              <w:t xml:space="preserve"> </w:t>
            </w:r>
            <w:r>
              <w:rPr>
                <w:sz w:val="21"/>
              </w:rPr>
              <w:t>对开发者授权接口进行管理，针对已授权接口，开发者可通过</w:t>
            </w:r>
            <w:r>
              <w:rPr>
                <w:sz w:val="21"/>
              </w:rPr>
              <w:t>APPID及密钥进行接口调用。</w:t>
            </w:r>
          </w:p>
          <w:p>
            <w:pPr>
              <w:ind w:firstLine="480"/>
              <w:jc w:val="both"/>
            </w:pPr>
            <w:r>
              <w:rPr>
                <w:sz w:val="21"/>
              </w:rPr>
              <w:t>（</w:t>
            </w:r>
            <w:r>
              <w:rPr>
                <w:sz w:val="21"/>
              </w:rPr>
              <w:t>2</w:t>
            </w:r>
            <w:r>
              <w:rPr>
                <w:sz w:val="21"/>
              </w:rPr>
              <w:t>）</w:t>
            </w:r>
            <w:r>
              <w:rPr>
                <w:sz w:val="21"/>
              </w:rPr>
              <w:t>开发者中心</w:t>
            </w:r>
          </w:p>
          <w:p>
            <w:pPr>
              <w:ind w:firstLine="480"/>
              <w:jc w:val="both"/>
            </w:pPr>
            <w:r>
              <w:rPr>
                <w:sz w:val="21"/>
              </w:rPr>
              <w:t xml:space="preserve"> </w:t>
            </w:r>
            <w:r>
              <w:rPr>
                <w:sz w:val="21"/>
              </w:rPr>
              <w:t>开发者中心为开发者提供了查看授权接口、接口调用统计和登录日志三个模块。方便开发者掌握自己所能调用的接口详情、接口历史版本信息和接口调用信息。</w:t>
            </w:r>
          </w:p>
          <w:p>
            <w:pPr>
              <w:ind w:firstLine="480"/>
              <w:jc w:val="both"/>
            </w:pPr>
            <w:r>
              <w:rPr>
                <w:sz w:val="21"/>
              </w:rPr>
              <w:t>（</w:t>
            </w:r>
            <w:r>
              <w:rPr>
                <w:sz w:val="21"/>
              </w:rPr>
              <w:t>3</w:t>
            </w:r>
            <w:r>
              <w:rPr>
                <w:sz w:val="21"/>
              </w:rPr>
              <w:t>）</w:t>
            </w:r>
            <w:r>
              <w:rPr>
                <w:sz w:val="21"/>
              </w:rPr>
              <w:t>接口中心</w:t>
            </w:r>
          </w:p>
          <w:p>
            <w:pPr>
              <w:ind w:firstLine="480"/>
              <w:jc w:val="both"/>
            </w:pPr>
            <w:r>
              <w:rPr>
                <w:sz w:val="21"/>
              </w:rPr>
              <w:t>▲接口中心作为平台内已发布接口的集中展示平台，无需登录即可访问。接口中心提供按应用、标签和最新接口版本发布时间三种筛选方式，同支持最新、最热两种排序方式进行排序，用户可以快速找到所需接口并查看接口详情。（要求提供系统截图）</w:t>
            </w:r>
          </w:p>
          <w:p>
            <w:pPr>
              <w:ind w:firstLine="480"/>
              <w:jc w:val="both"/>
            </w:pPr>
            <w:r>
              <w:rPr>
                <w:sz w:val="21"/>
              </w:rPr>
              <w:t>针对开发者角色，登录接口中心后可直接查看已授权接口及接口相关参数，可通过获取接口参数配置信息直接调用接口。</w:t>
            </w:r>
          </w:p>
          <w:p>
            <w:pPr>
              <w:jc w:val="left"/>
            </w:pPr>
            <w:r>
              <w:rPr>
                <w:b/>
                <w:sz w:val="21"/>
              </w:rPr>
              <w:t>2.8运行监控</w:t>
            </w:r>
          </w:p>
          <w:p>
            <w:pPr>
              <w:ind w:firstLine="480"/>
              <w:jc w:val="both"/>
            </w:pPr>
            <w:r>
              <w:rPr>
                <w:sz w:val="21"/>
              </w:rPr>
              <w:t>2.8.1</w:t>
            </w:r>
            <w:r>
              <w:rPr>
                <w:sz w:val="21"/>
              </w:rPr>
              <w:t>系统提供预警管理模块来保障应用和接口的稳定运行；结合用户设置的预警规则，对应用的运行情况和接口的被调用情况进行实时监控。当触发用户所设置的阈值时，平台会及时发出警告，帮助用户及时感知异常故障，快速处理告警。</w:t>
            </w:r>
          </w:p>
          <w:p>
            <w:pPr>
              <w:ind w:firstLine="480"/>
              <w:jc w:val="both"/>
            </w:pPr>
            <w:r>
              <w:rPr>
                <w:sz w:val="21"/>
              </w:rPr>
              <w:t>2.8.2</w:t>
            </w:r>
            <w:r>
              <w:rPr>
                <w:sz w:val="21"/>
              </w:rPr>
              <w:t>运行监控支持以下功能：</w:t>
            </w:r>
          </w:p>
          <w:p>
            <w:pPr>
              <w:ind w:firstLine="480"/>
              <w:jc w:val="both"/>
            </w:pPr>
            <w:r>
              <w:rPr>
                <w:sz w:val="21"/>
              </w:rPr>
              <w:t>（</w:t>
            </w:r>
            <w:r>
              <w:rPr>
                <w:sz w:val="21"/>
              </w:rPr>
              <w:t>1</w:t>
            </w:r>
            <w:r>
              <w:rPr>
                <w:sz w:val="21"/>
              </w:rPr>
              <w:t>）</w:t>
            </w:r>
            <w:r>
              <w:rPr>
                <w:sz w:val="21"/>
              </w:rPr>
              <w:t>预警规则设置</w:t>
            </w:r>
          </w:p>
          <w:p>
            <w:pPr>
              <w:ind w:firstLine="480"/>
              <w:jc w:val="both"/>
            </w:pPr>
            <w:r>
              <w:rPr>
                <w:sz w:val="21"/>
              </w:rPr>
              <w:t>用户可根据具体业务需求自定义预警规则，当触发预警规则时，平台会自动发送告警。</w:t>
            </w:r>
          </w:p>
          <w:p>
            <w:pPr>
              <w:ind w:firstLine="480"/>
              <w:jc w:val="both"/>
            </w:pPr>
            <w:r>
              <w:rPr>
                <w:sz w:val="21"/>
              </w:rPr>
              <w:t>（</w:t>
            </w:r>
            <w:r>
              <w:rPr>
                <w:sz w:val="21"/>
              </w:rPr>
              <w:t>2</w:t>
            </w:r>
            <w:r>
              <w:rPr>
                <w:sz w:val="21"/>
              </w:rPr>
              <w:t>）</w:t>
            </w:r>
            <w:r>
              <w:rPr>
                <w:sz w:val="21"/>
              </w:rPr>
              <w:t>预警接收人设置</w:t>
            </w:r>
          </w:p>
          <w:p>
            <w:pPr>
              <w:ind w:firstLine="480"/>
              <w:jc w:val="both"/>
            </w:pPr>
            <w:r>
              <w:rPr>
                <w:sz w:val="21"/>
              </w:rPr>
              <w:t>支持自定义预警接收人，用户可选择需要接收到预警消息的角色，达到专人专责的效果。</w:t>
            </w:r>
          </w:p>
          <w:p>
            <w:pPr>
              <w:ind w:firstLine="480"/>
              <w:jc w:val="both"/>
            </w:pPr>
            <w:r>
              <w:rPr>
                <w:sz w:val="21"/>
              </w:rPr>
              <w:t>（</w:t>
            </w:r>
            <w:r>
              <w:rPr>
                <w:sz w:val="21"/>
              </w:rPr>
              <w:t>3</w:t>
            </w:r>
            <w:r>
              <w:rPr>
                <w:sz w:val="21"/>
              </w:rPr>
              <w:t>）</w:t>
            </w:r>
            <w:r>
              <w:rPr>
                <w:sz w:val="21"/>
              </w:rPr>
              <w:t>预警消息查看</w:t>
            </w:r>
          </w:p>
          <w:p>
            <w:pPr>
              <w:ind w:firstLine="480"/>
              <w:jc w:val="both"/>
            </w:pPr>
            <w:r>
              <w:rPr>
                <w:sz w:val="21"/>
              </w:rPr>
              <w:t>记录着所有的预警记录，用户可再此进行查看详情并进行问题追溯。</w:t>
            </w:r>
          </w:p>
          <w:p>
            <w:pPr>
              <w:jc w:val="left"/>
            </w:pPr>
            <w:r>
              <w:rPr>
                <w:b/>
                <w:sz w:val="21"/>
              </w:rPr>
              <w:t>2.9接口下架</w:t>
            </w:r>
          </w:p>
          <w:p>
            <w:pPr>
              <w:ind w:firstLine="480"/>
              <w:jc w:val="both"/>
            </w:pPr>
            <w:r>
              <w:rPr>
                <w:sz w:val="21"/>
              </w:rPr>
              <w:t>接口下架后，平台将停止被下架接口对外提供调用的能力。已下架接口可通过接口重新发布继续对外提供调用能力。</w:t>
            </w:r>
          </w:p>
          <w:p>
            <w:pPr>
              <w:jc w:val="left"/>
            </w:pPr>
            <w:r>
              <w:rPr>
                <w:b/>
                <w:sz w:val="21"/>
              </w:rPr>
              <w:t>2.10统计中心</w:t>
            </w:r>
          </w:p>
          <w:p>
            <w:pPr>
              <w:ind w:firstLine="480"/>
              <w:jc w:val="both"/>
            </w:pPr>
            <w:r>
              <w:rPr>
                <w:sz w:val="21"/>
              </w:rPr>
              <w:t>系统自动汇总应用和接口数据，通过实时、可视化的多维统计图表，从应用和接口的维度向用户清晰展示接口信息和使用情况，包括：应用运行情况、应用下接口调用详情、接口详情、接口调用详情、开发者调用详情等信息，以便用户了解接口动向。</w:t>
            </w:r>
          </w:p>
          <w:p>
            <w:pPr>
              <w:jc w:val="left"/>
            </w:pPr>
            <w:r>
              <w:rPr>
                <w:b/>
                <w:sz w:val="21"/>
              </w:rPr>
              <w:t>2.11系统日志</w:t>
            </w:r>
          </w:p>
          <w:p>
            <w:pPr>
              <w:ind w:firstLine="480"/>
              <w:jc w:val="both"/>
            </w:pPr>
            <w:r>
              <w:rPr>
                <w:sz w:val="21"/>
              </w:rPr>
              <w:t>提供平台内所有账号的登录日志和操作日志，通过全方位跟踪记录行为轨迹，帮助运维人员快速查找定位平台内的错误或异常记录，也可通过侦查平台异常登录，提前进行风险防护，保障平台持续、安全、稳定运行。</w:t>
            </w:r>
            <w:r>
              <w:br/>
            </w:r>
          </w:p>
          <w:p>
            <w:pPr>
              <w:jc w:val="left"/>
            </w:pPr>
            <w:r>
              <w:rPr>
                <w:b/>
                <w:sz w:val="21"/>
              </w:rPr>
              <w:t>（三）移动数据分析服务</w:t>
            </w:r>
          </w:p>
          <w:p>
            <w:pPr>
              <w:ind w:firstLine="480"/>
              <w:jc w:val="both"/>
            </w:pPr>
            <w:r>
              <w:rPr>
                <w:sz w:val="21"/>
              </w:rPr>
              <w:t>移动数据分析服务，要求基于学校现有的数据中心和移动校园平台，设计和实现移动数据分析服务，根据学校的实际管理情况和数据权限，将移动端的数据分析推送给对应的用户群体。所有分析指标需要根据学校的实际业务和数据关系，进行定制化设计与调整。</w:t>
            </w:r>
          </w:p>
          <w:p>
            <w:pPr>
              <w:jc w:val="both"/>
            </w:pPr>
            <w:r>
              <w:rPr>
                <w:b/>
                <w:sz w:val="21"/>
              </w:rPr>
              <w:t>3.1面向校领导主题移动数据统计分析</w:t>
            </w:r>
          </w:p>
          <w:p>
            <w:pPr>
              <w:ind w:firstLine="480"/>
              <w:jc w:val="both"/>
            </w:pPr>
            <w:r>
              <w:rPr>
                <w:sz w:val="21"/>
              </w:rPr>
              <w:t>通过对学校各校区，和各校区对应的各学院的综合数据分析，应在移动端直观展现各校区和各学院的核心数据，帮助用户分析出各校区、各学院的优势和劣势，进而做出改进。</w:t>
            </w:r>
          </w:p>
          <w:p>
            <w:pPr>
              <w:ind w:firstLine="480"/>
              <w:jc w:val="both"/>
            </w:pPr>
            <w:r>
              <w:rPr>
                <w:sz w:val="21"/>
              </w:rPr>
              <w:t>（</w:t>
            </w:r>
            <w:r>
              <w:rPr>
                <w:sz w:val="21"/>
              </w:rPr>
              <w:t>1）学校概况</w:t>
            </w:r>
          </w:p>
          <w:p>
            <w:pPr>
              <w:ind w:firstLine="480"/>
              <w:jc w:val="both"/>
            </w:pPr>
            <w:r>
              <w:rPr>
                <w:sz w:val="21"/>
              </w:rPr>
              <w:t>从专业数量、师资情况、学生总数、平台建设和固定资产进行分析，为学校展示核心数据，辅助学校建设工作。</w:t>
            </w:r>
          </w:p>
          <w:p>
            <w:pPr>
              <w:ind w:firstLine="480"/>
              <w:jc w:val="both"/>
            </w:pPr>
            <w:r>
              <w:rPr>
                <w:sz w:val="21"/>
              </w:rPr>
              <w:t>（</w:t>
            </w:r>
            <w:r>
              <w:rPr>
                <w:sz w:val="21"/>
              </w:rPr>
              <w:t>2）学院分析</w:t>
            </w:r>
          </w:p>
          <w:p>
            <w:pPr>
              <w:ind w:firstLine="480"/>
              <w:jc w:val="both"/>
            </w:pPr>
            <w:r>
              <w:rPr>
                <w:sz w:val="21"/>
              </w:rPr>
              <w:t>从不同学科对各院系分类汇总分析高层次人才、科研项目、学术论文、成果获奖、人才培养，方便学校对落后的院系做出相应的措施进行整改、调整，提高学校整体水平。</w:t>
            </w:r>
          </w:p>
          <w:p>
            <w:pPr>
              <w:ind w:firstLine="480"/>
              <w:jc w:val="both"/>
            </w:pPr>
            <w:r>
              <w:rPr>
                <w:sz w:val="21"/>
              </w:rPr>
              <w:t>（</w:t>
            </w:r>
            <w:r>
              <w:rPr>
                <w:sz w:val="21"/>
              </w:rPr>
              <w:t>3）师资队伍</w:t>
            </w:r>
          </w:p>
          <w:p>
            <w:pPr>
              <w:ind w:firstLine="480"/>
              <w:jc w:val="both"/>
            </w:pPr>
            <w:r>
              <w:rPr>
                <w:sz w:val="21"/>
              </w:rPr>
              <w:t>从人员概况、高层次人才、专任教师、教辅人员进行分析，展示学院师资建设情况。</w:t>
            </w:r>
          </w:p>
          <w:p>
            <w:pPr>
              <w:ind w:firstLine="480"/>
              <w:jc w:val="both"/>
            </w:pPr>
            <w:r>
              <w:rPr>
                <w:sz w:val="21"/>
              </w:rPr>
              <w:t>（</w:t>
            </w:r>
            <w:r>
              <w:rPr>
                <w:sz w:val="21"/>
              </w:rPr>
              <w:t>4）人才培养</w:t>
            </w:r>
          </w:p>
          <w:p>
            <w:pPr>
              <w:ind w:firstLine="480"/>
              <w:jc w:val="both"/>
            </w:pPr>
            <w:r>
              <w:rPr>
                <w:sz w:val="21"/>
              </w:rPr>
              <w:t>从本科生、研究生、留学生、人才质量进行分析，展示学校学生情况。</w:t>
            </w:r>
          </w:p>
          <w:p>
            <w:pPr>
              <w:ind w:firstLine="480"/>
              <w:jc w:val="both"/>
            </w:pPr>
            <w:r>
              <w:rPr>
                <w:sz w:val="21"/>
              </w:rPr>
              <w:t>（</w:t>
            </w:r>
            <w:r>
              <w:rPr>
                <w:sz w:val="21"/>
              </w:rPr>
              <w:t>5）教育教学</w:t>
            </w:r>
          </w:p>
          <w:p>
            <w:pPr>
              <w:ind w:firstLine="480"/>
              <w:jc w:val="both"/>
            </w:pPr>
            <w:r>
              <w:rPr>
                <w:sz w:val="21"/>
              </w:rPr>
              <w:t>从课程情况、教师授课、教授授课、教学成果进行分析，展示学院教育教学情况。</w:t>
            </w:r>
          </w:p>
          <w:p>
            <w:pPr>
              <w:jc w:val="both"/>
            </w:pPr>
            <w:r>
              <w:rPr>
                <w:b/>
                <w:sz w:val="21"/>
              </w:rPr>
              <w:t>3.2面向</w:t>
            </w:r>
            <w:r>
              <w:rPr>
                <w:b/>
                <w:sz w:val="21"/>
              </w:rPr>
              <w:t>业务</w:t>
            </w:r>
            <w:r>
              <w:rPr>
                <w:b/>
                <w:sz w:val="21"/>
              </w:rPr>
              <w:t>部门主题移动数据统计分析</w:t>
            </w:r>
          </w:p>
          <w:p>
            <w:pPr>
              <w:ind w:firstLine="480"/>
              <w:jc w:val="both"/>
            </w:pPr>
            <w:r>
              <w:rPr>
                <w:sz w:val="21"/>
              </w:rPr>
              <w:t>3.2.1</w:t>
            </w:r>
            <w:r>
              <w:rPr>
                <w:sz w:val="21"/>
              </w:rPr>
              <w:t>在移动端，通过对学校各部门的综合数据分析，要求在手机端界面友好地呈现各部门的核心数据，展示部门数据分析。</w:t>
            </w:r>
          </w:p>
          <w:p>
            <w:pPr>
              <w:ind w:firstLine="480"/>
              <w:jc w:val="both"/>
            </w:pPr>
            <w:r>
              <w:rPr>
                <w:sz w:val="21"/>
              </w:rPr>
              <w:t>（</w:t>
            </w:r>
            <w:r>
              <w:rPr>
                <w:sz w:val="21"/>
              </w:rPr>
              <w:t>1）科研部门</w:t>
            </w:r>
          </w:p>
          <w:p>
            <w:pPr>
              <w:ind w:firstLine="480"/>
              <w:jc w:val="both"/>
            </w:pPr>
            <w:r>
              <w:rPr>
                <w:sz w:val="21"/>
              </w:rPr>
              <w:t>▲科研队伍专项分析和科研项目管理，服务于科研工作的管理分析。</w:t>
            </w:r>
            <w:r>
              <w:rPr>
                <w:b/>
                <w:sz w:val="21"/>
              </w:rPr>
              <w:t>（要求提供系统截图）</w:t>
            </w:r>
          </w:p>
          <w:p>
            <w:pPr>
              <w:ind w:firstLine="480"/>
              <w:jc w:val="both"/>
            </w:pPr>
            <w:r>
              <w:rPr>
                <w:sz w:val="21"/>
              </w:rPr>
              <w:t>（</w:t>
            </w:r>
            <w:r>
              <w:rPr>
                <w:sz w:val="21"/>
              </w:rPr>
              <w:t>2）人事部门</w:t>
            </w:r>
          </w:p>
          <w:p>
            <w:pPr>
              <w:ind w:firstLine="480"/>
              <w:jc w:val="both"/>
            </w:pPr>
            <w:r>
              <w:rPr>
                <w:sz w:val="21"/>
              </w:rPr>
              <w:t>高层次人才引进分析（效能分析、情况分析）和教职工能力发展（教师综合能力分析、职称评定、进修培养），服务于人力资源工作的管理分析。</w:t>
            </w:r>
          </w:p>
          <w:p>
            <w:pPr>
              <w:ind w:firstLine="480"/>
              <w:jc w:val="both"/>
            </w:pPr>
            <w:r>
              <w:rPr>
                <w:sz w:val="21"/>
              </w:rPr>
              <w:t>（</w:t>
            </w:r>
            <w:r>
              <w:rPr>
                <w:sz w:val="21"/>
              </w:rPr>
              <w:t>3）学工部门</w:t>
            </w:r>
          </w:p>
          <w:p>
            <w:pPr>
              <w:ind w:firstLine="480"/>
              <w:jc w:val="both"/>
            </w:pPr>
            <w:r>
              <w:rPr>
                <w:sz w:val="21"/>
              </w:rPr>
              <w:t>学生分析（群体分析和个人分析）、招生生源（新生概况、招生计划决策、招生宣传）、学业预警（学业预警总览、教学质量评估、教学计划制定）等内容，服务于学生工作管理分析。</w:t>
            </w:r>
          </w:p>
          <w:p>
            <w:pPr>
              <w:ind w:firstLine="480"/>
              <w:jc w:val="both"/>
            </w:pPr>
            <w:r>
              <w:rPr>
                <w:sz w:val="21"/>
              </w:rPr>
              <w:t>（</w:t>
            </w:r>
            <w:r>
              <w:rPr>
                <w:sz w:val="21"/>
              </w:rPr>
              <w:t>4）党建部门</w:t>
            </w:r>
          </w:p>
          <w:p>
            <w:pPr>
              <w:ind w:firstLine="480"/>
              <w:jc w:val="both"/>
            </w:pPr>
            <w:r>
              <w:rPr>
                <w:sz w:val="21"/>
              </w:rPr>
              <w:t>分析教职工党员情况、学生党员情况、基层党组织情况，服务于高校党建工作的管理分析。</w:t>
            </w:r>
          </w:p>
          <w:p>
            <w:pPr>
              <w:ind w:firstLine="480"/>
              <w:jc w:val="both"/>
            </w:pPr>
            <w:r>
              <w:rPr>
                <w:sz w:val="21"/>
              </w:rPr>
              <w:t>（</w:t>
            </w:r>
            <w:r>
              <w:rPr>
                <w:sz w:val="21"/>
              </w:rPr>
              <w:t>5）后勤部门</w:t>
            </w:r>
          </w:p>
          <w:p>
            <w:pPr>
              <w:ind w:firstLine="480"/>
              <w:jc w:val="both"/>
            </w:pPr>
            <w:r>
              <w:rPr>
                <w:sz w:val="21"/>
              </w:rPr>
              <w:t>一卡通管理分析（卡务、设备）、能耗管理分析（学校用电、学校用水、建筑物能耗情况、校园能耗）、宿舍管理分析（宿舍分配、财产与安全、宿舍服务），服务于高校后勤管理的各方面，帮助管理分析的工作提升。</w:t>
            </w:r>
          </w:p>
          <w:p>
            <w:pPr>
              <w:ind w:firstLine="480"/>
              <w:jc w:val="both"/>
            </w:pPr>
            <w:r>
              <w:rPr>
                <w:sz w:val="21"/>
              </w:rPr>
              <w:t>（</w:t>
            </w:r>
            <w:r>
              <w:rPr>
                <w:sz w:val="21"/>
              </w:rPr>
              <w:t>6）资产部门</w:t>
            </w:r>
          </w:p>
          <w:p>
            <w:pPr>
              <w:ind w:firstLine="480"/>
              <w:jc w:val="both"/>
            </w:pPr>
            <w:r>
              <w:rPr>
                <w:sz w:val="21"/>
              </w:rPr>
              <w:t>▲从资产保障能力、资产运行水平进行资产设备的管理分析。</w:t>
            </w:r>
            <w:r>
              <w:rPr>
                <w:b/>
                <w:sz w:val="21"/>
              </w:rPr>
              <w:t>（要求提供系统截图）</w:t>
            </w:r>
          </w:p>
          <w:p>
            <w:pPr>
              <w:ind w:firstLine="480"/>
              <w:jc w:val="both"/>
            </w:pPr>
            <w:r>
              <w:rPr>
                <w:sz w:val="21"/>
              </w:rPr>
              <w:t>（</w:t>
            </w:r>
            <w:r>
              <w:rPr>
                <w:sz w:val="21"/>
              </w:rPr>
              <w:t>7）图书馆</w:t>
            </w:r>
          </w:p>
          <w:p>
            <w:pPr>
              <w:ind w:firstLine="480"/>
              <w:jc w:val="both"/>
            </w:pPr>
            <w:r>
              <w:rPr>
                <w:sz w:val="21"/>
              </w:rPr>
              <w:t>从图书馆管理、热门图书资源分析、图书借阅分析分析进行高校图书管理分析。</w:t>
            </w:r>
          </w:p>
          <w:p>
            <w:pPr>
              <w:jc w:val="both"/>
            </w:pPr>
            <w:r>
              <w:rPr>
                <w:b/>
                <w:sz w:val="21"/>
              </w:rPr>
              <w:t>3.3面向教学主题移动数据统计分析</w:t>
            </w:r>
          </w:p>
          <w:p>
            <w:pPr>
              <w:ind w:firstLine="480"/>
              <w:jc w:val="both"/>
            </w:pPr>
            <w:r>
              <w:rPr>
                <w:sz w:val="21"/>
              </w:rPr>
              <w:t>3.3.1</w:t>
            </w:r>
            <w:r>
              <w:rPr>
                <w:sz w:val="21"/>
              </w:rPr>
              <w:t>在移动端展示学校教学情况，主要包含学科分析、教育教学分析、人才需求分析。</w:t>
            </w:r>
          </w:p>
          <w:p>
            <w:pPr>
              <w:ind w:firstLine="480"/>
              <w:jc w:val="both"/>
            </w:pPr>
            <w:r>
              <w:rPr>
                <w:sz w:val="21"/>
              </w:rPr>
              <w:t>（</w:t>
            </w:r>
            <w:r>
              <w:rPr>
                <w:sz w:val="21"/>
              </w:rPr>
              <w:t>1）学科分析</w:t>
            </w:r>
          </w:p>
          <w:p>
            <w:pPr>
              <w:ind w:firstLine="480"/>
              <w:jc w:val="both"/>
            </w:pPr>
            <w:r>
              <w:rPr>
                <w:sz w:val="21"/>
              </w:rPr>
              <w:t>首先将各学科门类进行汇总分析，按高层次人才、科研项目、学术论文、成果获奖，人才培养等维度展开。其次，要求支持汇总分析的向下钻取，分析各个学科门类下各个一级学科整体情况。</w:t>
            </w:r>
          </w:p>
          <w:p>
            <w:pPr>
              <w:ind w:firstLine="480"/>
              <w:jc w:val="both"/>
            </w:pPr>
            <w:r>
              <w:rPr>
                <w:sz w:val="21"/>
              </w:rPr>
              <w:t>（</w:t>
            </w:r>
            <w:r>
              <w:rPr>
                <w:sz w:val="21"/>
              </w:rPr>
              <w:t>2）教育教学分析</w:t>
            </w:r>
          </w:p>
          <w:p>
            <w:pPr>
              <w:ind w:firstLine="480"/>
              <w:jc w:val="both"/>
            </w:pPr>
            <w:r>
              <w:rPr>
                <w:sz w:val="21"/>
              </w:rPr>
              <w:t>结合学校的教学主题数据，从课程情况、教师授课、教授授课、教学成果进行分析，展示学院教育教学情况。</w:t>
            </w:r>
          </w:p>
          <w:p>
            <w:pPr>
              <w:ind w:firstLine="480"/>
              <w:jc w:val="both"/>
            </w:pPr>
            <w:r>
              <w:rPr>
                <w:sz w:val="21"/>
              </w:rPr>
              <w:t>（</w:t>
            </w:r>
            <w:r>
              <w:rPr>
                <w:sz w:val="21"/>
              </w:rPr>
              <w:t>3）人才需求分析</w:t>
            </w:r>
          </w:p>
          <w:p>
            <w:pPr>
              <w:ind w:firstLine="480"/>
              <w:jc w:val="both"/>
            </w:pPr>
            <w:r>
              <w:rPr>
                <w:sz w:val="21"/>
              </w:rPr>
              <w:t>根据学校的教学工作管理业务，实现教师队伍结构概览、教师离退休分析、教师人力资源评估。</w:t>
            </w:r>
          </w:p>
          <w:p>
            <w:pPr>
              <w:jc w:val="both"/>
            </w:pPr>
            <w:r>
              <w:rPr>
                <w:b/>
                <w:sz w:val="21"/>
              </w:rPr>
              <w:t>（四）人事主题业务分析</w:t>
            </w:r>
          </w:p>
          <w:p>
            <w:pPr>
              <w:ind w:firstLine="480"/>
              <w:jc w:val="both"/>
            </w:pPr>
            <w:r>
              <w:rPr>
                <w:sz w:val="21"/>
              </w:rPr>
              <w:t>以数据中心人事主题业务数据为核心，以人事管理与教师培养工作为指引，以大数据分析技术为驱动，实现人事主题业务的数据分析服务建设。要求围绕学校的分析诉求，提供学校人事综合数据专题分析服务。</w:t>
            </w:r>
          </w:p>
          <w:p>
            <w:pPr>
              <w:jc w:val="both"/>
            </w:pPr>
            <w:r>
              <w:rPr>
                <w:b/>
                <w:sz w:val="21"/>
              </w:rPr>
              <w:t>1.教职工能力发展分析</w:t>
            </w:r>
          </w:p>
          <w:p>
            <w:pPr>
              <w:ind w:firstLine="480"/>
              <w:jc w:val="both"/>
            </w:pPr>
            <w:r>
              <w:rPr>
                <w:sz w:val="21"/>
              </w:rPr>
              <w:t>（</w:t>
            </w:r>
            <w:r>
              <w:rPr>
                <w:sz w:val="21"/>
              </w:rPr>
              <w:t>1）教师综合能力分析</w:t>
            </w:r>
          </w:p>
          <w:p>
            <w:pPr>
              <w:ind w:firstLine="480"/>
              <w:jc w:val="both"/>
            </w:pPr>
            <w:r>
              <w:rPr>
                <w:sz w:val="21"/>
              </w:rPr>
              <w:t>通过在职进修情况分析，校外进修单位类型分析，教师个人综合能力评分排名，校本师资队伍培训分析，近五年学位学历进修情况，企事业单位实践概况，培训证书获取情况等多方位对教师综合能力进行分析。建立以全方位人才评价导向，注重评价教师的综合能力。为学校考核评价教师提供充足依据。</w:t>
            </w:r>
          </w:p>
          <w:p>
            <w:pPr>
              <w:ind w:firstLine="480"/>
              <w:jc w:val="both"/>
            </w:pPr>
            <w:r>
              <w:rPr>
                <w:sz w:val="21"/>
              </w:rPr>
              <w:t>（</w:t>
            </w:r>
            <w:r>
              <w:rPr>
                <w:sz w:val="21"/>
              </w:rPr>
              <w:t>2）职称评定</w:t>
            </w:r>
          </w:p>
          <w:p>
            <w:pPr>
              <w:ind w:firstLine="480"/>
              <w:jc w:val="both"/>
            </w:pPr>
            <w:r>
              <w:rPr>
                <w:sz w:val="21"/>
              </w:rPr>
              <w:t>从职称晋升人数，新晋教授，新晋副教授，新晋讲师，新晋助教了解概况。通过职称申报积极性分析，职称申报名单，新晋人才能力素质分析，新晋人才性别结构，新晋人才职称结构，新晋人才年龄、学位结构等对职称评定进行多方位分析</w:t>
            </w:r>
            <w:r>
              <w:rPr>
                <w:sz w:val="21"/>
              </w:rPr>
              <w:t>,从各个方面把握学校教职工职称情况，为高校创新岗位类型，健全层级设置，引导教职工晋升和提升教职工工作积极性提供分析洞察。</w:t>
            </w:r>
          </w:p>
          <w:p>
            <w:pPr>
              <w:ind w:firstLine="480"/>
              <w:jc w:val="both"/>
            </w:pPr>
            <w:r>
              <w:rPr>
                <w:sz w:val="21"/>
              </w:rPr>
              <w:t>（</w:t>
            </w:r>
            <w:r>
              <w:rPr>
                <w:sz w:val="21"/>
              </w:rPr>
              <w:t>3）进修培养</w:t>
            </w:r>
          </w:p>
          <w:p>
            <w:pPr>
              <w:ind w:firstLine="480"/>
              <w:jc w:val="both"/>
            </w:pPr>
            <w:r>
              <w:rPr>
                <w:sz w:val="21"/>
              </w:rPr>
              <w:t>从培养教育总人数，攻读学位人数，非学位学历进修培训人数，教师发展自主性分析，教师进修偏好分析了解概况。通过教师培养资助分析，进修培训人员的职务晋升情况分析，培训人员的培训成果分析等对进修培养进行多方位分析</w:t>
            </w:r>
            <w:r>
              <w:rPr>
                <w:sz w:val="21"/>
              </w:rPr>
              <w:t>,全方位把握学校人才教师进修培养情况，为高校对教师激励，提升教师职业能力，协调分配进修资源，引导教师职业发展提供参考。</w:t>
            </w:r>
          </w:p>
          <w:p>
            <w:pPr>
              <w:jc w:val="both"/>
            </w:pPr>
            <w:r>
              <w:rPr>
                <w:b/>
                <w:sz w:val="21"/>
              </w:rPr>
              <w:t>2.高层次人才引进分析</w:t>
            </w:r>
          </w:p>
          <w:p>
            <w:pPr>
              <w:ind w:firstLine="480"/>
              <w:jc w:val="both"/>
            </w:pPr>
            <w:r>
              <w:rPr>
                <w:sz w:val="21"/>
              </w:rPr>
              <w:t>（</w:t>
            </w:r>
            <w:r>
              <w:rPr>
                <w:sz w:val="21"/>
              </w:rPr>
              <w:t>1）高层次人才引进情况分析</w:t>
            </w:r>
          </w:p>
          <w:p>
            <w:pPr>
              <w:ind w:firstLine="480"/>
              <w:jc w:val="both"/>
            </w:pPr>
            <w:r>
              <w:rPr>
                <w:sz w:val="21"/>
              </w:rPr>
              <w:t>从高层次人才队伍总数，海外人才引进人数，国家级人才计划引进人数，省级人才计划引进人数，校级人才计划引进人数概览高层次人才引进数量，通过对人才引进趋势分析，各单位人才引进统计，高校人才吸引力辐射范围分析，高层次人才名录，高层次人才年龄</w:t>
            </w:r>
            <w:r>
              <w:rPr>
                <w:sz w:val="21"/>
              </w:rPr>
              <w:t>&amp;职称结构，高层次人才学科分布，创新创业均衡性分析等多方位对高层次人才引进情况进行分析。全面把握高校发展阶段性目标和人才需求状况，根据高校对人才的需求精准引进人才；对人才进行针对性、有效地统计分析，使人才引进与高校发展和实际科研需求相匹配。</w:t>
            </w:r>
          </w:p>
          <w:p>
            <w:pPr>
              <w:ind w:firstLine="480"/>
              <w:jc w:val="both"/>
            </w:pPr>
            <w:r>
              <w:rPr>
                <w:sz w:val="21"/>
              </w:rPr>
              <w:t>（</w:t>
            </w:r>
            <w:r>
              <w:rPr>
                <w:sz w:val="21"/>
              </w:rPr>
              <w:t>2）高层次人才引进效能分析</w:t>
            </w:r>
          </w:p>
          <w:p>
            <w:pPr>
              <w:ind w:firstLine="480"/>
              <w:jc w:val="both"/>
            </w:pPr>
            <w:r>
              <w:rPr>
                <w:sz w:val="21"/>
              </w:rPr>
              <w:t>通过对人才引进直接总成本，科研启动经费，人才生活保障成本，近年人才直接引进投入成本趋势分析，人才引进学科投入分布</w:t>
            </w:r>
            <w:r>
              <w:rPr>
                <w:sz w:val="21"/>
              </w:rPr>
              <w:t>,各类人才的产出直接经济效益，高层次人才承担项目到账资金分析，高层次人才科技成果转化收益分析，各类人才的专项产出情况分析，各类人才承担科研项目数占比分析，高投入低产出人才预警名单等多方位对高层次人才引进情况进行分析。量化评估人才对高校的实际贡献。为高校引进人才方向提供参考，把握引进人才的成本，提高人才效益，减少高校管理成本高、降低人才考核难度，</w:t>
            </w:r>
          </w:p>
          <w:p>
            <w:pPr>
              <w:jc w:val="both"/>
            </w:pPr>
            <w:r>
              <w:rPr>
                <w:b/>
                <w:sz w:val="21"/>
              </w:rPr>
              <w:t>（五）数据分析指标梳理服务</w:t>
            </w:r>
          </w:p>
          <w:p>
            <w:pPr>
              <w:ind w:firstLine="480"/>
              <w:jc w:val="both"/>
            </w:pPr>
            <w:r>
              <w:rPr>
                <w:sz w:val="21"/>
              </w:rPr>
              <w:t>1.</w:t>
            </w:r>
            <w:r>
              <w:rPr>
                <w:sz w:val="21"/>
              </w:rPr>
              <w:t>数据分析指标梳理服务在数据分析项目中有着重要作用，要求以科学的指标梳理规范，明确分析指标与职能业务和业务数据的关联性，明确指标与职能部门业务之间的归属关系。并且从宏观上对数据来源和原子指标进行体系化的梳理，避免各个业务部门指标统计口径不一的情况。以专业的分析指标梳理服务保障数据分析准性。</w:t>
            </w:r>
          </w:p>
          <w:p>
            <w:pPr>
              <w:ind w:firstLine="480"/>
              <w:jc w:val="both"/>
            </w:pPr>
            <w:r>
              <w:rPr>
                <w:sz w:val="21"/>
              </w:rPr>
              <w:t>2.</w:t>
            </w:r>
            <w:r>
              <w:rPr>
                <w:sz w:val="21"/>
              </w:rPr>
              <w:t>▲数据分析指标梳理应当至少覆盖业务调研、指标梳理、原型设计、页面设计和页面定制开发等环节，所有环节均要求提供规范化实施服务，提供盖章承诺函。</w:t>
            </w:r>
          </w:p>
          <w:p>
            <w:pPr>
              <w:jc w:val="both"/>
            </w:pPr>
          </w:p>
          <w:p>
            <w:pPr>
              <w:jc w:val="both"/>
            </w:pPr>
            <w:r>
              <w:rPr>
                <w:b/>
                <w:sz w:val="21"/>
              </w:rPr>
              <w:t>二、项目实施需求</w:t>
            </w:r>
          </w:p>
          <w:p>
            <w:pPr>
              <w:jc w:val="both"/>
            </w:pPr>
            <w:r>
              <w:rPr>
                <w:b/>
                <w:sz w:val="21"/>
              </w:rPr>
              <w:t>（一）项目人员配置</w:t>
            </w:r>
          </w:p>
          <w:p>
            <w:pPr>
              <w:ind w:firstLine="480"/>
              <w:jc w:val="both"/>
            </w:pPr>
            <w:r>
              <w:rPr>
                <w:sz w:val="21"/>
              </w:rPr>
              <w:t>1.</w:t>
            </w:r>
            <w:r>
              <w:rPr>
                <w:sz w:val="21"/>
              </w:rPr>
              <w:t>投标人必须成立合理的组织机构，建立健全保障项目顺利实施的各项管理制度和质量保证体系，安排好足够的高素质人才参加本项目的建设；在项目机构中应明确各岗位的职责、任职资格及成果，确保工程顺利实施。根据工作的业务性质，应配备有优势的项目经理、技术总监等人员承担本项目工作。</w:t>
            </w:r>
          </w:p>
          <w:p>
            <w:pPr>
              <w:ind w:firstLine="480"/>
              <w:jc w:val="both"/>
            </w:pPr>
            <w:r>
              <w:rPr>
                <w:sz w:val="21"/>
              </w:rPr>
              <w:t>2.</w:t>
            </w:r>
            <w:r>
              <w:rPr>
                <w:sz w:val="21"/>
              </w:rPr>
              <w:t>项目组人员必须具有类似职责的集成、开发经验，能够与用户进行良好的沟通，并掌握数据治理领域的相关基础知识。</w:t>
            </w:r>
          </w:p>
          <w:p>
            <w:pPr>
              <w:ind w:firstLine="480"/>
              <w:jc w:val="both"/>
            </w:pPr>
            <w:r>
              <w:rPr>
                <w:sz w:val="21"/>
              </w:rPr>
              <w:t>3.</w:t>
            </w:r>
            <w:r>
              <w:rPr>
                <w:sz w:val="21"/>
              </w:rPr>
              <w:t>参与此项目的技术人员必须具有强烈的服务意识和高度的责任感。</w:t>
            </w:r>
          </w:p>
          <w:p>
            <w:pPr>
              <w:ind w:firstLine="480"/>
              <w:jc w:val="both"/>
            </w:pPr>
            <w:r>
              <w:rPr>
                <w:sz w:val="21"/>
              </w:rPr>
              <w:t>4.</w:t>
            </w:r>
            <w:r>
              <w:rPr>
                <w:sz w:val="21"/>
              </w:rPr>
              <w:t>对上述安排投标人应在实施方案中详细描述，包括项目组成员名单、本项目工作职位、专业方向、工作、项目履历和在本项目中的职责分工。</w:t>
            </w:r>
          </w:p>
          <w:p>
            <w:pPr>
              <w:ind w:firstLine="480"/>
              <w:jc w:val="both"/>
            </w:pPr>
            <w:r>
              <w:rPr>
                <w:sz w:val="21"/>
              </w:rPr>
              <w:t>5.</w:t>
            </w:r>
            <w:r>
              <w:rPr>
                <w:sz w:val="21"/>
              </w:rPr>
              <w:t>中标人在项目实施中应具备高素质的建设开发团队且由高级项目经理带队不少于</w:t>
            </w:r>
            <w:r>
              <w:rPr>
                <w:sz w:val="21"/>
              </w:rPr>
              <w:t>2名人员长期驻场实施至项目验收，主要负责人如需更换，需要征得项目管理委员会的书面同意。</w:t>
            </w:r>
          </w:p>
          <w:p>
            <w:pPr>
              <w:ind w:firstLine="480"/>
              <w:jc w:val="both"/>
            </w:pPr>
            <w:r>
              <w:rPr>
                <w:sz w:val="21"/>
              </w:rPr>
              <w:t>6.</w:t>
            </w:r>
            <w:r>
              <w:rPr>
                <w:sz w:val="21"/>
              </w:rPr>
              <w:t>在建设期内，项目管理负责人应在接到学校通知</w:t>
            </w:r>
            <w:r>
              <w:rPr>
                <w:sz w:val="21"/>
              </w:rPr>
              <w:t>2小时内响应处理问题或交流情况。</w:t>
            </w:r>
          </w:p>
          <w:p>
            <w:pPr>
              <w:jc w:val="both"/>
            </w:pPr>
            <w:r>
              <w:rPr>
                <w:b/>
                <w:sz w:val="21"/>
              </w:rPr>
              <w:t>（二）项目实施前期准备与要求</w:t>
            </w:r>
          </w:p>
          <w:p>
            <w:pPr>
              <w:ind w:firstLine="480"/>
              <w:jc w:val="both"/>
            </w:pPr>
            <w:r>
              <w:rPr>
                <w:sz w:val="21"/>
              </w:rPr>
              <w:t>(1)启动会议前期准备</w:t>
            </w:r>
          </w:p>
          <w:p>
            <w:pPr>
              <w:ind w:firstLine="480"/>
              <w:jc w:val="both"/>
            </w:pPr>
            <w:r>
              <w:rPr>
                <w:sz w:val="21"/>
              </w:rPr>
              <w:t>数据治理的会议建议先与信息中心内部召开，与信息中心或网络中心碰头讨论后再召开各个业务部门会，而后续与业务部门会议主要确定任务职责。</w:t>
            </w:r>
          </w:p>
          <w:p>
            <w:pPr>
              <w:ind w:firstLine="480"/>
              <w:jc w:val="both"/>
            </w:pPr>
            <w:r>
              <w:rPr>
                <w:sz w:val="21"/>
              </w:rPr>
              <w:t>(2)需求调研的重要性</w:t>
            </w:r>
          </w:p>
          <w:p>
            <w:pPr>
              <w:ind w:firstLine="480"/>
              <w:jc w:val="both"/>
            </w:pPr>
            <w:r>
              <w:rPr>
                <w:sz w:val="21"/>
              </w:rPr>
              <w:t>需求调研是项目工作中最前端的工作</w:t>
            </w:r>
            <w:r>
              <w:rPr>
                <w:sz w:val="21"/>
              </w:rPr>
              <w:t>, 需求调研分析具有决策性、方向性、策略性的作用，在项目实施过程中具有举足轻重的地位。</w:t>
            </w:r>
          </w:p>
          <w:p>
            <w:pPr>
              <w:ind w:firstLine="480"/>
              <w:jc w:val="both"/>
            </w:pPr>
            <w:r>
              <w:rPr>
                <w:sz w:val="21"/>
              </w:rPr>
              <w:t>(3)需求调研采取的策略</w:t>
            </w:r>
          </w:p>
          <w:p>
            <w:pPr>
              <w:ind w:firstLine="480"/>
              <w:jc w:val="both"/>
            </w:pPr>
            <w:r>
              <w:rPr>
                <w:sz w:val="21"/>
              </w:rPr>
              <w:t>综合以上各方面的特征，用户需求具有一定的特征，做好需求调研和定期的沟通交流是项目实施过程中必进阶段，如下：</w:t>
            </w:r>
          </w:p>
          <w:p>
            <w:pPr>
              <w:ind w:firstLine="480"/>
              <w:jc w:val="both"/>
            </w:pPr>
            <w:r>
              <w:rPr>
                <w:sz w:val="21"/>
              </w:rPr>
              <w:t>第</w:t>
            </w:r>
            <w:r>
              <w:rPr>
                <w:sz w:val="21"/>
              </w:rPr>
              <w:t>1步是理顺组织架构及沟通流程；</w:t>
            </w:r>
          </w:p>
          <w:p>
            <w:pPr>
              <w:ind w:firstLine="480"/>
              <w:jc w:val="both"/>
            </w:pPr>
            <w:r>
              <w:rPr>
                <w:sz w:val="21"/>
              </w:rPr>
              <w:t>第</w:t>
            </w:r>
            <w:r>
              <w:rPr>
                <w:sz w:val="21"/>
              </w:rPr>
              <w:t>2步是确定需求调研计划；</w:t>
            </w:r>
          </w:p>
          <w:p>
            <w:pPr>
              <w:ind w:firstLine="480"/>
              <w:jc w:val="both"/>
            </w:pPr>
            <w:r>
              <w:rPr>
                <w:sz w:val="21"/>
              </w:rPr>
              <w:t>第</w:t>
            </w:r>
            <w:r>
              <w:rPr>
                <w:sz w:val="21"/>
              </w:rPr>
              <w:t>3步是形成良好调研过程文档。</w:t>
            </w:r>
          </w:p>
          <w:p>
            <w:pPr>
              <w:jc w:val="both"/>
            </w:pPr>
            <w:r>
              <w:rPr>
                <w:b/>
                <w:sz w:val="21"/>
              </w:rPr>
              <w:t>（三）实施步骤要求</w:t>
            </w:r>
          </w:p>
          <w:p>
            <w:pPr>
              <w:ind w:firstLine="480"/>
              <w:jc w:val="both"/>
            </w:pPr>
            <w:r>
              <w:rPr>
                <w:sz w:val="21"/>
              </w:rPr>
              <w:t>（</w:t>
            </w:r>
            <w:r>
              <w:rPr>
                <w:sz w:val="21"/>
              </w:rPr>
              <w:t>1）核对合同要求内容，确认系统版本及项目功能确认，并召开启动会；</w:t>
            </w:r>
          </w:p>
          <w:p>
            <w:pPr>
              <w:ind w:firstLine="480"/>
              <w:jc w:val="both"/>
            </w:pPr>
            <w:r>
              <w:rPr>
                <w:sz w:val="21"/>
              </w:rPr>
              <w:t>（</w:t>
            </w:r>
            <w:r>
              <w:rPr>
                <w:sz w:val="21"/>
              </w:rPr>
              <w:t>2）申请版本；</w:t>
            </w:r>
          </w:p>
          <w:p>
            <w:pPr>
              <w:ind w:firstLine="480"/>
              <w:jc w:val="both"/>
            </w:pPr>
            <w:r>
              <w:rPr>
                <w:sz w:val="21"/>
              </w:rPr>
              <w:t>（</w:t>
            </w:r>
            <w:r>
              <w:rPr>
                <w:sz w:val="21"/>
              </w:rPr>
              <w:t>3）数据治理项目安装部署（具体参考系统部署手册）；</w:t>
            </w:r>
          </w:p>
          <w:p>
            <w:pPr>
              <w:ind w:firstLine="480"/>
              <w:jc w:val="both"/>
            </w:pPr>
            <w:r>
              <w:rPr>
                <w:sz w:val="21"/>
              </w:rPr>
              <w:t>（</w:t>
            </w:r>
            <w:r>
              <w:rPr>
                <w:sz w:val="21"/>
              </w:rPr>
              <w:t>4）平台数据初始化；</w:t>
            </w:r>
          </w:p>
          <w:p>
            <w:pPr>
              <w:ind w:firstLine="480"/>
              <w:jc w:val="both"/>
            </w:pPr>
            <w:r>
              <w:rPr>
                <w:sz w:val="21"/>
              </w:rPr>
              <w:t>（</w:t>
            </w:r>
            <w:r>
              <w:rPr>
                <w:sz w:val="21"/>
              </w:rPr>
              <w:t>5）学校现有业务系统数据关系梳理；</w:t>
            </w:r>
          </w:p>
          <w:p>
            <w:pPr>
              <w:ind w:firstLine="480"/>
              <w:jc w:val="both"/>
            </w:pPr>
            <w:r>
              <w:rPr>
                <w:sz w:val="21"/>
              </w:rPr>
              <w:t>（</w:t>
            </w:r>
            <w:r>
              <w:rPr>
                <w:sz w:val="21"/>
              </w:rPr>
              <w:t>6）信息标准整合，按照模板整理各平台所需数据（基础数据信息、流程信息等）；</w:t>
            </w:r>
          </w:p>
          <w:p>
            <w:pPr>
              <w:ind w:firstLine="480"/>
              <w:jc w:val="both"/>
            </w:pPr>
            <w:r>
              <w:rPr>
                <w:sz w:val="21"/>
              </w:rPr>
              <w:t>（</w:t>
            </w:r>
            <w:r>
              <w:rPr>
                <w:sz w:val="21"/>
              </w:rPr>
              <w:t>7）根据已梳理的流程信息，向公司申请数据交换支持（事务中心流程）；</w:t>
            </w:r>
          </w:p>
          <w:p>
            <w:pPr>
              <w:ind w:firstLine="480"/>
              <w:jc w:val="both"/>
            </w:pPr>
            <w:r>
              <w:rPr>
                <w:sz w:val="21"/>
              </w:rPr>
              <w:t>（</w:t>
            </w:r>
            <w:r>
              <w:rPr>
                <w:sz w:val="21"/>
              </w:rPr>
              <w:t>8）各大平台联调工作；</w:t>
            </w:r>
          </w:p>
          <w:p>
            <w:pPr>
              <w:ind w:firstLine="480"/>
              <w:jc w:val="both"/>
            </w:pPr>
            <w:r>
              <w:rPr>
                <w:sz w:val="21"/>
              </w:rPr>
              <w:t>（</w:t>
            </w:r>
            <w:r>
              <w:rPr>
                <w:sz w:val="21"/>
              </w:rPr>
              <w:t>9）培训（所有涉及公文相关的用户，培训前注意检查好机房环境、服务器环境以及浏览器兼容性问题）；</w:t>
            </w:r>
          </w:p>
          <w:p>
            <w:pPr>
              <w:ind w:firstLine="480"/>
              <w:jc w:val="both"/>
            </w:pPr>
            <w:r>
              <w:rPr>
                <w:sz w:val="21"/>
              </w:rPr>
              <w:t>（</w:t>
            </w:r>
            <w:r>
              <w:rPr>
                <w:sz w:val="21"/>
              </w:rPr>
              <w:t>10）试运行；</w:t>
            </w:r>
          </w:p>
          <w:p>
            <w:pPr>
              <w:ind w:firstLine="480"/>
              <w:jc w:val="both"/>
            </w:pPr>
            <w:r>
              <w:rPr>
                <w:sz w:val="21"/>
              </w:rPr>
              <w:t>（</w:t>
            </w:r>
            <w:r>
              <w:rPr>
                <w:sz w:val="21"/>
              </w:rPr>
              <w:t>11）验收。</w:t>
            </w:r>
          </w:p>
          <w:p>
            <w:pPr>
              <w:jc w:val="both"/>
            </w:pPr>
            <w:r>
              <w:rPr>
                <w:b/>
                <w:sz w:val="21"/>
              </w:rPr>
              <w:t>（四）文档管理</w:t>
            </w:r>
          </w:p>
          <w:p>
            <w:pPr>
              <w:jc w:val="both"/>
            </w:pPr>
            <w:r>
              <w:rPr>
                <w:sz w:val="21"/>
              </w:rPr>
              <w:t>1.</w:t>
            </w:r>
            <w:r>
              <w:rPr>
                <w:sz w:val="21"/>
              </w:rPr>
              <w:t>根据开发进度及时提供有关开发文档，包括需求说明书、系统设计说明书、测试计划、测试分析报告、系统部署手册、操作手册、系统安装手册等。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采购机构代理服务收费标准：中标人须向采购代理机构按如下标准和规定缴纳招标代理服务费（不含税）： （1）以项目预算金额作为招标代理服务费的计算基数；  （2）招标代理服务费采用差额定率累进法进行计算，按照以下标准计算后下浮20%计取：100万元以下的部分，按照1.5%计取； 100-500万元的部分，按照0.8%计取；计算额不足5000元的按5000元收取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其他，新型冠状病毒感染肺炎疫情防控期间的便利化措施（本招标文件其他条款与本条不一致的，以本条为准），投标文件的递交与开标  1. 疫情防控期间，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疫情防控期间，我司暂停中标（成交）通知书、服务费（标书款）发票现场领取，中标（成交）通知书、我司将通过快递方式送达给中标（成交）人，服务费（标书款）发票以邮件方式发送电子发票。 采购合同送达 疫情防控期间，我司提倡中标（成交）人优先采用邮寄方式将签订的合同及时送达我司。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 见《广东省财政厅广东省地方金融监督管理局中国人民银行广州分行关于开展省级政府采购合 同融资工作的通知》（粤财采购〔2020〕6号）（查询网址：http://www.gdgpo.gov.cn/show/id/40288ba97237aba8017239cc2a020555.html）。</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采购包1(数据治理(三期)服务)：综合评分法,是指投标文件满足招标文件全部实质性要求，且按照评审因素的量化指标评审得分最高的投标人为中标候选人的评标方法。（最低报价不是中标的唯一依据。）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采购包1（数据治理(三期)服务）：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采购包1（数据治理(三期)服务）：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
      <w:pPr>
        <w:ind w:firstLine="480"/>
      </w:pPr>
      <w:r>
        <w:rPr/>
        <w:t>表二符合性审查表：</w:t>
      </w:r>
    </w:p>
    <w:p>
      <w:pPr>
        <w:ind w:firstLine="480"/>
      </w:pPr>
    </w:p>
    <w:p/>
    <w:p>
      <w:r>
        <w:rPr/>
        <w:t>采购包1（数据治理(三期)服务）：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投标函</w:t>
            </w:r>
          </w:p>
        </w:tc>
        <w:tc>
          <w:tcPr>
            <w:tcW w:type="dxa" w:w="4238"/>
          </w:tcPr>
          <w:p>
            <w:r>
              <w:rPr/>
              <w:t>投标文件按照招标文件规定要求签署、盖章</w:t>
            </w:r>
          </w:p>
        </w:tc>
      </w:tr>
      <w:tr>
        <w:tc>
          <w:tcPr>
            <w:tcW w:type="dxa" w:w="890"/>
          </w:tcPr>
          <w:p>
            <w:r>
              <w:rPr/>
              <w:t>3</w:t>
            </w:r>
          </w:p>
        </w:tc>
        <w:tc>
          <w:tcPr>
            <w:tcW w:type="dxa" w:w="3178"/>
          </w:tcPr>
          <w:p>
            <w:r>
              <w:rPr/>
              <w:t>法定代表人证明书或法定代表人授权委托书</w:t>
            </w:r>
          </w:p>
        </w:tc>
        <w:tc>
          <w:tcPr>
            <w:tcW w:type="dxa" w:w="4238"/>
          </w:tcPr>
          <w:p>
            <w:r>
              <w:rPr/>
              <w:t>投标文件按照招标文件规定要求签署、盖章</w:t>
            </w:r>
          </w:p>
        </w:tc>
      </w:tr>
      <w:tr>
        <w:tc>
          <w:tcPr>
            <w:tcW w:type="dxa" w:w="890"/>
          </w:tcPr>
          <w:p>
            <w:r>
              <w:rPr/>
              <w:t>4</w:t>
            </w:r>
          </w:p>
        </w:tc>
        <w:tc>
          <w:tcPr>
            <w:tcW w:type="dxa" w:w="3178"/>
          </w:tcPr>
          <w:p>
            <w:r>
              <w:rPr/>
              <w:t>开标一览表</w:t>
            </w:r>
          </w:p>
        </w:tc>
        <w:tc>
          <w:tcPr>
            <w:tcW w:type="dxa" w:w="4238"/>
          </w:tcPr>
          <w:p>
            <w:r>
              <w:rPr/>
              <w:t>投标文件按照招标文件规定要求签署、盖章</w:t>
            </w:r>
          </w:p>
        </w:tc>
      </w:tr>
      <w:tr>
        <w:tc>
          <w:tcPr>
            <w:tcW w:type="dxa" w:w="890"/>
          </w:tcPr>
          <w:p>
            <w:r>
              <w:rPr/>
              <w:t>5</w:t>
            </w:r>
          </w:p>
        </w:tc>
        <w:tc>
          <w:tcPr>
            <w:tcW w:type="dxa" w:w="3178"/>
          </w:tcPr>
          <w:p>
            <w:r>
              <w:rPr/>
              <w:t>分项报价表</w:t>
            </w:r>
          </w:p>
        </w:tc>
        <w:tc>
          <w:tcPr>
            <w:tcW w:type="dxa" w:w="4238"/>
          </w:tcPr>
          <w:p>
            <w:r>
              <w:rPr/>
              <w:t>投标文件按照招标文件规定要求签署、盖章</w:t>
            </w:r>
          </w:p>
        </w:tc>
      </w:tr>
      <w:tr>
        <w:tc>
          <w:tcPr>
            <w:tcW w:type="dxa" w:w="890"/>
          </w:tcPr>
          <w:p>
            <w:r>
              <w:rPr/>
              <w:t>6</w:t>
            </w:r>
          </w:p>
        </w:tc>
        <w:tc>
          <w:tcPr>
            <w:tcW w:type="dxa" w:w="3178"/>
          </w:tcPr>
          <w:p>
            <w:r>
              <w:rPr/>
              <w:t>投标报价</w:t>
            </w:r>
          </w:p>
        </w:tc>
        <w:tc>
          <w:tcPr>
            <w:tcW w:type="dxa" w:w="4238"/>
          </w:tcPr>
          <w:p>
            <w:r>
              <w:rPr/>
              <w:t>投标报价没有超出最高限价</w:t>
            </w:r>
          </w:p>
        </w:tc>
      </w:tr>
      <w:tr>
        <w:tc>
          <w:tcPr>
            <w:tcW w:type="dxa" w:w="890"/>
          </w:tcPr>
          <w:p>
            <w:r>
              <w:rPr/>
              <w:t>7</w:t>
            </w:r>
          </w:p>
        </w:tc>
        <w:tc>
          <w:tcPr>
            <w:tcW w:type="dxa" w:w="3178"/>
          </w:tcPr>
          <w:p>
            <w:r>
              <w:rPr/>
              <w:t>标注“★”的条款的满足情况</w:t>
            </w:r>
          </w:p>
        </w:tc>
        <w:tc>
          <w:tcPr>
            <w:tcW w:type="dxa" w:w="4238"/>
          </w:tcPr>
          <w:p>
            <w:r>
              <w:rPr/>
              <w:t>完全满足招标文件中标注“★”的条款</w:t>
            </w:r>
          </w:p>
        </w:tc>
      </w:tr>
      <w:tr>
        <w:tc>
          <w:tcPr>
            <w:tcW w:type="dxa" w:w="890"/>
          </w:tcPr>
          <w:p>
            <w:r>
              <w:rPr/>
              <w:t>8</w:t>
            </w:r>
          </w:p>
        </w:tc>
        <w:tc>
          <w:tcPr>
            <w:tcW w:type="dxa" w:w="3178"/>
          </w:tcPr>
          <w:p>
            <w:r>
              <w:rPr/>
              <w:t>未出现有关法律、法规、规章或招标文件规定的属于投 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采购包1数据治理(三期)服务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项目理解程度 (5.0分)</w:t>
            </w:r>
            <w:r>
              <w:rPr/>
              <w:t>，（等次分值选择：</w:t>
            </w:r>
            <w:r>
              <w:rPr/>
              <w:t>0.0;</w:t>
            </w:r>
            <w:r>
              <w:rPr/>
              <w:t>1.0;</w:t>
            </w:r>
            <w:r>
              <w:rPr/>
              <w:t>3.0;</w:t>
            </w:r>
            <w:r>
              <w:rPr/>
              <w:t>5.0;</w:t>
            </w:r>
            <w:r>
              <w:rPr/>
              <w:t>）</w:t>
            </w:r>
          </w:p>
        </w:tc>
        <w:tc>
          <w:tcPr>
            <w:tcW w:type="dxa" w:w="5076"/>
          </w:tcPr>
          <w:p>
            <w:pPr>
              <w:jc w:val="left"/>
            </w:pPr>
            <w:r>
              <w:rPr/>
              <w:t>对项目建设内容的理解清晰、明确，项目情况及把握准确、到位，服务内容和要求的理解深度和准确性高，对项目整体建设效果的预见性强的，得5分； 对项目建设内容的理解较清晰、明确，项目情况及把握较准确、到位，服务内容和要求的理解深度和准确性较高，对项目整体建设效果的预见性较强的，得3分； 对项目建设内容的理解一般，项目情况及把握一般，服务内容和要求的理解深度和准确性一般，对项目整体建设效果的预见性一般的，得1分； 无响应或缺项得0分。</w:t>
            </w:r>
          </w:p>
        </w:tc>
      </w:tr>
      <w:tr>
        <w:tc>
          <w:tcPr>
            <w:tcW w:type="dxa" w:w="922"/>
            <w:gridSpan w:val="2"/>
            <w:vMerge/>
          </w:tcPr>
          <w:p/>
        </w:tc>
        <w:tc>
          <w:tcPr>
            <w:tcW w:type="dxa" w:w="2307"/>
          </w:tcPr>
          <w:p>
            <w:pPr>
              <w:jc w:val="left"/>
            </w:pPr>
            <w:r>
              <w:rPr/>
              <w:t>技术响应程度 (20.0分)</w:t>
            </w:r>
          </w:p>
        </w:tc>
        <w:tc>
          <w:tcPr>
            <w:tcW w:type="dxa" w:w="5076"/>
          </w:tcPr>
          <w:p>
            <w:pPr>
              <w:jc w:val="left"/>
            </w:pPr>
            <w:r>
              <w:rPr/>
              <w:t>带▲指标参数完全满足，得20分。每一项带▲指标不满足，扣2分。 注：投标人需按采购需求的要求提供相对应证明材料，不提供或无法认定的不得分。</w:t>
            </w:r>
          </w:p>
        </w:tc>
      </w:tr>
      <w:tr>
        <w:tc>
          <w:tcPr>
            <w:tcW w:type="dxa" w:w="922"/>
            <w:gridSpan w:val="2"/>
            <w:vMerge/>
          </w:tcPr>
          <w:p/>
        </w:tc>
        <w:tc>
          <w:tcPr>
            <w:tcW w:type="dxa" w:w="2307"/>
          </w:tcPr>
          <w:p>
            <w:pPr>
              <w:jc w:val="left"/>
            </w:pPr>
            <w:r>
              <w:rPr/>
              <w:t>技术安全性 (6.0分)</w:t>
            </w:r>
          </w:p>
        </w:tc>
        <w:tc>
          <w:tcPr>
            <w:tcW w:type="dxa" w:w="5076"/>
          </w:tcPr>
          <w:p>
            <w:pPr>
              <w:jc w:val="left"/>
            </w:pPr>
            <w:r>
              <w:rPr/>
              <w:t>1、本期项目涉及学校大量重要数据与信息，软件的安全性必须充分保障。所投产品需基于可信安全网络平台技术部署，关键技术为国产自主知识产权。 提供可信网络安全产品及信息安全产品相关软件著作权证书复印件，附中国版权保护中心网站查询截图证明。提供得3分，无或未按要求提供证明材料的不得分。 2、本次项目建设平台及服务将会上传大量学校内部文档与资料，所投产品需基于文件安全管理技术并支持加密管理，且具备全局检索功能，用户可根据关键字搜索各类数据，可根据关键字进行联想搜索，关键技术为国产自主知识产权。提供电子文档安全管理软件和搜索引擎软件有效证明文件复印件，得3分，未提供或提供不符合的不得分。</w:t>
            </w:r>
          </w:p>
        </w:tc>
      </w:tr>
      <w:tr>
        <w:tc>
          <w:tcPr>
            <w:tcW w:type="dxa" w:w="922"/>
            <w:gridSpan w:val="2"/>
            <w:vMerge/>
          </w:tcPr>
          <w:p/>
        </w:tc>
        <w:tc>
          <w:tcPr>
            <w:tcW w:type="dxa" w:w="2307"/>
          </w:tcPr>
          <w:p>
            <w:pPr>
              <w:jc w:val="left"/>
            </w:pPr>
            <w:r>
              <w:rPr/>
              <w:t>项目实施与管理 (7.0分)</w:t>
            </w:r>
            <w:r>
              <w:rPr/>
              <w:t>，（等次分值选择：</w:t>
            </w:r>
            <w:r>
              <w:rPr/>
              <w:t>0.0;</w:t>
            </w:r>
            <w:r>
              <w:rPr/>
              <w:t>1.0;</w:t>
            </w:r>
            <w:r>
              <w:rPr/>
              <w:t>4.0;</w:t>
            </w:r>
            <w:r>
              <w:rPr/>
              <w:t>7.0;</w:t>
            </w:r>
            <w:r>
              <w:rPr/>
              <w:t>）</w:t>
            </w:r>
          </w:p>
        </w:tc>
        <w:tc>
          <w:tcPr>
            <w:tcW w:type="dxa" w:w="5076"/>
          </w:tcPr>
          <w:p>
            <w:pPr>
              <w:jc w:val="left"/>
            </w:pPr>
            <w:r>
              <w:rPr/>
              <w:t>对投标人提供的项目实施与管理响应情况进行评审： 项目实施方案详细、清晰，设计科学合理，并具有配套的项目实施管理系统供学校使用的，得7分； 项目实施方案较详细、清晰，设计较科学合理，并具有配套的项目实施管理系统供学校使用的，得4分； 项目实施方案一般，设计一般，不具有配套的项目实施管理系统供学校使用的，得1分. 不提供不得分。</w:t>
            </w:r>
          </w:p>
        </w:tc>
      </w:tr>
      <w:tr>
        <w:tc>
          <w:tcPr>
            <w:tcW w:type="dxa" w:w="922"/>
            <w:gridSpan w:val="2"/>
            <w:vMerge/>
          </w:tcPr>
          <w:p/>
        </w:tc>
        <w:tc>
          <w:tcPr>
            <w:tcW w:type="dxa" w:w="2307"/>
          </w:tcPr>
          <w:p>
            <w:pPr>
              <w:jc w:val="left"/>
            </w:pPr>
            <w:r>
              <w:rPr/>
              <w:t>售后服务和技术培训方案 (7.0分)</w:t>
            </w:r>
            <w:r>
              <w:rPr/>
              <w:t>，（等次分值选择：</w:t>
            </w:r>
            <w:r>
              <w:rPr/>
              <w:t>0.0;</w:t>
            </w:r>
            <w:r>
              <w:rPr/>
              <w:t>1.0;</w:t>
            </w:r>
            <w:r>
              <w:rPr/>
              <w:t>4.0;</w:t>
            </w:r>
            <w:r>
              <w:rPr/>
              <w:t>7.0;</w:t>
            </w:r>
            <w:r>
              <w:rPr/>
              <w:t>）</w:t>
            </w:r>
          </w:p>
        </w:tc>
        <w:tc>
          <w:tcPr>
            <w:tcW w:type="dxa" w:w="5076"/>
          </w:tcPr>
          <w:p>
            <w:pPr>
              <w:jc w:val="left"/>
            </w:pPr>
            <w:r>
              <w:rPr/>
              <w:t>对投标人提供的售后服务和技术培训方案情况进行评审： 售后与培训方案详细、清晰，设计科学合理，并具有配套的售后服务系统供学校使用的，得7分； 售后与培训方案较详细、清晰，设计较科学合理，并具有配套的售后服务系统供学校使用的，得4分； 售后与培训方案一般，设计一般，不具有配套的售后服务系统供学校使用的，得1分. 不提供不得分。</w:t>
            </w:r>
          </w:p>
        </w:tc>
      </w:tr>
      <w:tr>
        <w:tc>
          <w:tcPr>
            <w:tcW w:type="dxa" w:w="922"/>
            <w:gridSpan w:val="2"/>
            <w:vMerge w:val="restart"/>
          </w:tcPr>
          <w:p>
            <w:pPr>
              <w:jc w:val="center"/>
            </w:pPr>
            <w:r>
              <w:rPr/>
              <w:t>商务部分</w:t>
            </w:r>
          </w:p>
        </w:tc>
        <w:tc>
          <w:tcPr>
            <w:tcW w:type="dxa" w:w="2307"/>
          </w:tcPr>
          <w:p>
            <w:pPr>
              <w:jc w:val="left"/>
            </w:pPr>
            <w:r>
              <w:rPr/>
              <w:t>本项目项目经理的资质 (4.0分)</w:t>
            </w:r>
          </w:p>
        </w:tc>
        <w:tc>
          <w:tcPr>
            <w:tcW w:type="dxa" w:w="5076"/>
          </w:tcPr>
          <w:p>
            <w:pPr>
              <w:jc w:val="left"/>
            </w:pPr>
            <w:r>
              <w:rPr/>
              <w:t>要求项目经理（限1名）需具备如下资质证书：  （1）具有项目经理PMP认证证书，提供得2分，不提供不得分。 （2）具有信息系统项目管理师（高级）证书，提供得2分，不提供不得分。 注：须提供在本公司任职外部证明材料及资质证书扫描件（如加盖有关部门印章的打印日期在本项目投标截止日之前六个月以内的任意月份的的《投保单》或《社会保险参保人员证明》，或单位代缴个人所得税税单等,否则不得分。</w:t>
            </w:r>
          </w:p>
        </w:tc>
      </w:tr>
      <w:tr>
        <w:tc>
          <w:tcPr>
            <w:tcW w:type="dxa" w:w="922"/>
            <w:gridSpan w:val="2"/>
            <w:vMerge/>
          </w:tcPr>
          <w:p/>
        </w:tc>
        <w:tc>
          <w:tcPr>
            <w:tcW w:type="dxa" w:w="2307"/>
          </w:tcPr>
          <w:p>
            <w:pPr>
              <w:jc w:val="left"/>
            </w:pPr>
            <w:r>
              <w:rPr/>
              <w:t>本项目拟安排的项目团队成员资质（项目经理除外） (10.0分)</w:t>
            </w:r>
          </w:p>
        </w:tc>
        <w:tc>
          <w:tcPr>
            <w:tcW w:type="dxa" w:w="5076"/>
          </w:tcPr>
          <w:p>
            <w:pPr>
              <w:jc w:val="left"/>
            </w:pPr>
            <w:r>
              <w:rPr/>
              <w:t>要求项目团队成员（项目经理除外）需具有以下由政府部门或政府授权机构颁发的资质证书： （1）高级软件工程师证书 （2）软件设计师证书； （3）信息安全保障人员认证证书； （4）PMP证书； （5）数据库系统工程师证书； 每提供1项得2分，本项最高得分10分。（同1人满足以上多项要求的不可重复计分） 注：须提供团队成员的相关证书复印件以及在投标截止时间前在本公司任职外部证明材料（如加盖有关部门印章的打印日期在本项目投标截止日之前六个月以内的任意月份的的《投保单》或《社会保险参保人员证明》，或单位代缴个人所得税税单等,否则不得分。</w:t>
            </w:r>
          </w:p>
        </w:tc>
      </w:tr>
      <w:tr>
        <w:tc>
          <w:tcPr>
            <w:tcW w:type="dxa" w:w="922"/>
            <w:gridSpan w:val="2"/>
            <w:vMerge/>
          </w:tcPr>
          <w:p/>
        </w:tc>
        <w:tc>
          <w:tcPr>
            <w:tcW w:type="dxa" w:w="2307"/>
          </w:tcPr>
          <w:p>
            <w:pPr>
              <w:jc w:val="left"/>
            </w:pPr>
            <w:r>
              <w:rPr/>
              <w:t>投标人综合实力 (6.0分)</w:t>
            </w:r>
          </w:p>
        </w:tc>
        <w:tc>
          <w:tcPr>
            <w:tcW w:type="dxa" w:w="5076"/>
          </w:tcPr>
          <w:p>
            <w:pPr>
              <w:jc w:val="left"/>
            </w:pPr>
            <w:r>
              <w:rPr/>
              <w:t>投标人具有以下证书的： （1）具有质量管理体系认证证书的，得1分； （2）具有环境管理体系认证证书的，得1分； （3）具有信息技术服务管理体系认证证书的，得2分； （4）具有信息安全管理体系认证证书的，得2分； 注：同时提供有效期内的证书复印件和打印网站公布的链接信息资料【网址以http://ww w.cnca.gov.cn/网站公布为准】,已失效或撤销或暂停的不得分，未同时 提供以上材料的不得分。公开信息中无法查询或与公开信息不一致的，供 应商必须提供发证机构出具的证明函。</w:t>
            </w:r>
          </w:p>
        </w:tc>
      </w:tr>
      <w:tr>
        <w:tc>
          <w:tcPr>
            <w:tcW w:type="dxa" w:w="922"/>
            <w:gridSpan w:val="2"/>
            <w:vMerge/>
          </w:tcPr>
          <w:p/>
        </w:tc>
        <w:tc>
          <w:tcPr>
            <w:tcW w:type="dxa" w:w="2307"/>
          </w:tcPr>
          <w:p>
            <w:pPr>
              <w:jc w:val="left"/>
            </w:pPr>
            <w:r>
              <w:rPr/>
              <w:t>投标人技术服务能力 (3.0分)</w:t>
            </w:r>
          </w:p>
        </w:tc>
        <w:tc>
          <w:tcPr>
            <w:tcW w:type="dxa" w:w="5076"/>
          </w:tcPr>
          <w:p>
            <w:pPr>
              <w:jc w:val="left"/>
            </w:pPr>
            <w:r>
              <w:rPr/>
              <w:t>具有CMMI3级资质证书，提供得1分;具有CMMI4及以上资质证书，提供得3分；不提供不得分。 注：需提供有效期内证书复印件。</w:t>
            </w:r>
          </w:p>
        </w:tc>
      </w:tr>
      <w:tr>
        <w:tc>
          <w:tcPr>
            <w:tcW w:type="dxa" w:w="922"/>
            <w:gridSpan w:val="2"/>
            <w:vMerge/>
          </w:tcPr>
          <w:p/>
        </w:tc>
        <w:tc>
          <w:tcPr>
            <w:tcW w:type="dxa" w:w="2307"/>
          </w:tcPr>
          <w:p>
            <w:pPr>
              <w:jc w:val="left"/>
            </w:pPr>
            <w:r>
              <w:rPr/>
              <w:t>案例（业绩） (12.0分)</w:t>
            </w:r>
          </w:p>
        </w:tc>
        <w:tc>
          <w:tcPr>
            <w:tcW w:type="dxa" w:w="5076"/>
          </w:tcPr>
          <w:p>
            <w:pPr>
              <w:jc w:val="left"/>
            </w:pPr>
            <w:r>
              <w:rPr/>
              <w:t>投标人2018年1月1日以来具有同类数据治理项目案例（合同内容需包含“数据治理”相关字样）： 提供每个案例得2分，最高得12分。 备注： 注：提供成交/中标通知书、合同关键页复印件作为证明材料，两者须同时提供方有效，以签订合同日期为准。每个合同案例必须列明用户名称及联系方式，未提供案例或提供第三方案例或未按要求递交证明材料的得0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27"/>
        </w:rPr>
        <w:t>华南师范大学</w:t>
      </w:r>
    </w:p>
    <w:p>
      <w:pPr>
        <w:jc w:val="center"/>
      </w:pPr>
      <w:r>
        <w:rPr>
          <w:b/>
          <w:sz w:val="27"/>
        </w:rPr>
        <w:t>技术开发（委托）合同</w:t>
      </w:r>
    </w:p>
    <w:p>
      <w:pPr>
        <w:jc w:val="center"/>
      </w:pPr>
      <w:r>
        <w:rPr/>
        <w:t xml:space="preserve"> </w:t>
      </w:r>
    </w:p>
    <w:p>
      <w:pPr>
        <w:jc w:val="both"/>
      </w:pPr>
    </w:p>
    <w:p>
      <w:pPr>
        <w:jc w:val="both"/>
      </w:pPr>
    </w:p>
    <w:p>
      <w:pPr>
        <w:ind w:firstLine="1968"/>
        <w:jc w:val="left"/>
      </w:pPr>
      <w:r>
        <w:rPr>
          <w:b/>
          <w:sz w:val="24"/>
        </w:rPr>
        <w:t>甲方：</w:t>
      </w:r>
      <w:r>
        <w:rPr>
          <w:b/>
          <w:sz w:val="24"/>
          <w:u w:val="single"/>
        </w:rPr>
        <w:t>华南师范大学</w:t>
      </w:r>
    </w:p>
    <w:p>
      <w:pPr>
        <w:ind w:firstLine="1968"/>
        <w:jc w:val="left"/>
      </w:pPr>
      <w:r>
        <w:rPr>
          <w:b/>
          <w:sz w:val="24"/>
        </w:rPr>
        <w:t>乙方：</w:t>
      </w:r>
      <w:r>
        <w:rPr>
          <w:b/>
          <w:sz w:val="24"/>
          <w:u w:val="single"/>
        </w:rPr>
        <w:t>（必填项）</w:t>
      </w:r>
      <w:r>
        <w:rPr>
          <w:b/>
          <w:sz w:val="24"/>
          <w:u w:val="single"/>
        </w:rPr>
        <w:t xml:space="preserve">             </w:t>
      </w:r>
    </w:p>
    <w:p>
      <w:pPr>
        <w:ind w:firstLine="1968"/>
        <w:jc w:val="left"/>
      </w:pPr>
      <w:r>
        <w:rPr>
          <w:b/>
          <w:sz w:val="24"/>
        </w:rPr>
        <w:t>签订地点：</w:t>
      </w:r>
      <w:r>
        <w:rPr>
          <w:b/>
          <w:sz w:val="24"/>
          <w:u w:val="single"/>
        </w:rPr>
        <w:t xml:space="preserve">   广州市 天河区   </w:t>
      </w:r>
    </w:p>
    <w:p>
      <w:pPr>
        <w:ind w:firstLine="1968"/>
        <w:jc w:val="left"/>
      </w:pPr>
    </w:p>
    <w:p>
      <w:pPr>
        <w:ind w:firstLine="1925"/>
        <w:jc w:val="left"/>
      </w:pPr>
      <w:r>
        <w:rPr>
          <w:b/>
          <w:sz w:val="24"/>
        </w:rPr>
        <w:t>合同编号：</w:t>
      </w:r>
      <w:r>
        <w:rPr>
          <w:b/>
          <w:sz w:val="24"/>
          <w:u w:val="single"/>
        </w:rPr>
        <w:t>（示例：HT2020XXXXX）</w:t>
      </w:r>
    </w:p>
    <w:p>
      <w:pPr>
        <w:ind w:firstLine="1968"/>
        <w:jc w:val="left"/>
      </w:pPr>
      <w:r>
        <w:rPr>
          <w:b/>
          <w:sz w:val="24"/>
        </w:rPr>
        <w:t>采购编号：</w:t>
      </w:r>
      <w:r>
        <w:rPr>
          <w:b/>
          <w:sz w:val="24"/>
          <w:u w:val="single"/>
        </w:rPr>
        <w:t>（原思必得系统产生）</w:t>
      </w:r>
    </w:p>
    <w:p>
      <w:pPr>
        <w:ind w:firstLine="2168"/>
        <w:jc w:val="left"/>
      </w:pPr>
    </w:p>
    <w:p>
      <w:pPr>
        <w:jc w:val="left"/>
      </w:pPr>
    </w:p>
    <w:p>
      <w:pPr>
        <w:jc w:val="left"/>
      </w:pPr>
      <w:r>
        <w:rPr>
          <w:b/>
          <w:sz w:val="24"/>
        </w:rPr>
        <w:t xml:space="preserve">            华南师范大学采购与招投标中心拟制</w:t>
      </w:r>
    </w:p>
    <w:p>
      <w:pPr>
        <w:jc w:val="left"/>
      </w:pPr>
      <w:r>
        <w:rPr>
          <w:b/>
          <w:sz w:val="28"/>
        </w:rPr>
        <w:t xml:space="preserve">             二〇二〇年三月版</w:t>
      </w:r>
    </w:p>
    <w:p>
      <w:pPr>
        <w:jc w:val="left"/>
      </w:pPr>
      <w:r>
        <w:rPr>
          <w:b/>
          <w:color w:val="000000"/>
          <w:sz w:val="28"/>
        </w:rPr>
        <w:t xml:space="preserve">               合同使用指引</w:t>
      </w:r>
    </w:p>
    <w:p>
      <w:pPr>
        <w:jc w:val="left"/>
      </w:pPr>
      <w:r>
        <w:rPr/>
        <w:t xml:space="preserve"> </w:t>
      </w:r>
    </w:p>
    <w:p>
      <w:pPr>
        <w:ind w:firstLine="482"/>
        <w:jc w:val="both"/>
      </w:pPr>
    </w:p>
    <w:p>
      <w:pPr>
        <w:ind w:firstLine="420"/>
        <w:jc w:val="left"/>
      </w:pPr>
      <w:r>
        <w:rPr>
          <w:color w:val="000000"/>
          <w:sz w:val="21"/>
        </w:rPr>
        <w:t>根据《中华人民共和国政府采购法》、《中华人民共和国民法典》等国家法律法规，以及甲方委托</w:t>
      </w:r>
      <w:r>
        <w:rPr>
          <w:color w:val="000000"/>
          <w:sz w:val="21"/>
        </w:rPr>
        <w:t>________（代理机构名称）组织的_____项目（项目名称）(采购编号_________)的成交结果，经甲乙双方协商一致，签订本合同，由双方共同恪守如下内容：</w:t>
      </w:r>
    </w:p>
    <w:p>
      <w:pPr>
        <w:ind w:firstLine="422"/>
        <w:jc w:val="left"/>
      </w:pPr>
      <w:r>
        <w:rPr>
          <w:b/>
          <w:color w:val="000000"/>
          <w:sz w:val="21"/>
        </w:rPr>
        <w:t>一、技术委托内容及要求</w:t>
      </w:r>
    </w:p>
    <w:p>
      <w:pPr>
        <w:ind w:firstLine="420"/>
        <w:jc w:val="left"/>
      </w:pPr>
      <w:r>
        <w:rPr>
          <w:sz w:val="21"/>
        </w:rPr>
        <w:t>1. 甲方委托乙方开发_________软件系统（以下简称“软件系统”），并分为</w:t>
      </w:r>
      <w:r>
        <w:rPr>
          <w:sz w:val="21"/>
          <w:u w:val="single"/>
        </w:rPr>
        <w:t xml:space="preserve">    </w:t>
      </w:r>
      <w:r>
        <w:rPr>
          <w:sz w:val="21"/>
        </w:rPr>
        <w:t>个功能模块，具体包括：</w:t>
      </w:r>
    </w:p>
    <w:p>
      <w:pPr>
        <w:ind w:firstLine="420"/>
        <w:jc w:val="left"/>
      </w:pPr>
      <w:r>
        <w:rPr>
          <w:sz w:val="21"/>
        </w:rPr>
        <w:t>（</w:t>
      </w:r>
      <w:r>
        <w:rPr>
          <w:sz w:val="21"/>
        </w:rPr>
        <w:t>1）_________；</w:t>
      </w:r>
    </w:p>
    <w:p>
      <w:pPr>
        <w:ind w:firstLine="420"/>
        <w:jc w:val="left"/>
      </w:pPr>
      <w:r>
        <w:rPr>
          <w:sz w:val="21"/>
        </w:rPr>
        <w:t>（</w:t>
      </w:r>
      <w:r>
        <w:rPr>
          <w:sz w:val="21"/>
        </w:rPr>
        <w:t>2）_________；</w:t>
      </w:r>
    </w:p>
    <w:p>
      <w:pPr>
        <w:ind w:firstLine="420"/>
        <w:jc w:val="left"/>
      </w:pPr>
      <w:r>
        <w:rPr>
          <w:sz w:val="21"/>
        </w:rPr>
        <w:t>（</w:t>
      </w:r>
      <w:r>
        <w:rPr>
          <w:sz w:val="21"/>
        </w:rPr>
        <w:t>3）_________。</w:t>
      </w:r>
    </w:p>
    <w:p>
      <w:pPr>
        <w:ind w:firstLine="420"/>
        <w:jc w:val="left"/>
      </w:pPr>
      <w:r>
        <w:rPr>
          <w:sz w:val="21"/>
        </w:rPr>
        <w:t>上述功能模块共同构成本合同所规定的软件系统，且该软件系统的主要技术功能必须达到本合同规定的详细情况和要求，否则甲方有权拒收。</w:t>
      </w:r>
    </w:p>
    <w:p>
      <w:pPr>
        <w:ind w:firstLine="420"/>
        <w:jc w:val="left"/>
      </w:pPr>
      <w:r>
        <w:rPr>
          <w:sz w:val="21"/>
        </w:rPr>
        <w:t>2.</w:t>
      </w:r>
      <w:r>
        <w:rPr>
          <w:sz w:val="21"/>
        </w:rPr>
        <w:t xml:space="preserve"> </w:t>
      </w:r>
      <w:r>
        <w:rPr>
          <w:sz w:val="21"/>
        </w:rPr>
        <w:t>软件系统是甲方为</w:t>
      </w:r>
      <w:r>
        <w:rPr>
          <w:sz w:val="21"/>
        </w:rPr>
        <w:t>_______而建设开发的软件，该软件处理的对象是_________ 等，同时为甲方进行内部以及对外的人、财、物综合管理提供数据接口。</w:t>
      </w:r>
    </w:p>
    <w:p>
      <w:pPr>
        <w:ind w:firstLine="420"/>
        <w:jc w:val="left"/>
      </w:pPr>
      <w:r>
        <w:rPr>
          <w:sz w:val="21"/>
        </w:rPr>
        <w:t>3.</w:t>
      </w:r>
      <w:r>
        <w:rPr>
          <w:sz w:val="21"/>
        </w:rPr>
        <w:t xml:space="preserve"> </w:t>
      </w:r>
      <w:r>
        <w:rPr>
          <w:sz w:val="21"/>
        </w:rPr>
        <w:t>软件系统的整体功能应符合招投标文件所描述的要求，并实现标准规范、正确性、兼容性、高效率、安全性、可靠性、开放性、实用性、可扩展性等的技术指标，达到构建完整</w:t>
      </w:r>
      <w:r>
        <w:rPr>
          <w:sz w:val="21"/>
          <w:u w:val="single"/>
        </w:rPr>
        <w:t xml:space="preserve">    </w:t>
      </w:r>
      <w:r>
        <w:rPr>
          <w:sz w:val="21"/>
        </w:rPr>
        <w:t>____的目标。</w:t>
      </w:r>
    </w:p>
    <w:p>
      <w:pPr>
        <w:ind w:firstLine="422"/>
        <w:jc w:val="left"/>
      </w:pPr>
      <w:r>
        <w:rPr>
          <w:b/>
          <w:color w:val="000000"/>
          <w:sz w:val="21"/>
        </w:rPr>
        <w:t>二、开发时间要求</w:t>
      </w:r>
    </w:p>
    <w:p>
      <w:pPr>
        <w:ind w:firstLine="420"/>
        <w:jc w:val="left"/>
      </w:pPr>
      <w:r>
        <w:rPr>
          <w:sz w:val="21"/>
        </w:rPr>
        <w:t>软件系统</w:t>
      </w:r>
      <w:r>
        <w:rPr>
          <w:color w:val="000000"/>
          <w:sz w:val="21"/>
        </w:rPr>
        <w:t>应在</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日前交付甲方试用，否则视为乙方迟延交付，乙方应承担由此给甲方造成的损失及违约责任。</w:t>
      </w:r>
    </w:p>
    <w:p>
      <w:pPr>
        <w:ind w:firstLine="422"/>
        <w:jc w:val="left"/>
      </w:pPr>
      <w:r>
        <w:rPr>
          <w:b/>
          <w:color w:val="000000"/>
          <w:sz w:val="21"/>
        </w:rPr>
        <w:t>三、软件系统试运行</w:t>
      </w:r>
    </w:p>
    <w:p>
      <w:pPr>
        <w:ind w:firstLine="420"/>
        <w:jc w:val="left"/>
      </w:pPr>
      <w:r>
        <w:rPr>
          <w:color w:val="000000"/>
          <w:sz w:val="21"/>
        </w:rPr>
        <w:t>1. 自软件系统交付甲方试用之日起，甲方拥有至少</w:t>
      </w:r>
      <w:r>
        <w:rPr>
          <w:sz w:val="21"/>
          <w:u w:val="single"/>
        </w:rPr>
        <w:t xml:space="preserve">     </w:t>
      </w:r>
      <w:r>
        <w:rPr>
          <w:color w:val="000000"/>
          <w:sz w:val="21"/>
        </w:rPr>
        <w:t>个工作日的试运行权利。</w:t>
      </w:r>
    </w:p>
    <w:p>
      <w:pPr>
        <w:ind w:firstLine="420"/>
        <w:jc w:val="left"/>
      </w:pPr>
      <w:r>
        <w:rPr>
          <w:color w:val="000000"/>
          <w:sz w:val="21"/>
        </w:rPr>
        <w:t>2. 如软件在试运行期间出现非人为故障或问题，乙方应在</w:t>
      </w:r>
      <w:r>
        <w:rPr>
          <w:sz w:val="21"/>
          <w:u w:val="single"/>
        </w:rPr>
        <w:t xml:space="preserve">   </w:t>
      </w:r>
      <w:r>
        <w:rPr>
          <w:color w:val="000000"/>
          <w:sz w:val="21"/>
        </w:rPr>
        <w:t>个工作日内排除故障、解决问题，由此引起的相关费用由乙方承担。如乙方在前述时间内无法排除故障、解决问题，影响软件系统基本功能和目标的实现，则视为乙方迟延交付，乙方应承担由此给甲方造成的损失及违约责任，除非上述故障和问题是由甲方引起的。</w:t>
      </w:r>
    </w:p>
    <w:p>
      <w:pPr>
        <w:ind w:firstLine="422"/>
        <w:jc w:val="left"/>
      </w:pPr>
      <w:r>
        <w:rPr>
          <w:b/>
          <w:color w:val="000000"/>
          <w:sz w:val="21"/>
        </w:rPr>
        <w:t>四、软件系统最终验收</w:t>
      </w:r>
    </w:p>
    <w:p>
      <w:pPr>
        <w:ind w:firstLine="420"/>
        <w:jc w:val="left"/>
      </w:pPr>
      <w:r>
        <w:rPr>
          <w:color w:val="000000"/>
          <w:sz w:val="21"/>
        </w:rPr>
        <w:t>1.</w:t>
      </w:r>
      <w:r>
        <w:rPr>
          <w:sz w:val="21"/>
        </w:rPr>
        <w:t xml:space="preserve"> </w:t>
      </w:r>
      <w:r>
        <w:rPr>
          <w:sz w:val="21"/>
        </w:rPr>
        <w:t>软件系统</w:t>
      </w:r>
      <w:r>
        <w:rPr>
          <w:color w:val="000000"/>
          <w:sz w:val="21"/>
        </w:rPr>
        <w:t>试运行完成后，乙方应以书面形式向甲方递交验收申请书，甲方根据内部流程安排验收。</w:t>
      </w:r>
      <w:r>
        <w:rPr>
          <w:color w:val="000000"/>
          <w:sz w:val="21"/>
        </w:rPr>
        <w:t>项目文件及测试均验收合格后，甲方将出具华南师范大学采购物资验收报告给乙方。验收合格之日为甲方签署华南师范大学采购物资验收报告的日期。</w:t>
      </w:r>
    </w:p>
    <w:p>
      <w:pPr>
        <w:ind w:firstLine="420"/>
        <w:jc w:val="left"/>
      </w:pPr>
      <w:r>
        <w:rPr>
          <w:color w:val="000000"/>
          <w:sz w:val="21"/>
        </w:rPr>
        <w:t>2. 如由于乙方提供的软件系统不符合甲方要求导致未能通过验收，乙方应根据甲方要求在限期内整改、排除故障，并承担由此产生的费用，同时延长试运行期限</w:t>
      </w:r>
      <w:r>
        <w:rPr>
          <w:sz w:val="21"/>
          <w:u w:val="single"/>
        </w:rPr>
        <w:t xml:space="preserve">    </w:t>
      </w:r>
      <w:r>
        <w:rPr>
          <w:color w:val="000000"/>
          <w:sz w:val="21"/>
        </w:rPr>
        <w:t>个工作日，直至软件系统完全符合甲方的验收标准。</w:t>
      </w:r>
    </w:p>
    <w:p>
      <w:pPr>
        <w:ind w:firstLine="420"/>
        <w:jc w:val="left"/>
      </w:pPr>
      <w:r>
        <w:rPr>
          <w:color w:val="000000"/>
          <w:sz w:val="21"/>
        </w:rPr>
        <w:t>3. 如由于甲方原因致使软件系统未通过验收，甲方应在合理时间内排除故障，再进行验收。</w:t>
      </w:r>
    </w:p>
    <w:p>
      <w:pPr>
        <w:ind w:firstLine="420"/>
        <w:jc w:val="left"/>
      </w:pPr>
      <w:r>
        <w:rPr>
          <w:color w:val="000000"/>
          <w:sz w:val="21"/>
        </w:rPr>
        <w:t>4. 验收合格后，乙方应将各阶段产生的文档资料汇编成册交付给甲方，并且提供明确的交付清单。乙方交付的文档资料应包含各种技术文档（含：开发环境配置说明、软件工具清单、需求分析说明、变更说明、系统设计说明、用户手册、测试用例、测试结果、系统维护说明、系统培训资料及有关系统接口的技术说明等）、管理文档等。</w:t>
      </w:r>
    </w:p>
    <w:p>
      <w:pPr>
        <w:ind w:firstLine="422"/>
        <w:jc w:val="left"/>
      </w:pPr>
      <w:r>
        <w:rPr>
          <w:b/>
          <w:color w:val="000000"/>
          <w:sz w:val="21"/>
        </w:rPr>
        <w:t>五、知识产权和使用权</w:t>
      </w:r>
    </w:p>
    <w:p>
      <w:pPr>
        <w:ind w:firstLine="420"/>
        <w:jc w:val="left"/>
      </w:pPr>
      <w:r>
        <w:rPr>
          <w:color w:val="000000"/>
          <w:sz w:val="21"/>
        </w:rPr>
        <w:t>1. 乙方应保证，甲方在使用本合同项目开发的软件和数据的任何一部分时，如受第三方提出的侵犯其知识产权、肖像权、技术秘密、商业秘密或其他任何权益的起诉，由乙方承担一切责任。</w:t>
      </w:r>
    </w:p>
    <w:p>
      <w:pPr>
        <w:ind w:firstLine="420"/>
        <w:jc w:val="left"/>
      </w:pPr>
      <w:r>
        <w:rPr>
          <w:color w:val="000000"/>
          <w:sz w:val="21"/>
        </w:rPr>
        <w:t>2. 软件系统开发完毕后，系统中原属于乙方的技术和功能模块甲方具有永久使用权；乙方结合甲方功能需求新开发的功能模块、具有新特色的系统所产生的知识产权归甲乙双方共同所有。</w:t>
      </w:r>
    </w:p>
    <w:p>
      <w:pPr>
        <w:ind w:firstLine="420"/>
        <w:jc w:val="left"/>
      </w:pPr>
      <w:r>
        <w:rPr>
          <w:color w:val="000000"/>
          <w:sz w:val="21"/>
        </w:rPr>
        <w:t>双方共同所有的知识产权，未经甲乙双方共同的书面许可，任何一方不得以任何方式向第三方披露、转让和许可有关的技术成果、计算机软件、技术诀窍、秘密信息、技术资料和文件等；除本研发项目或者工作需要之外，未得到甲乙双方共同的书面许可，甲乙双方不得以任何方式商业性地利用上述资料、技术及信息。如违反本条规定，除应立即停止违约行为外，违约方还应向守约方支付合同总价</w:t>
      </w:r>
      <w:r>
        <w:rPr>
          <w:color w:val="000000"/>
          <w:sz w:val="21"/>
        </w:rPr>
        <w:t>20%的违约金以及赔偿守约方的损失。</w:t>
      </w:r>
    </w:p>
    <w:p>
      <w:pPr>
        <w:ind w:firstLine="420"/>
        <w:jc w:val="left"/>
      </w:pPr>
      <w:r>
        <w:rPr>
          <w:color w:val="000000"/>
          <w:sz w:val="21"/>
        </w:rPr>
        <w:t>3. 甲方对本合同项目的软件系统和数据具有永久使用权。</w:t>
      </w:r>
    </w:p>
    <w:p>
      <w:pPr>
        <w:ind w:firstLine="420"/>
        <w:jc w:val="left"/>
      </w:pPr>
      <w:r>
        <w:rPr>
          <w:color w:val="000000"/>
          <w:sz w:val="21"/>
        </w:rPr>
        <w:t>4. 除本合同另有规定外，甲方对乙方所许可使用的软件没有向第三方许可使用的权利。</w:t>
      </w:r>
    </w:p>
    <w:p>
      <w:pPr>
        <w:ind w:firstLine="420"/>
        <w:jc w:val="left"/>
      </w:pPr>
      <w:r>
        <w:rPr>
          <w:color w:val="000000"/>
          <w:sz w:val="21"/>
        </w:rPr>
        <w:t>5. 甲方在使用乙方提供的第三方软件时，应当遵守乙方与第三方对该软件使用的约定。乙方应事先将该约定的复印件交甲方参阅、保存。</w:t>
      </w:r>
    </w:p>
    <w:p>
      <w:pPr>
        <w:ind w:firstLine="422"/>
        <w:jc w:val="left"/>
      </w:pPr>
      <w:r>
        <w:rPr>
          <w:b/>
          <w:color w:val="000000"/>
          <w:sz w:val="21"/>
        </w:rPr>
        <w:t>六、</w:t>
      </w:r>
      <w:r>
        <w:rPr>
          <w:b/>
          <w:color w:val="000000"/>
          <w:sz w:val="21"/>
        </w:rPr>
        <w:t>付款</w:t>
      </w:r>
    </w:p>
    <w:p>
      <w:pPr>
        <w:ind w:firstLine="420"/>
        <w:jc w:val="left"/>
      </w:pPr>
      <w:r>
        <w:rPr>
          <w:sz w:val="21"/>
        </w:rPr>
        <w:t>1.</w:t>
      </w:r>
      <w:r>
        <w:rPr>
          <w:color w:val="000000"/>
          <w:sz w:val="21"/>
        </w:rPr>
        <w:t xml:space="preserve"> </w:t>
      </w:r>
      <w:r>
        <w:rPr>
          <w:color w:val="000000"/>
          <w:sz w:val="21"/>
        </w:rPr>
        <w:t>服务期限内的服务费用共计为</w:t>
      </w:r>
      <w:r>
        <w:rPr>
          <w:color w:val="000000"/>
          <w:sz w:val="21"/>
        </w:rPr>
        <w:t>CNY￥_________元，人民币（大写）：_________元整。价格明细及计算标准为：</w:t>
      </w:r>
      <w:r>
        <w:rPr>
          <w:color w:val="000000"/>
          <w:sz w:val="21"/>
        </w:rPr>
        <w:t>_______________。</w:t>
      </w:r>
    </w:p>
    <w:p>
      <w:pPr>
        <w:ind w:firstLine="420"/>
        <w:jc w:val="left"/>
      </w:pPr>
      <w:r>
        <w:rPr>
          <w:color w:val="000000"/>
          <w:sz w:val="21"/>
        </w:rPr>
        <w:t>2. 本合同所指的服务费用，为乙方按照招投标文件及本合同约定提供技术开发服务所需的一切含税费用，对乙方投标文件中因漏项、错项、错算等引起的差异视为已包含在投标总报价中</w:t>
      </w:r>
      <w:r>
        <w:rPr>
          <w:color w:val="000000"/>
          <w:sz w:val="21"/>
        </w:rPr>
        <w:t>。</w:t>
      </w:r>
      <w:r>
        <w:rPr>
          <w:color w:val="000000"/>
          <w:sz w:val="21"/>
        </w:rPr>
        <w:t>除本合同明确约定的费用外，甲方无需支付任何额外费用和承担任何额外义务。</w:t>
      </w:r>
    </w:p>
    <w:p>
      <w:pPr>
        <w:ind w:firstLine="420"/>
        <w:jc w:val="left"/>
      </w:pPr>
      <w:r>
        <w:rPr>
          <w:color w:val="000000"/>
          <w:sz w:val="21"/>
        </w:rPr>
        <w:t>3.</w:t>
      </w:r>
      <w:r>
        <w:rPr>
          <w:color w:val="000000"/>
          <w:sz w:val="21"/>
        </w:rPr>
        <w:t>付款方式：</w:t>
      </w:r>
      <w:r>
        <w:rPr>
          <w:color w:val="000000"/>
          <w:sz w:val="21"/>
        </w:rPr>
        <w:t>_______________。（甲方纳税人识别号: 124400004558589190）</w:t>
      </w:r>
    </w:p>
    <w:p>
      <w:pPr>
        <w:ind w:firstLine="420"/>
        <w:jc w:val="left"/>
      </w:pPr>
      <w:r>
        <w:rPr>
          <w:color w:val="000000"/>
          <w:sz w:val="21"/>
        </w:rPr>
        <w:t>4.</w:t>
      </w:r>
      <w:r>
        <w:rPr>
          <w:color w:val="000000"/>
          <w:sz w:val="21"/>
        </w:rPr>
        <w:t>每项款项支付前，乙方须先提供合法有效的等额发票，否则甲方有权顺延付款。</w:t>
      </w:r>
    </w:p>
    <w:p>
      <w:pPr>
        <w:ind w:firstLine="420"/>
        <w:jc w:val="left"/>
      </w:pPr>
      <w:r>
        <w:rPr>
          <w:color w:val="000000"/>
          <w:sz w:val="21"/>
        </w:rPr>
        <w:t>5. 甲方向乙方指定账户汇出款项后，即视为已履行付款义务，在汇款过程中，因乙方账户的原因（包括但不限于账号被注销、被冻结等）导致其无法收取款项的，由乙方承担相应后果。</w:t>
      </w:r>
    </w:p>
    <w:p>
      <w:pPr>
        <w:ind w:firstLine="420"/>
        <w:jc w:val="left"/>
      </w:pPr>
      <w:r>
        <w:rPr>
          <w:color w:val="000000"/>
          <w:sz w:val="21"/>
        </w:rPr>
        <w:t>6. 本项目如执行国库支付的，甲方在验收合格后十五个工作日内办理财政集中支付申请手续，付款按照财政部门国库集中支付的有关规定办理。付款时间为甲方向政府采购支付部门提出支付申请的时间（不含政府财政支付部门审查的时间）。</w:t>
      </w:r>
    </w:p>
    <w:p>
      <w:pPr>
        <w:ind w:firstLine="420"/>
        <w:jc w:val="left"/>
      </w:pPr>
      <w:r>
        <w:rPr>
          <w:color w:val="000000"/>
          <w:sz w:val="21"/>
        </w:rPr>
        <w:t>7.</w:t>
      </w:r>
      <w:r>
        <w:rPr>
          <w:color w:val="000000"/>
          <w:sz w:val="21"/>
        </w:rPr>
        <w:t xml:space="preserve"> </w:t>
      </w:r>
      <w:r>
        <w:rPr>
          <w:color w:val="000000"/>
          <w:sz w:val="21"/>
        </w:rPr>
        <w:t>付款时间如遇甲方寒暑假，甲方有权将付款时间顺延至假期结束之后。</w:t>
      </w:r>
    </w:p>
    <w:p>
      <w:pPr>
        <w:ind w:firstLine="422"/>
        <w:jc w:val="left"/>
      </w:pPr>
      <w:r>
        <w:rPr>
          <w:b/>
          <w:color w:val="000000"/>
          <w:sz w:val="21"/>
        </w:rPr>
        <w:t>七、</w:t>
      </w:r>
      <w:r>
        <w:rPr>
          <w:b/>
          <w:color w:val="000000"/>
          <w:sz w:val="21"/>
        </w:rPr>
        <w:t>售后服务要求</w:t>
      </w:r>
    </w:p>
    <w:p>
      <w:pPr>
        <w:ind w:firstLine="420"/>
        <w:jc w:val="left"/>
      </w:pPr>
      <w:r>
        <w:rPr>
          <w:color w:val="000000"/>
          <w:sz w:val="21"/>
        </w:rPr>
        <w:t>1. 本项目质量保证期为____年，自验收合格之日起计算。乙方承诺向甲方提供软件系统及数据的维护和支持服务，不再向甲方收取任何费用。</w:t>
      </w:r>
    </w:p>
    <w:p>
      <w:pPr>
        <w:ind w:firstLine="420"/>
        <w:jc w:val="left"/>
      </w:pPr>
      <w:r>
        <w:rPr>
          <w:color w:val="000000"/>
          <w:sz w:val="21"/>
        </w:rPr>
        <w:t>2. 在质量保证期内，乙方负责对其提供的软件系统进行维修或维护,提供电话和Email等技术热线服务。在接到故障或问题告知后</w:t>
      </w:r>
      <w:r>
        <w:rPr>
          <w:sz w:val="21"/>
        </w:rPr>
        <w:t>(7天×24小时热线电话：__)</w:t>
      </w:r>
      <w:r>
        <w:rPr>
          <w:color w:val="000000"/>
          <w:sz w:val="21"/>
        </w:rPr>
        <w:t>，应在</w:t>
      </w:r>
      <w:r>
        <w:rPr>
          <w:sz w:val="21"/>
          <w:u w:val="single"/>
        </w:rPr>
        <w:t xml:space="preserve">    </w:t>
      </w:r>
      <w:r>
        <w:rPr>
          <w:color w:val="000000"/>
          <w:sz w:val="21"/>
        </w:rPr>
        <w:t>小时内响应，系统严重故障需现场处理的，到达现场不超过</w:t>
      </w:r>
      <w:r>
        <w:rPr>
          <w:sz w:val="21"/>
          <w:u w:val="single"/>
        </w:rPr>
        <w:t xml:space="preserve">   </w:t>
      </w:r>
      <w:r>
        <w:rPr>
          <w:color w:val="000000"/>
          <w:sz w:val="21"/>
        </w:rPr>
        <w:t>小时，</w:t>
      </w:r>
      <w:r>
        <w:rPr>
          <w:sz w:val="21"/>
        </w:rPr>
        <w:t>并在</w:t>
      </w:r>
      <w:r>
        <w:rPr>
          <w:sz w:val="21"/>
        </w:rPr>
        <w:t>___小时内（前述响应及到达现场时间已包含计算在内）解决问题。如果线路故障在前述限定时间内仍无法排除</w:t>
      </w:r>
      <w:r>
        <w:rPr>
          <w:color w:val="000000"/>
          <w:sz w:val="21"/>
        </w:rPr>
        <w:t>，乙方应承担由此产生的费用和责任。</w:t>
      </w:r>
    </w:p>
    <w:p>
      <w:pPr>
        <w:ind w:firstLine="420"/>
        <w:jc w:val="left"/>
      </w:pPr>
      <w:r>
        <w:rPr>
          <w:color w:val="000000"/>
          <w:sz w:val="21"/>
        </w:rPr>
        <w:t>3. 乙方承诺对于甲方因业务规则的变化导致的非功能模块功能需求变更，或者因性能要求提升导致的部署结构变化，向甲方提供不限次数的免费支持和修订服务。</w:t>
      </w:r>
    </w:p>
    <w:p>
      <w:pPr>
        <w:ind w:firstLine="420"/>
        <w:jc w:val="left"/>
      </w:pPr>
      <w:r>
        <w:rPr>
          <w:color w:val="000000"/>
          <w:sz w:val="21"/>
        </w:rPr>
        <w:t>4. 质量保证期满后，乙方可根据甲方实际需要另行签订合同继续提供维护服务，维护服务只收取成本费，具体费用由双方另行磋商后确定，但不得超过本合同总价的10%。</w:t>
      </w:r>
    </w:p>
    <w:p>
      <w:pPr>
        <w:ind w:firstLine="422"/>
        <w:jc w:val="left"/>
      </w:pPr>
      <w:r>
        <w:rPr>
          <w:b/>
          <w:color w:val="000000"/>
          <w:sz w:val="21"/>
        </w:rPr>
        <w:t>八、培训</w:t>
      </w:r>
    </w:p>
    <w:p>
      <w:pPr>
        <w:ind w:firstLine="420"/>
        <w:jc w:val="left"/>
      </w:pPr>
      <w:r>
        <w:rPr>
          <w:color w:val="000000"/>
          <w:sz w:val="21"/>
        </w:rPr>
        <w:t>培训应贯穿于整个项目的实施过程，包括项目的准备、研发、运行及维护等的全过程，乙方应采用课堂讲解、主机操作及实际工作参与等方式。软件系统安装调试完毕后，乙方应及时对甲方人员进行培训，培训时间不少于</w:t>
      </w:r>
      <w:r>
        <w:rPr>
          <w:sz w:val="21"/>
          <w:u w:val="single"/>
        </w:rPr>
        <w:t xml:space="preserve">    </w:t>
      </w:r>
      <w:r>
        <w:rPr>
          <w:color w:val="000000"/>
          <w:sz w:val="21"/>
        </w:rPr>
        <w:t>个工作日，甲方受训人数不限。培训目标为受训者能独立熟练使用和自主维护软件系统，并实现本合同规定的目标和功能。</w:t>
      </w:r>
    </w:p>
    <w:p>
      <w:pPr>
        <w:ind w:firstLine="422"/>
        <w:jc w:val="left"/>
      </w:pPr>
      <w:r>
        <w:rPr>
          <w:b/>
          <w:color w:val="000000"/>
          <w:sz w:val="21"/>
        </w:rPr>
        <w:t>九</w:t>
      </w:r>
      <w:r>
        <w:rPr>
          <w:b/>
          <w:sz w:val="21"/>
        </w:rPr>
        <w:t>、违约责任</w:t>
      </w:r>
    </w:p>
    <w:p>
      <w:pPr>
        <w:ind w:firstLine="420"/>
        <w:jc w:val="left"/>
      </w:pPr>
      <w:r>
        <w:rPr>
          <w:sz w:val="21"/>
        </w:rPr>
        <w:t>1.</w:t>
      </w:r>
      <w:r>
        <w:rPr>
          <w:color w:val="000000"/>
          <w:sz w:val="21"/>
        </w:rPr>
        <w:t>乙方提供的服务不符合合同规定的，甲方有权拒收，乙方需向甲方支付合同总价</w:t>
      </w:r>
      <w:r>
        <w:rPr>
          <w:color w:val="000000"/>
          <w:sz w:val="21"/>
        </w:rPr>
        <w:t>10%的违约金。</w:t>
      </w:r>
    </w:p>
    <w:p>
      <w:pPr>
        <w:ind w:firstLine="420"/>
        <w:jc w:val="left"/>
      </w:pPr>
      <w:r>
        <w:rPr>
          <w:sz w:val="21"/>
        </w:rPr>
        <w:t>2.</w:t>
      </w:r>
      <w:r>
        <w:rPr>
          <w:color w:val="000000"/>
          <w:sz w:val="21"/>
        </w:rPr>
        <w:t>乙方迟延提供服务的，每逾期一日，按合同总价的</w:t>
      </w:r>
      <w:r>
        <w:rPr>
          <w:color w:val="000000"/>
          <w:sz w:val="21"/>
        </w:rPr>
        <w:t>0.8‰向甲方支付违约金，甲方有权直接从应付给乙方的合同款项中扣除该违约金，且甲方有权要求乙方继续提供服务直至符合甲方要求。当逾期违约金累计总额超过合同款总额的百分之五时，甲方有权解除合同，如按上述办法计算的违约金仍不足以补偿因乙方违约造成的损失，甲方有权进一步向乙方提出索赔。</w:t>
      </w:r>
    </w:p>
    <w:p>
      <w:pPr>
        <w:ind w:firstLine="420"/>
        <w:jc w:val="left"/>
      </w:pPr>
      <w:r>
        <w:rPr>
          <w:sz w:val="21"/>
        </w:rPr>
        <w:t>3. 若乙方未按本合同的约定提供售后服务，甲方有权自行委托第三方提供甲方所需要的技术支持和售后服务，由此造成的包括但不限于第三方维保费用、甲方其他经济损失等均由乙方承担赔偿。</w:t>
      </w:r>
    </w:p>
    <w:p>
      <w:pPr>
        <w:ind w:firstLine="420"/>
        <w:jc w:val="left"/>
      </w:pPr>
      <w:r>
        <w:rPr>
          <w:sz w:val="21"/>
        </w:rPr>
        <w:t>4. 乙方有以下情形之一的，甲方有权解除合同，乙方需退还甲方已支付的所有款项，并按合同总价的10%向甲方支付违约金，违约金不足以弥补甲方损失的，乙方应另行赔偿：</w:t>
      </w:r>
    </w:p>
    <w:p>
      <w:pPr>
        <w:ind w:firstLine="420"/>
        <w:jc w:val="left"/>
      </w:pPr>
      <w:r>
        <w:rPr>
          <w:sz w:val="21"/>
        </w:rPr>
        <w:t>（</w:t>
      </w:r>
      <w:r>
        <w:rPr>
          <w:sz w:val="21"/>
        </w:rPr>
        <w:t>1）乙方提供的软件系统存在侵犯他人知识产权、肖像权、技术秘密、商业秘密或其他任何权益的；</w:t>
      </w:r>
    </w:p>
    <w:p>
      <w:pPr>
        <w:ind w:firstLine="420"/>
        <w:jc w:val="left"/>
      </w:pPr>
      <w:r>
        <w:rPr>
          <w:sz w:val="21"/>
        </w:rPr>
        <w:t>（</w:t>
      </w:r>
      <w:r>
        <w:rPr>
          <w:sz w:val="21"/>
        </w:rPr>
        <w:t>2）乙方履行义务不符合约定，经甲方提出后在合理期限内仍未改正的；</w:t>
      </w:r>
    </w:p>
    <w:p>
      <w:pPr>
        <w:ind w:firstLine="420"/>
        <w:jc w:val="left"/>
      </w:pPr>
      <w:r>
        <w:rPr>
          <w:sz w:val="21"/>
        </w:rPr>
        <w:t>（</w:t>
      </w:r>
      <w:r>
        <w:rPr>
          <w:sz w:val="21"/>
        </w:rPr>
        <w:t>3）未经甲方书面同意，乙方擅自将本合同项下的权利或义务转让，或将本合同项下服务转包或分包的；</w:t>
      </w:r>
    </w:p>
    <w:p>
      <w:pPr>
        <w:ind w:firstLine="420"/>
        <w:jc w:val="left"/>
      </w:pPr>
      <w:r>
        <w:rPr>
          <w:sz w:val="21"/>
        </w:rPr>
        <w:t>（</w:t>
      </w:r>
      <w:r>
        <w:rPr>
          <w:sz w:val="21"/>
        </w:rPr>
        <w:t>4）国家法律规定的其他合同解除情形。</w:t>
      </w:r>
    </w:p>
    <w:p>
      <w:pPr>
        <w:ind w:firstLine="420"/>
        <w:jc w:val="left"/>
      </w:pPr>
      <w:r>
        <w:rPr>
          <w:sz w:val="21"/>
        </w:rPr>
        <w:t>5. 甲方逾期支付货款，经乙方催告后无正当理由仍不支付的，自催告后每逾期一日，应按逾期付款金额每日0.8‰向乙方支付违约金。</w:t>
      </w:r>
    </w:p>
    <w:p>
      <w:pPr>
        <w:ind w:firstLine="420"/>
        <w:jc w:val="left"/>
      </w:pPr>
      <w:r>
        <w:rPr>
          <w:sz w:val="21"/>
        </w:rPr>
        <w:t>6. 本合同所称之损失，包括守约方的直接经济损失和合同履行后可以获得的利益及合理的调查费、评估费、公证费、诉讼费、交通费、律师费等相关法律费用。</w:t>
      </w:r>
    </w:p>
    <w:p>
      <w:pPr>
        <w:ind w:firstLine="422"/>
        <w:jc w:val="left"/>
      </w:pPr>
      <w:r>
        <w:rPr>
          <w:b/>
          <w:sz w:val="21"/>
        </w:rPr>
        <w:t>十、保密责任</w:t>
      </w:r>
    </w:p>
    <w:p>
      <w:pPr>
        <w:ind w:firstLine="420"/>
        <w:jc w:val="left"/>
      </w:pPr>
      <w:r>
        <w:rPr>
          <w:sz w:val="21"/>
        </w:rPr>
        <w:t>双方应保守通过签订和履行本合同而获取的对方之商业及技术秘密，包括本合同文本，相关技术文件、相关数据，以及其他有关信息。任何一方违反上述约定的，应赔偿合同守约方的损失。本保密条款及保密责任不因合同的解除或终止而消失。</w:t>
      </w:r>
    </w:p>
    <w:p>
      <w:pPr>
        <w:ind w:firstLine="422"/>
        <w:jc w:val="left"/>
      </w:pPr>
      <w:r>
        <w:rPr>
          <w:b/>
          <w:sz w:val="21"/>
        </w:rPr>
        <w:t>十一、不可抗力</w:t>
      </w:r>
    </w:p>
    <w:p>
      <w:pPr>
        <w:ind w:firstLine="420"/>
        <w:jc w:val="left"/>
      </w:pPr>
      <w:r>
        <w:rPr>
          <w:sz w:val="21"/>
        </w:rPr>
        <w:t>一方由于不能预见、不能避免并不能克服的客观情况（也即法定不可抗力事由），且该情况是在合同生效后发生的，导致不能或暂时不能全部或部分履行本合同，该方可以免责。但是，受不可抗力事件影响的一方须尽快将事件发生状况通知另一方，并在不可抗力事件影响消除之日起</w:t>
      </w:r>
      <w:r>
        <w:rPr>
          <w:sz w:val="21"/>
        </w:rPr>
        <w:t>10日内将有关机构出具的不可抗力事件证明寄交对方。逾期未提供以上证明的，不能免除违约责任。</w:t>
      </w:r>
    </w:p>
    <w:p>
      <w:pPr>
        <w:ind w:firstLine="422"/>
        <w:jc w:val="left"/>
      </w:pPr>
      <w:r>
        <w:rPr>
          <w:b/>
          <w:color w:val="000000"/>
          <w:sz w:val="21"/>
        </w:rPr>
        <w:t>十二、法律适用与争议解决</w:t>
      </w:r>
    </w:p>
    <w:p>
      <w:pPr>
        <w:ind w:firstLine="420"/>
        <w:jc w:val="left"/>
      </w:pPr>
      <w:r>
        <w:rPr>
          <w:color w:val="000000"/>
          <w:sz w:val="21"/>
        </w:rPr>
        <w:t>1. 本合同的成立、有效性、解释、履行、签署、修订和终止以及争议的解决等均应适用中华人民共和国法律。</w:t>
      </w:r>
    </w:p>
    <w:p>
      <w:pPr>
        <w:ind w:firstLine="420"/>
        <w:jc w:val="left"/>
      </w:pPr>
      <w:r>
        <w:rPr>
          <w:color w:val="000000"/>
          <w:sz w:val="21"/>
        </w:rPr>
        <w:t>2. 甲乙双方在履行本合同时发生的争议，都应首先由双方通过友好协商解决。双方通过协商仍不能解决争议，双方一致同意向甲方所在地（即广州市天河区）人民法院提起诉讼。</w:t>
      </w:r>
    </w:p>
    <w:p>
      <w:pPr>
        <w:ind w:firstLine="422"/>
        <w:jc w:val="left"/>
      </w:pPr>
      <w:r>
        <w:rPr>
          <w:b/>
          <w:color w:val="000000"/>
          <w:sz w:val="21"/>
        </w:rPr>
        <w:t>十三、通知与送达</w:t>
      </w:r>
    </w:p>
    <w:p>
      <w:pPr>
        <w:ind w:firstLine="420"/>
        <w:jc w:val="left"/>
      </w:pPr>
      <w:r>
        <w:rPr>
          <w:sz w:val="21"/>
        </w:rPr>
        <w:t>一方在本合同履行过程中向对方发出或者提供的所有通知、文件、文书、资料等，均以本合同所列明的地址送达。一方如果迁址、变更电话，应当在变更之日起</w:t>
      </w:r>
      <w:r>
        <w:rPr>
          <w:sz w:val="21"/>
        </w:rPr>
        <w:t>5日内书面通知对方，未履行书面通知义务的，一方按原地址邮寄相关材料或通知相关信息即视为已履行送达义务。当面交付上述材料的，在交付之时视为送达；以邮寄方式交付的，寄出、发出或者投邮后即视为送达。</w:t>
      </w:r>
    </w:p>
    <w:p>
      <w:pPr>
        <w:ind w:firstLine="422"/>
        <w:jc w:val="left"/>
      </w:pPr>
      <w:r>
        <w:rPr>
          <w:b/>
          <w:sz w:val="21"/>
        </w:rPr>
        <w:t>十四、其他约定</w:t>
      </w:r>
    </w:p>
    <w:p>
      <w:pPr>
        <w:ind w:firstLine="420"/>
        <w:jc w:val="both"/>
      </w:pPr>
      <w:r>
        <w:rPr>
          <w:sz w:val="21"/>
        </w:rPr>
        <w:t>1. 本合同其他未尽事宜，以项目招投标文件为准；文件未作规定的，应由双方友好协商解决。如需对本合同及其附件作任何修改或补充，须由双方以书面形式做出，并经双方签字盖章后方为有效。修改或补充文件与本合同有不一致的，以修改或补充文件为准。</w:t>
      </w:r>
    </w:p>
    <w:p>
      <w:pPr>
        <w:ind w:firstLine="420"/>
        <w:jc w:val="both"/>
      </w:pPr>
      <w:r>
        <w:rPr>
          <w:sz w:val="21"/>
        </w:rPr>
        <w:t>2.</w:t>
      </w:r>
      <w:r>
        <w:rPr>
          <w:sz w:val="21"/>
        </w:rPr>
        <w:t>组成本合同的材料包括</w:t>
      </w:r>
      <w:r>
        <w:rPr>
          <w:sz w:val="21"/>
        </w:rPr>
        <w:t>_______采购项目(</w:t>
      </w:r>
      <w:r>
        <w:rPr>
          <w:color w:val="000000"/>
          <w:sz w:val="21"/>
        </w:rPr>
        <w:t>采购编号</w:t>
      </w:r>
      <w:r>
        <w:rPr>
          <w:sz w:val="21"/>
        </w:rPr>
        <w:t>：</w:t>
      </w:r>
      <w:r>
        <w:rPr>
          <w:sz w:val="21"/>
        </w:rPr>
        <w:t>_______）的招标文件、乙方投标文件、承诺以及本项目经双方确认的相关材料</w:t>
      </w:r>
      <w:r>
        <w:rPr>
          <w:sz w:val="21"/>
        </w:rPr>
        <w:t>，合同附件为本合同不可分割的部分。若附件与合同正文有任何不一致，以合同正文为准。</w:t>
      </w:r>
    </w:p>
    <w:p>
      <w:pPr>
        <w:ind w:firstLine="420"/>
        <w:jc w:val="both"/>
      </w:pPr>
      <w:r>
        <w:rPr>
          <w:sz w:val="21"/>
        </w:rPr>
        <w:t>3. 本合同经甲乙双方签字盖章后正式生效。</w:t>
      </w:r>
      <w:r>
        <w:rPr>
          <w:color w:val="000000"/>
          <w:sz w:val="21"/>
        </w:rPr>
        <w:t>一式</w:t>
      </w:r>
      <w:r>
        <w:rPr>
          <w:color w:val="000000"/>
          <w:sz w:val="21"/>
        </w:rPr>
        <w:t>6份，甲方持4份，乙方持2份</w:t>
      </w:r>
      <w:r>
        <w:rPr>
          <w:sz w:val="21"/>
        </w:rPr>
        <w:t>，均为正本，具有同等法律效力。</w:t>
      </w:r>
    </w:p>
    <w:p>
      <w:pPr>
        <w:ind w:firstLine="422"/>
        <w:jc w:val="both"/>
      </w:pPr>
      <w:r>
        <w:rPr>
          <w:b/>
          <w:sz w:val="21"/>
        </w:rPr>
        <w:t>甲乙双方在此确认，本合同为甲乙双方合法之授权代表于广州市天河区签订。</w:t>
      </w:r>
    </w:p>
    <w:p>
      <w:pPr>
        <w:jc w:val="left"/>
      </w:pPr>
      <w:r>
        <w:rPr>
          <w:b/>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795"/>
        <w:gridCol w:w="1206"/>
        <w:gridCol w:w="780"/>
        <w:gridCol w:w="1206"/>
        <w:gridCol w:w="667"/>
        <w:gridCol w:w="624"/>
        <w:gridCol w:w="624"/>
        <w:gridCol w:w="866"/>
        <w:gridCol w:w="1505"/>
      </w:tblGrid>
      <w:tr>
        <w:tc>
          <w:tcPr>
            <w:tcW w:type="dxa" w:w="795"/>
            <w:tcBorders>
              <w:top w:val="single" w:color="000000" w:sz="4"/>
              <w:left w:val="single" w:color="000000" w:sz="4"/>
              <w:bottom w:val="none" w:color="000000" w:sz="4"/>
              <w:right w:val="none" w:color="000000" w:sz="4"/>
            </w:tcBorders>
            <w:vAlign w:val="top"/>
          </w:tcPr>
          <w:p>
            <w:pPr>
              <w:jc w:val="center"/>
            </w:pPr>
            <w:r>
              <w:rPr>
                <w:sz w:val="21"/>
              </w:rPr>
              <w:t>甲方</w:t>
            </w:r>
            <w:r>
              <w:br/>
            </w:r>
            <w:r>
              <w:rPr>
                <w:sz w:val="21"/>
              </w:rPr>
              <w:t>名称</w:t>
            </w:r>
          </w:p>
        </w:tc>
        <w:tc>
          <w:tcPr>
            <w:tcW w:type="dxa" w:w="3192"/>
            <w:gridSpan w:val="3"/>
            <w:tcBorders>
              <w:top w:val="single" w:color="000000" w:sz="4"/>
              <w:left w:val="single" w:color="000000" w:sz="4"/>
              <w:bottom w:val="none" w:color="000000" w:sz="4"/>
              <w:right w:val="none" w:color="000000" w:sz="4"/>
            </w:tcBorders>
            <w:vAlign w:val="top"/>
          </w:tcPr>
          <w:p>
            <w:pPr>
              <w:ind w:firstLine="105"/>
              <w:jc w:val="left"/>
            </w:pPr>
            <w:r>
              <w:rPr>
                <w:sz w:val="21"/>
              </w:rPr>
              <w:t xml:space="preserve">华南师范大学  </w:t>
            </w:r>
          </w:p>
        </w:tc>
        <w:tc>
          <w:tcPr>
            <w:tcW w:type="dxa" w:w="667"/>
            <w:tcBorders>
              <w:top w:val="single" w:color="000000" w:sz="4"/>
              <w:left w:val="single" w:color="000000" w:sz="4"/>
              <w:bottom w:val="none" w:color="000000" w:sz="4"/>
              <w:right w:val="none" w:color="000000" w:sz="4"/>
            </w:tcBorders>
            <w:vAlign w:val="top"/>
          </w:tcPr>
          <w:p>
            <w:pPr>
              <w:jc w:val="center"/>
            </w:pPr>
            <w:r>
              <w:rPr>
                <w:sz w:val="21"/>
              </w:rPr>
              <w:t>乙方</w:t>
            </w:r>
            <w:r>
              <w:br/>
            </w:r>
            <w:r>
              <w:rPr>
                <w:sz w:val="21"/>
              </w:rPr>
              <w:t>名称</w:t>
            </w:r>
          </w:p>
        </w:tc>
        <w:tc>
          <w:tcPr>
            <w:tcW w:type="dxa" w:w="3619"/>
            <w:gridSpan w:val="4"/>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vAlign w:val="top"/>
          </w:tcPr>
          <w:p>
            <w:pPr>
              <w:jc w:val="center"/>
            </w:pPr>
            <w:r>
              <w:rPr>
                <w:sz w:val="21"/>
              </w:rPr>
              <w:t>单位</w:t>
            </w:r>
            <w:r>
              <w:br/>
            </w:r>
            <w:r>
              <w:rPr>
                <w:sz w:val="21"/>
              </w:rPr>
              <w:t>地址</w:t>
            </w:r>
          </w:p>
        </w:tc>
        <w:tc>
          <w:tcPr>
            <w:tcW w:type="dxa" w:w="3192"/>
            <w:gridSpan w:val="3"/>
            <w:tcBorders>
              <w:top w:val="single" w:color="000000" w:sz="4"/>
              <w:left w:val="single" w:color="000000" w:sz="4"/>
              <w:bottom w:val="none" w:color="000000" w:sz="4"/>
              <w:right w:val="none" w:color="000000" w:sz="4"/>
            </w:tcBorders>
            <w:vAlign w:val="top"/>
          </w:tcPr>
          <w:p>
            <w:pPr>
              <w:ind w:firstLine="105"/>
              <w:jc w:val="left"/>
            </w:pPr>
            <w:r>
              <w:rPr>
                <w:sz w:val="21"/>
              </w:rPr>
              <w:t xml:space="preserve">广州市中山大道西55号   </w:t>
            </w:r>
          </w:p>
        </w:tc>
        <w:tc>
          <w:tcPr>
            <w:tcW w:type="dxa" w:w="667"/>
            <w:tcBorders>
              <w:top w:val="single" w:color="000000" w:sz="4"/>
              <w:left w:val="single" w:color="000000" w:sz="4"/>
              <w:bottom w:val="none" w:color="000000" w:sz="4"/>
              <w:right w:val="none" w:color="000000" w:sz="4"/>
            </w:tcBorders>
            <w:vAlign w:val="top"/>
          </w:tcPr>
          <w:p>
            <w:pPr>
              <w:jc w:val="center"/>
            </w:pPr>
            <w:r>
              <w:rPr>
                <w:sz w:val="21"/>
              </w:rPr>
              <w:t>单位</w:t>
            </w:r>
            <w:r>
              <w:br/>
            </w:r>
            <w:r>
              <w:rPr>
                <w:sz w:val="21"/>
              </w:rPr>
              <w:t>地址</w:t>
            </w:r>
          </w:p>
        </w:tc>
        <w:tc>
          <w:tcPr>
            <w:tcW w:type="dxa" w:w="3619"/>
            <w:gridSpan w:val="4"/>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vAlign w:val="top"/>
          </w:tcPr>
          <w:p>
            <w:pPr>
              <w:jc w:val="center"/>
            </w:pPr>
            <w:r>
              <w:rPr>
                <w:sz w:val="21"/>
              </w:rPr>
              <w:t>联系人</w:t>
            </w:r>
          </w:p>
        </w:tc>
        <w:tc>
          <w:tcPr>
            <w:tcW w:type="dxa" w:w="1206"/>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c>
          <w:tcPr>
            <w:tcW w:type="dxa" w:w="780"/>
            <w:tcBorders>
              <w:top w:val="single" w:color="000000" w:sz="4"/>
              <w:left w:val="none" w:color="000000" w:sz="4"/>
              <w:bottom w:val="none" w:color="000000" w:sz="4"/>
              <w:right w:val="none" w:color="000000" w:sz="4"/>
            </w:tcBorders>
            <w:vAlign w:val="top"/>
          </w:tcPr>
          <w:p>
            <w:pPr>
              <w:ind w:firstLine="105"/>
              <w:jc w:val="left"/>
            </w:pPr>
            <w:r>
              <w:rPr>
                <w:sz w:val="21"/>
              </w:rPr>
              <w:t>电话</w:t>
            </w:r>
          </w:p>
        </w:tc>
        <w:tc>
          <w:tcPr>
            <w:tcW w:type="dxa" w:w="1206"/>
            <w:tcBorders>
              <w:top w:val="single" w:color="000000" w:sz="4"/>
              <w:left w:val="single" w:color="000000" w:sz="4"/>
              <w:bottom w:val="none" w:color="000000" w:sz="4"/>
              <w:right w:val="none" w:color="000000" w:sz="4"/>
            </w:tcBorders>
            <w:vAlign w:val="top"/>
          </w:tcPr>
          <w:p>
            <w:pPr>
              <w:ind w:firstLine="105"/>
              <w:jc w:val="left"/>
            </w:pPr>
            <w:r>
              <w:rPr>
                <w:sz w:val="21"/>
              </w:rPr>
              <w:t>（必填项）</w:t>
            </w:r>
          </w:p>
        </w:tc>
        <w:tc>
          <w:tcPr>
            <w:tcW w:type="dxa" w:w="667"/>
            <w:tcBorders>
              <w:top w:val="single" w:color="000000" w:sz="4"/>
              <w:left w:val="single" w:color="000000" w:sz="4"/>
              <w:bottom w:val="none" w:color="000000" w:sz="4"/>
              <w:right w:val="none" w:color="000000" w:sz="4"/>
            </w:tcBorders>
            <w:vAlign w:val="top"/>
          </w:tcPr>
          <w:p>
            <w:pPr>
              <w:jc w:val="center"/>
            </w:pPr>
            <w:r>
              <w:rPr>
                <w:sz w:val="21"/>
              </w:rPr>
              <w:t>联系人</w:t>
            </w:r>
          </w:p>
        </w:tc>
        <w:tc>
          <w:tcPr>
            <w:tcW w:type="dxa" w:w="1248"/>
            <w:gridSpan w:val="2"/>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c>
          <w:tcPr>
            <w:tcW w:type="dxa" w:w="866"/>
            <w:tcBorders>
              <w:top w:val="single" w:color="000000" w:sz="4"/>
              <w:left w:val="none" w:color="000000" w:sz="4"/>
              <w:bottom w:val="none" w:color="000000" w:sz="4"/>
              <w:right w:val="single" w:color="000000" w:sz="4"/>
            </w:tcBorders>
            <w:vAlign w:val="top"/>
          </w:tcPr>
          <w:p>
            <w:pPr>
              <w:ind w:firstLine="105"/>
              <w:jc w:val="left"/>
            </w:pPr>
            <w:r>
              <w:rPr>
                <w:sz w:val="21"/>
              </w:rPr>
              <w:t>电话</w:t>
            </w:r>
          </w:p>
        </w:tc>
        <w:tc>
          <w:tcPr>
            <w:tcW w:type="dxa" w:w="1505"/>
            <w:tcBorders>
              <w:top w:val="single" w:color="000000" w:sz="4"/>
              <w:left w:val="none" w:color="000000" w:sz="4"/>
              <w:bottom w:val="none" w:color="000000" w:sz="4"/>
              <w:right w:val="single" w:color="000000" w:sz="4"/>
            </w:tcBorders>
            <w:vAlign w:val="top"/>
          </w:tcPr>
          <w:p>
            <w:pPr>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vAlign w:val="top"/>
          </w:tcPr>
          <w:p>
            <w:pPr>
              <w:jc w:val="center"/>
            </w:pPr>
            <w:r>
              <w:rPr>
                <w:sz w:val="21"/>
              </w:rPr>
              <w:t>传真</w:t>
            </w:r>
          </w:p>
        </w:tc>
        <w:tc>
          <w:tcPr>
            <w:tcW w:type="dxa" w:w="1206"/>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c>
          <w:tcPr>
            <w:tcW w:type="dxa" w:w="780"/>
            <w:tcBorders>
              <w:top w:val="single" w:color="000000" w:sz="4"/>
              <w:left w:val="none" w:color="000000" w:sz="4"/>
              <w:bottom w:val="none" w:color="000000" w:sz="4"/>
              <w:right w:val="none" w:color="000000" w:sz="4"/>
            </w:tcBorders>
            <w:vAlign w:val="top"/>
          </w:tcPr>
          <w:p>
            <w:pPr>
              <w:ind w:firstLine="105"/>
              <w:jc w:val="left"/>
            </w:pPr>
            <w:r>
              <w:rPr>
                <w:sz w:val="21"/>
              </w:rPr>
              <w:t>邮编</w:t>
            </w:r>
          </w:p>
        </w:tc>
        <w:tc>
          <w:tcPr>
            <w:tcW w:type="dxa" w:w="1206"/>
            <w:tcBorders>
              <w:top w:val="single" w:color="000000" w:sz="4"/>
              <w:left w:val="single" w:color="000000" w:sz="4"/>
              <w:bottom w:val="none" w:color="000000" w:sz="4"/>
              <w:right w:val="none" w:color="000000" w:sz="4"/>
            </w:tcBorders>
            <w:vAlign w:val="top"/>
          </w:tcPr>
          <w:p>
            <w:pPr>
              <w:ind w:firstLine="105"/>
              <w:jc w:val="left"/>
            </w:pPr>
            <w:r>
              <w:rPr>
                <w:sz w:val="21"/>
              </w:rPr>
              <w:t>（必填项）</w:t>
            </w:r>
          </w:p>
        </w:tc>
        <w:tc>
          <w:tcPr>
            <w:tcW w:type="dxa" w:w="667"/>
            <w:tcBorders>
              <w:top w:val="single" w:color="000000" w:sz="4"/>
              <w:left w:val="single" w:color="000000" w:sz="4"/>
              <w:bottom w:val="none" w:color="000000" w:sz="4"/>
              <w:right w:val="none" w:color="000000" w:sz="4"/>
            </w:tcBorders>
            <w:vAlign w:val="top"/>
          </w:tcPr>
          <w:p>
            <w:pPr>
              <w:jc w:val="center"/>
            </w:pPr>
            <w:r>
              <w:rPr>
                <w:sz w:val="21"/>
              </w:rPr>
              <w:t>传真</w:t>
            </w:r>
          </w:p>
        </w:tc>
        <w:tc>
          <w:tcPr>
            <w:tcW w:type="dxa" w:w="1248"/>
            <w:gridSpan w:val="2"/>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c>
          <w:tcPr>
            <w:tcW w:type="dxa" w:w="866"/>
            <w:tcBorders>
              <w:top w:val="single" w:color="000000" w:sz="4"/>
              <w:left w:val="none" w:color="000000" w:sz="4"/>
              <w:bottom w:val="none" w:color="000000" w:sz="4"/>
              <w:right w:val="single" w:color="000000" w:sz="4"/>
            </w:tcBorders>
            <w:vAlign w:val="top"/>
          </w:tcPr>
          <w:p>
            <w:pPr>
              <w:ind w:firstLine="105"/>
              <w:jc w:val="left"/>
            </w:pPr>
            <w:r>
              <w:rPr>
                <w:sz w:val="21"/>
              </w:rPr>
              <w:t>邮编</w:t>
            </w:r>
          </w:p>
        </w:tc>
        <w:tc>
          <w:tcPr>
            <w:tcW w:type="dxa" w:w="1505"/>
            <w:tcBorders>
              <w:top w:val="single" w:color="000000" w:sz="4"/>
              <w:left w:val="none" w:color="000000" w:sz="4"/>
              <w:bottom w:val="none" w:color="000000" w:sz="4"/>
              <w:right w:val="single" w:color="000000" w:sz="4"/>
            </w:tcBorders>
            <w:vAlign w:val="top"/>
          </w:tcPr>
          <w:p>
            <w:pPr>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vAlign w:val="top"/>
          </w:tcPr>
          <w:p>
            <w:pPr>
              <w:jc w:val="center"/>
            </w:pPr>
            <w:r>
              <w:rPr>
                <w:sz w:val="21"/>
              </w:rPr>
              <w:t>开户</w:t>
            </w:r>
            <w:r>
              <w:br/>
            </w:r>
            <w:r>
              <w:rPr>
                <w:sz w:val="21"/>
              </w:rPr>
              <w:t>银行</w:t>
            </w:r>
          </w:p>
        </w:tc>
        <w:tc>
          <w:tcPr>
            <w:tcW w:type="dxa" w:w="3192"/>
            <w:gridSpan w:val="3"/>
            <w:tcBorders>
              <w:top w:val="single" w:color="000000" w:sz="4"/>
              <w:left w:val="single" w:color="000000" w:sz="4"/>
              <w:bottom w:val="none" w:color="000000" w:sz="4"/>
              <w:right w:val="none" w:color="000000" w:sz="4"/>
            </w:tcBorders>
            <w:vAlign w:val="top"/>
          </w:tcPr>
          <w:p>
            <w:pPr>
              <w:ind w:firstLine="105"/>
              <w:jc w:val="left"/>
            </w:pPr>
            <w:r>
              <w:rPr>
                <w:sz w:val="21"/>
              </w:rPr>
              <w:t xml:space="preserve">工商银行广州市高新区支行  </w:t>
            </w:r>
          </w:p>
        </w:tc>
        <w:tc>
          <w:tcPr>
            <w:tcW w:type="dxa" w:w="667"/>
            <w:tcBorders>
              <w:top w:val="single" w:color="000000" w:sz="4"/>
              <w:left w:val="single" w:color="000000" w:sz="4"/>
              <w:bottom w:val="none" w:color="000000" w:sz="4"/>
              <w:right w:val="none" w:color="000000" w:sz="4"/>
            </w:tcBorders>
            <w:vAlign w:val="top"/>
          </w:tcPr>
          <w:p>
            <w:pPr>
              <w:jc w:val="center"/>
            </w:pPr>
            <w:r>
              <w:rPr>
                <w:sz w:val="21"/>
              </w:rPr>
              <w:t xml:space="preserve">开户 </w:t>
            </w:r>
            <w:r>
              <w:br/>
            </w:r>
            <w:r>
              <w:rPr>
                <w:sz w:val="21"/>
              </w:rPr>
              <w:t>银行</w:t>
            </w:r>
          </w:p>
        </w:tc>
        <w:tc>
          <w:tcPr>
            <w:tcW w:type="dxa" w:w="3619"/>
            <w:gridSpan w:val="4"/>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vAlign w:val="top"/>
          </w:tcPr>
          <w:p>
            <w:pPr>
              <w:jc w:val="center"/>
            </w:pPr>
            <w:r>
              <w:rPr>
                <w:sz w:val="21"/>
              </w:rPr>
              <w:t>银行</w:t>
            </w:r>
            <w:r>
              <w:br/>
            </w:r>
            <w:r>
              <w:rPr>
                <w:sz w:val="21"/>
              </w:rPr>
              <w:t>帐号</w:t>
            </w:r>
          </w:p>
        </w:tc>
        <w:tc>
          <w:tcPr>
            <w:tcW w:type="dxa" w:w="3192"/>
            <w:gridSpan w:val="3"/>
            <w:tcBorders>
              <w:top w:val="single" w:color="000000" w:sz="4"/>
              <w:left w:val="single" w:color="000000" w:sz="4"/>
              <w:bottom w:val="none" w:color="000000" w:sz="4"/>
              <w:right w:val="none" w:color="000000" w:sz="4"/>
            </w:tcBorders>
            <w:vAlign w:val="top"/>
          </w:tcPr>
          <w:p>
            <w:pPr>
              <w:ind w:firstLine="105"/>
              <w:jc w:val="left"/>
            </w:pPr>
            <w:r>
              <w:rPr>
                <w:sz w:val="21"/>
              </w:rPr>
              <w:t xml:space="preserve">3602008109000386071  </w:t>
            </w:r>
          </w:p>
        </w:tc>
        <w:tc>
          <w:tcPr>
            <w:tcW w:type="dxa" w:w="667"/>
            <w:tcBorders>
              <w:top w:val="single" w:color="000000" w:sz="4"/>
              <w:left w:val="single" w:color="000000" w:sz="4"/>
              <w:bottom w:val="none" w:color="000000" w:sz="4"/>
              <w:right w:val="none" w:color="000000" w:sz="4"/>
            </w:tcBorders>
            <w:vAlign w:val="top"/>
          </w:tcPr>
          <w:p>
            <w:pPr>
              <w:jc w:val="center"/>
            </w:pPr>
            <w:r>
              <w:rPr>
                <w:sz w:val="21"/>
              </w:rPr>
              <w:t xml:space="preserve">银行 </w:t>
            </w:r>
            <w:r>
              <w:br/>
            </w:r>
            <w:r>
              <w:rPr>
                <w:sz w:val="21"/>
              </w:rPr>
              <w:t>帐号</w:t>
            </w:r>
          </w:p>
        </w:tc>
        <w:tc>
          <w:tcPr>
            <w:tcW w:type="dxa" w:w="3619"/>
            <w:gridSpan w:val="4"/>
            <w:tcBorders>
              <w:top w:val="single" w:color="000000" w:sz="4"/>
              <w:left w:val="single" w:color="000000" w:sz="4"/>
              <w:bottom w:val="none" w:color="000000" w:sz="4"/>
              <w:right w:val="single" w:color="000000" w:sz="4"/>
            </w:tcBorders>
            <w:vAlign w:val="top"/>
          </w:tcPr>
          <w:p>
            <w:pPr>
              <w:ind w:firstLine="105"/>
              <w:jc w:val="left"/>
            </w:pPr>
            <w:r>
              <w:rPr>
                <w:sz w:val="21"/>
              </w:rPr>
              <w:t>（必填项）</w:t>
            </w:r>
          </w:p>
        </w:tc>
      </w:tr>
      <w:tr>
        <w:tc>
          <w:tcPr>
            <w:tcW w:type="dxa" w:w="795"/>
            <w:tcBorders>
              <w:top w:val="single" w:color="000000" w:sz="4"/>
              <w:left w:val="single" w:color="000000" w:sz="4"/>
              <w:bottom w:val="none" w:color="000000" w:sz="4"/>
              <w:right w:val="none" w:color="000000" w:sz="4"/>
            </w:tcBorders>
            <w:vAlign w:val="top"/>
          </w:tcPr>
          <w:p>
            <w:pPr>
              <w:jc w:val="center"/>
            </w:pPr>
            <w:r>
              <w:rPr>
                <w:sz w:val="21"/>
              </w:rPr>
              <w:t>法定代表人/委托代理人</w:t>
            </w:r>
          </w:p>
        </w:tc>
        <w:tc>
          <w:tcPr>
            <w:tcW w:type="dxa" w:w="3192"/>
            <w:gridSpan w:val="3"/>
            <w:vMerge w:val="restart"/>
            <w:tcBorders>
              <w:top w:val="single" w:color="000000" w:sz="4"/>
              <w:left w:val="single" w:color="000000" w:sz="4"/>
              <w:bottom w:val="single" w:color="000000" w:sz="4"/>
              <w:right w:val="none" w:color="000000" w:sz="4"/>
            </w:tcBorders>
            <w:vAlign w:val="top"/>
          </w:tcPr>
          <w:p>
            <w:pPr>
              <w:jc w:val="left"/>
            </w:pPr>
            <w:r>
              <w:rPr>
                <w:sz w:val="21"/>
              </w:rPr>
              <w:t xml:space="preserve"> （必填项）</w:t>
            </w:r>
          </w:p>
        </w:tc>
        <w:tc>
          <w:tcPr>
            <w:tcW w:type="dxa" w:w="1291"/>
            <w:gridSpan w:val="2"/>
            <w:tcBorders>
              <w:top w:val="single" w:color="000000" w:sz="4"/>
              <w:left w:val="single" w:color="000000" w:sz="4"/>
              <w:bottom w:val="none" w:color="000000" w:sz="4"/>
              <w:right w:val="none" w:color="000000" w:sz="4"/>
            </w:tcBorders>
            <w:vAlign w:val="top"/>
          </w:tcPr>
          <w:p>
            <w:pPr>
              <w:jc w:val="center"/>
            </w:pPr>
            <w:r>
              <w:rPr>
                <w:sz w:val="21"/>
              </w:rPr>
              <w:t>法定代表人/委托代理人</w:t>
            </w:r>
          </w:p>
        </w:tc>
        <w:tc>
          <w:tcPr>
            <w:tcW w:type="dxa" w:w="2995"/>
            <w:gridSpan w:val="3"/>
            <w:vMerge w:val="restart"/>
            <w:tcBorders>
              <w:top w:val="single" w:color="000000" w:sz="4"/>
              <w:left w:val="single" w:color="000000" w:sz="4"/>
              <w:bottom w:val="single" w:color="000000" w:sz="4"/>
              <w:right w:val="single" w:color="000000" w:sz="4"/>
            </w:tcBorders>
            <w:vAlign w:val="top"/>
          </w:tcPr>
          <w:p>
            <w:pPr>
              <w:jc w:val="left"/>
            </w:pPr>
            <w:r>
              <w:rPr>
                <w:sz w:val="21"/>
              </w:rPr>
              <w:t xml:space="preserve"> （必填项）</w:t>
            </w:r>
          </w:p>
        </w:tc>
      </w:tr>
      <w:tr>
        <w:tc>
          <w:tcPr>
            <w:tcW w:type="dxa" w:w="795"/>
            <w:tcBorders>
              <w:top w:val="single" w:color="000000" w:sz="4"/>
              <w:left w:val="single" w:color="000000" w:sz="4"/>
              <w:bottom w:val="single" w:color="000000" w:sz="4"/>
              <w:right w:val="none" w:color="000000" w:sz="4"/>
            </w:tcBorders>
            <w:vAlign w:val="top"/>
          </w:tcPr>
          <w:p>
            <w:pPr>
              <w:jc w:val="center"/>
            </w:pPr>
            <w:r>
              <w:rPr>
                <w:sz w:val="21"/>
              </w:rPr>
              <w:t>签订日期、甲方盖章</w:t>
            </w:r>
          </w:p>
        </w:tc>
        <w:tc>
          <w:tcPr>
            <w:tcW w:type="dxa" w:w="3192"/>
            <w:gridSpan w:val="3"/>
            <w:vMerge/>
            <w:tcBorders>
              <w:top w:val="single" w:color="000000" w:sz="4"/>
              <w:left w:val="single" w:color="000000" w:sz="4"/>
              <w:bottom w:val="single" w:color="000000" w:sz="4"/>
              <w:right w:val="none" w:color="000000" w:sz="4"/>
            </w:tcBorders>
          </w:tcPr>
          <w:p/>
        </w:tc>
        <w:tc>
          <w:tcPr>
            <w:tcW w:type="dxa" w:w="1291"/>
            <w:gridSpan w:val="2"/>
            <w:tcBorders>
              <w:top w:val="single" w:color="000000" w:sz="4"/>
              <w:left w:val="single" w:color="000000" w:sz="4"/>
              <w:bottom w:val="single" w:color="000000" w:sz="4"/>
              <w:right w:val="none" w:color="000000" w:sz="4"/>
            </w:tcBorders>
            <w:vAlign w:val="top"/>
          </w:tcPr>
          <w:p>
            <w:pPr>
              <w:jc w:val="center"/>
            </w:pPr>
            <w:r>
              <w:rPr>
                <w:sz w:val="21"/>
              </w:rPr>
              <w:t>签订日期、乙方盖章</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440001-2022-44211</w:t>
      </w:r>
    </w:p>
    <w:p>
      <w:pPr>
        <w:jc w:val="center"/>
      </w:pPr>
      <w:r>
        <w:rPr>
          <w:b/>
          <w:sz w:val="24"/>
        </w:rPr>
        <w:t>采购项目编号：</w:t>
      </w:r>
      <w:r>
        <w:rPr>
          <w:b/>
          <w:sz w:val="24"/>
        </w:rPr>
        <w:t>440001-2022-44211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华南师范大学采购数据治理(三期)项目</w:t>
      </w:r>
      <w:r>
        <w:rPr/>
        <w:t>项目的招标[采购项目编号为：</w:t>
      </w:r>
      <w:r>
        <w:rPr>
          <w:u w:val="single"/>
        </w:rPr>
        <w:t>440001-2022-44211</w:t>
      </w:r>
      <w:r>
        <w:rPr/>
        <w:t>]，我方愿参与投标。</w:t>
      </w:r>
    </w:p>
    <w:p>
      <w:pPr>
        <w:ind w:firstLine="480"/>
      </w:pPr>
      <w:r>
        <w:rPr/>
        <w:t>我方确认收到贵方提供的</w:t>
      </w:r>
      <w:r>
        <w:rPr>
          <w:u w:val="single"/>
        </w:rPr>
        <w:t>华南师范大学采购数据治理(三期)项目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华南师范大学采购数据治理(三期)项目</w:t>
      </w:r>
      <w:r>
        <w:rPr/>
        <w:t>项目采购[采购项目编号为</w:t>
      </w:r>
      <w:r>
        <w:rPr/>
        <w:t>440001-2022-44211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华南师范大学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华南师范大学采购数据治理(三期)项目</w:t>
      </w:r>
      <w:r>
        <w:rPr/>
        <w:t>招标中获中标（采购项目编号：</w:t>
      </w:r>
      <w:r>
        <w:rPr/>
        <w:t>440001-2022-44211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w:t>
      </w:r>
    </w:p>
    <w:p>
      <w:pPr>
        <w:ind w:firstLine="480"/>
      </w:pPr>
      <w:r>
        <w:rPr/>
        <w:t>我单位已登记并准备参与</w:t>
      </w:r>
      <w:r>
        <w:rPr/>
        <w:t>华南师范大学采购数据治理(三期)项目</w:t>
      </w:r>
      <w:r>
        <w:rPr/>
        <w:t>项目（采购项目编号：</w:t>
      </w:r>
      <w:r>
        <w:rPr/>
        <w:t>440001-2022-44211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