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986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Style w:val="10"/>
          <w:rFonts w:hint="eastAsia" w:ascii="宋体" w:hAnsi="宋体" w:eastAsia="宋体" w:cs="宋体"/>
          <w:b/>
          <w:bCs/>
          <w:i w:val="0"/>
          <w:iCs w:val="0"/>
          <w:caps w:val="0"/>
          <w:color w:val="333333"/>
          <w:spacing w:val="0"/>
          <w:sz w:val="36"/>
          <w:szCs w:val="36"/>
          <w:u w:val="none"/>
          <w:shd w:val="clear" w:fill="FFFFFF"/>
          <w:lang w:eastAsia="zh-CN"/>
        </w:rPr>
      </w:pPr>
      <w:r>
        <w:rPr>
          <w:rStyle w:val="10"/>
          <w:rFonts w:hint="eastAsia" w:ascii="宋体" w:hAnsi="宋体" w:eastAsia="宋体" w:cs="宋体"/>
          <w:b/>
          <w:bCs/>
          <w:i w:val="0"/>
          <w:iCs w:val="0"/>
          <w:caps w:val="0"/>
          <w:color w:val="333333"/>
          <w:spacing w:val="0"/>
          <w:sz w:val="36"/>
          <w:szCs w:val="36"/>
          <w:u w:val="none"/>
          <w:shd w:val="clear" w:fill="FFFFFF"/>
          <w:lang w:eastAsia="zh-CN"/>
        </w:rPr>
        <w:t>华南理工大学大学城校区研究生宿舍（二期）</w:t>
      </w:r>
    </w:p>
    <w:p w14:paraId="3E6BA3B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宋体" w:cs="微软雅黑"/>
          <w:i w:val="0"/>
          <w:iCs w:val="0"/>
          <w:caps w:val="0"/>
          <w:color w:val="333333"/>
          <w:spacing w:val="0"/>
          <w:sz w:val="24"/>
          <w:szCs w:val="24"/>
          <w:u w:val="none"/>
          <w:lang w:eastAsia="zh-CN"/>
        </w:rPr>
      </w:pPr>
      <w:r>
        <w:rPr>
          <w:rStyle w:val="10"/>
          <w:rFonts w:hint="eastAsia" w:ascii="宋体" w:hAnsi="宋体" w:eastAsia="宋体" w:cs="宋体"/>
          <w:b/>
          <w:bCs/>
          <w:i w:val="0"/>
          <w:iCs w:val="0"/>
          <w:caps w:val="0"/>
          <w:color w:val="333333"/>
          <w:spacing w:val="0"/>
          <w:sz w:val="36"/>
          <w:szCs w:val="36"/>
          <w:u w:val="none"/>
          <w:shd w:val="clear" w:fill="FFFFFF"/>
          <w:lang w:eastAsia="zh-CN"/>
        </w:rPr>
        <w:t>勘察设计</w:t>
      </w:r>
    </w:p>
    <w:p w14:paraId="42F3973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sz w:val="24"/>
          <w:szCs w:val="24"/>
          <w:u w:val="none"/>
        </w:rPr>
      </w:pPr>
      <w:r>
        <w:rPr>
          <w:rStyle w:val="10"/>
          <w:rFonts w:hint="eastAsia" w:ascii="宋体" w:hAnsi="宋体" w:eastAsia="宋体" w:cs="宋体"/>
          <w:b/>
          <w:bCs/>
          <w:i w:val="0"/>
          <w:iCs w:val="0"/>
          <w:caps w:val="0"/>
          <w:color w:val="333333"/>
          <w:spacing w:val="0"/>
          <w:sz w:val="36"/>
          <w:szCs w:val="36"/>
          <w:u w:val="none"/>
          <w:shd w:val="clear" w:fill="FFFFFF"/>
        </w:rPr>
        <w:t>（项目编号：</w:t>
      </w:r>
      <w:r>
        <w:rPr>
          <w:rStyle w:val="10"/>
          <w:rFonts w:hint="eastAsia" w:ascii="宋体" w:hAnsi="宋体" w:eastAsia="宋体" w:cs="宋体"/>
          <w:b/>
          <w:bCs/>
          <w:i w:val="0"/>
          <w:iCs w:val="0"/>
          <w:caps w:val="0"/>
          <w:color w:val="333333"/>
          <w:spacing w:val="0"/>
          <w:sz w:val="36"/>
          <w:szCs w:val="36"/>
          <w:u w:val="none"/>
          <w:shd w:val="clear" w:fill="FFFFFF"/>
          <w:lang w:eastAsia="zh-CN"/>
        </w:rPr>
        <w:t>JG2025-1093</w:t>
      </w:r>
      <w:r>
        <w:rPr>
          <w:rStyle w:val="10"/>
          <w:rFonts w:hint="eastAsia" w:ascii="宋体" w:hAnsi="宋体" w:eastAsia="宋体" w:cs="宋体"/>
          <w:b/>
          <w:bCs/>
          <w:i w:val="0"/>
          <w:iCs w:val="0"/>
          <w:caps w:val="0"/>
          <w:color w:val="333333"/>
          <w:spacing w:val="0"/>
          <w:sz w:val="36"/>
          <w:szCs w:val="36"/>
          <w:u w:val="none"/>
          <w:shd w:val="clear" w:fill="FFFFFF"/>
        </w:rPr>
        <w:t>）补充公告</w:t>
      </w:r>
    </w:p>
    <w:p w14:paraId="3EA926E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shd w:val="clear" w:fill="FFFFFF"/>
          <w:lang w:eastAsia="zh-CN"/>
        </w:rPr>
        <w:t>华南理工大学大学城校区研究生宿舍（二期）勘察设计</w:t>
      </w:r>
      <w:r>
        <w:rPr>
          <w:rFonts w:hint="eastAsia" w:ascii="宋体" w:hAnsi="宋体" w:eastAsia="宋体" w:cs="宋体"/>
          <w:i w:val="0"/>
          <w:iCs w:val="0"/>
          <w:caps w:val="0"/>
          <w:color w:val="auto"/>
          <w:spacing w:val="0"/>
          <w:sz w:val="21"/>
          <w:szCs w:val="21"/>
          <w:u w:val="none"/>
          <w:shd w:val="clear" w:fill="FFFFFF"/>
        </w:rPr>
        <w:t>（项目编号：</w:t>
      </w:r>
      <w:r>
        <w:rPr>
          <w:rFonts w:hint="eastAsia" w:ascii="宋体" w:hAnsi="宋体" w:eastAsia="宋体" w:cs="宋体"/>
          <w:i w:val="0"/>
          <w:iCs w:val="0"/>
          <w:caps w:val="0"/>
          <w:color w:val="auto"/>
          <w:spacing w:val="0"/>
          <w:sz w:val="21"/>
          <w:szCs w:val="21"/>
          <w:u w:val="none"/>
          <w:shd w:val="clear" w:fill="FFFFFF"/>
          <w:lang w:eastAsia="zh-CN"/>
        </w:rPr>
        <w:t>JG2025-1093</w:t>
      </w:r>
      <w:r>
        <w:rPr>
          <w:rFonts w:hint="eastAsia" w:ascii="宋体" w:hAnsi="宋体" w:eastAsia="宋体" w:cs="宋体"/>
          <w:i w:val="0"/>
          <w:iCs w:val="0"/>
          <w:caps w:val="0"/>
          <w:color w:val="auto"/>
          <w:spacing w:val="0"/>
          <w:sz w:val="21"/>
          <w:szCs w:val="21"/>
          <w:u w:val="none"/>
          <w:shd w:val="clear" w:fill="FFFFFF"/>
        </w:rPr>
        <w:t>，下文简称“本项目”）于2025年3月</w:t>
      </w:r>
      <w:r>
        <w:rPr>
          <w:rFonts w:hint="eastAsia" w:ascii="宋体" w:hAnsi="宋体" w:eastAsia="宋体" w:cs="宋体"/>
          <w:i w:val="0"/>
          <w:iCs w:val="0"/>
          <w:caps w:val="0"/>
          <w:color w:val="auto"/>
          <w:spacing w:val="0"/>
          <w:sz w:val="21"/>
          <w:szCs w:val="21"/>
          <w:u w:val="none"/>
          <w:shd w:val="clear" w:fill="FFFFFF"/>
          <w:lang w:val="en-US" w:eastAsia="zh-CN"/>
        </w:rPr>
        <w:t>19</w:t>
      </w:r>
      <w:r>
        <w:rPr>
          <w:rFonts w:hint="eastAsia" w:ascii="宋体" w:hAnsi="宋体" w:eastAsia="宋体" w:cs="宋体"/>
          <w:i w:val="0"/>
          <w:iCs w:val="0"/>
          <w:caps w:val="0"/>
          <w:color w:val="auto"/>
          <w:spacing w:val="0"/>
          <w:sz w:val="21"/>
          <w:szCs w:val="21"/>
          <w:u w:val="none"/>
          <w:shd w:val="clear" w:fill="FFFFFF"/>
        </w:rPr>
        <w:t>日在广州交易集团有限公司（广州公共资源交易中心）网站、广东省招标投标监管网、中国招标投标公共服务平台发布了招标公告、招标文件及附件，由于本项目进行了调整，现对原招标公告、招标文件及附件作如下修改。</w:t>
      </w:r>
    </w:p>
    <w:p w14:paraId="65EC85C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56" w:afterAutospacing="0"/>
        <w:ind w:left="0" w:right="0" w:firstLine="472"/>
        <w:jc w:val="both"/>
        <w:rPr>
          <w:rFonts w:hint="eastAsia" w:ascii="宋体" w:hAnsi="宋体" w:eastAsia="宋体" w:cs="宋体"/>
          <w:color w:val="auto"/>
          <w:sz w:val="21"/>
          <w:szCs w:val="21"/>
          <w:u w:val="none"/>
        </w:rPr>
      </w:pPr>
      <w:r>
        <w:rPr>
          <w:rStyle w:val="10"/>
          <w:rFonts w:hint="eastAsia" w:ascii="宋体" w:hAnsi="宋体" w:eastAsia="宋体" w:cs="宋体"/>
          <w:b/>
          <w:bCs/>
          <w:i w:val="0"/>
          <w:iCs w:val="0"/>
          <w:caps w:val="0"/>
          <w:color w:val="auto"/>
          <w:spacing w:val="0"/>
          <w:sz w:val="21"/>
          <w:szCs w:val="21"/>
          <w:u w:val="none"/>
          <w:shd w:val="clear" w:fill="FFFFFF"/>
        </w:rPr>
        <w:t>一、对招标公告及招标文件相关内容进行修改：</w:t>
      </w:r>
    </w:p>
    <w:tbl>
      <w:tblPr>
        <w:tblStyle w:val="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94"/>
        <w:gridCol w:w="1640"/>
        <w:gridCol w:w="2235"/>
        <w:gridCol w:w="4253"/>
      </w:tblGrid>
      <w:tr w14:paraId="67AADF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BCA9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Style w:val="10"/>
                <w:rFonts w:hint="eastAsia" w:ascii="宋体" w:hAnsi="宋体" w:eastAsia="宋体" w:cs="宋体"/>
                <w:b/>
                <w:bCs/>
                <w:color w:val="auto"/>
                <w:sz w:val="21"/>
                <w:szCs w:val="21"/>
                <w:u w:val="none"/>
              </w:rPr>
              <w:t>序号</w:t>
            </w:r>
          </w:p>
        </w:tc>
        <w:tc>
          <w:tcPr>
            <w:tcW w:w="96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D7EC8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Style w:val="10"/>
                <w:rFonts w:hint="eastAsia" w:ascii="宋体" w:hAnsi="宋体" w:eastAsia="宋体" w:cs="宋体"/>
                <w:b/>
                <w:bCs/>
                <w:color w:val="auto"/>
                <w:sz w:val="21"/>
                <w:szCs w:val="21"/>
                <w:u w:val="none"/>
              </w:rPr>
              <w:t>条款</w:t>
            </w:r>
          </w:p>
        </w:tc>
        <w:tc>
          <w:tcPr>
            <w:tcW w:w="131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01BA5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Style w:val="10"/>
                <w:rFonts w:hint="eastAsia" w:ascii="宋体" w:hAnsi="宋体" w:eastAsia="宋体" w:cs="宋体"/>
                <w:b/>
                <w:bCs/>
                <w:color w:val="auto"/>
                <w:sz w:val="21"/>
                <w:szCs w:val="21"/>
                <w:u w:val="none"/>
              </w:rPr>
              <w:t>原文</w:t>
            </w:r>
          </w:p>
        </w:tc>
        <w:tc>
          <w:tcPr>
            <w:tcW w:w="249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33163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Style w:val="10"/>
                <w:rFonts w:hint="eastAsia" w:ascii="宋体" w:hAnsi="宋体" w:eastAsia="宋体" w:cs="宋体"/>
                <w:b/>
                <w:bCs/>
                <w:color w:val="auto"/>
                <w:sz w:val="21"/>
                <w:szCs w:val="21"/>
                <w:u w:val="none"/>
              </w:rPr>
              <w:t>修改为</w:t>
            </w:r>
          </w:p>
        </w:tc>
      </w:tr>
      <w:tr w14:paraId="3BD3EC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B6AC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1</w:t>
            </w:r>
          </w:p>
        </w:tc>
        <w:tc>
          <w:tcPr>
            <w:tcW w:w="9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01599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0"/>
              <w:jc w:val="center"/>
              <w:rPr>
                <w:rFonts w:hint="eastAsia" w:ascii="宋体" w:hAnsi="宋体" w:eastAsia="宋体" w:cs="宋体"/>
                <w:color w:val="auto"/>
                <w:u w:val="none"/>
                <w:lang w:val="en-US" w:eastAsia="zh-CN"/>
              </w:rPr>
            </w:pPr>
            <w:r>
              <w:rPr>
                <w:rFonts w:hint="eastAsia" w:ascii="宋体" w:hAnsi="宋体" w:eastAsia="宋体" w:cs="宋体"/>
                <w:color w:val="auto"/>
                <w:sz w:val="21"/>
                <w:szCs w:val="21"/>
                <w:u w:val="none"/>
                <w:lang w:val="en-US" w:eastAsia="zh-CN"/>
              </w:rPr>
              <w:t>招标文件修改表</w:t>
            </w:r>
          </w:p>
          <w:p w14:paraId="3F012E6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宋体" w:hAnsi="宋体" w:eastAsia="宋体" w:cs="宋体"/>
                <w:color w:val="auto"/>
                <w:u w:val="none"/>
                <w:lang w:val="en-US" w:eastAsia="zh-CN"/>
              </w:rPr>
            </w:pPr>
            <w:r>
              <w:rPr>
                <w:rFonts w:hint="eastAsia" w:ascii="宋体" w:hAnsi="宋体" w:eastAsia="宋体" w:cs="宋体"/>
                <w:color w:val="auto"/>
                <w:sz w:val="21"/>
                <w:szCs w:val="21"/>
                <w:u w:val="none"/>
                <w:lang w:val="en-US" w:eastAsia="zh-CN"/>
              </w:rPr>
              <w:t>22</w:t>
            </w:r>
          </w:p>
          <w:p w14:paraId="52FBD0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宋体" w:hAnsi="宋体" w:eastAsia="宋体" w:cs="宋体"/>
                <w:color w:val="auto"/>
                <w:u w:val="none"/>
                <w:lang w:val="en-US" w:eastAsia="zh-CN"/>
              </w:rPr>
            </w:pPr>
            <w:r>
              <w:rPr>
                <w:rFonts w:hint="eastAsia" w:ascii="宋体" w:hAnsi="宋体" w:eastAsia="宋体" w:cs="宋体"/>
                <w:color w:val="auto"/>
                <w:sz w:val="21"/>
                <w:szCs w:val="21"/>
                <w:u w:val="none"/>
                <w:lang w:val="en-US" w:eastAsia="zh-CN"/>
              </w:rPr>
              <w:t>6.1.6</w:t>
            </w:r>
          </w:p>
        </w:tc>
        <w:tc>
          <w:tcPr>
            <w:tcW w:w="131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99625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auto"/>
                <w:u w:val="none"/>
              </w:rPr>
            </w:pPr>
            <w:r>
              <w:rPr>
                <w:rFonts w:hint="eastAsia" w:ascii="宋体" w:hAnsi="宋体" w:eastAsia="宋体" w:cs="宋体"/>
                <w:color w:val="auto"/>
                <w:szCs w:val="21"/>
                <w:highlight w:val="none"/>
              </w:rPr>
              <w:t>6.1.6</w:t>
            </w:r>
            <w:r>
              <w:rPr>
                <w:rFonts w:hint="eastAsia" w:ascii="宋体" w:hAnsi="宋体" w:eastAsia="宋体" w:cs="宋体"/>
                <w:color w:val="auto"/>
                <w:szCs w:val="21"/>
                <w:highlight w:val="none"/>
                <w:u w:val="singl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根据</w:t>
            </w:r>
            <w:r>
              <w:rPr>
                <w:rFonts w:hint="eastAsia" w:ascii="宋体" w:hAnsi="宋体" w:eastAsia="宋体" w:cs="宋体"/>
                <w:color w:val="auto"/>
                <w:kern w:val="0"/>
                <w:szCs w:val="21"/>
                <w:highlight w:val="none"/>
                <w:u w:val="single"/>
              </w:rPr>
              <w:t>定标委员会确定的定标综合排序依序</w:t>
            </w:r>
            <w:r>
              <w:rPr>
                <w:rFonts w:hint="eastAsia" w:ascii="宋体" w:hAnsi="宋体" w:eastAsia="宋体" w:cs="宋体"/>
                <w:color w:val="auto"/>
                <w:szCs w:val="21"/>
                <w:highlight w:val="none"/>
                <w:u w:val="single"/>
              </w:rPr>
              <w:t>确定中标人或重新招标。</w:t>
            </w:r>
          </w:p>
        </w:tc>
        <w:tc>
          <w:tcPr>
            <w:tcW w:w="24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CE2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auto"/>
                <w:u w:val="none"/>
              </w:rPr>
            </w:pPr>
            <w:r>
              <w:rPr>
                <w:rFonts w:hint="eastAsia" w:ascii="宋体" w:hAnsi="宋体" w:eastAsia="宋体" w:cs="宋体"/>
                <w:color w:val="auto"/>
                <w:szCs w:val="21"/>
                <w:highlight w:val="none"/>
              </w:rPr>
              <w:t>6.1.6</w:t>
            </w:r>
            <w:r>
              <w:rPr>
                <w:rFonts w:hint="eastAsia" w:ascii="宋体" w:hAnsi="宋体" w:eastAsia="宋体" w:cs="宋体"/>
                <w:color w:val="auto"/>
                <w:szCs w:val="21"/>
                <w:highlight w:val="none"/>
                <w:u w:val="single"/>
              </w:rPr>
              <w:t>中标通知书发出之日起30日内，中标人应按照招标文件和中标人的投标文件积极配合招标人完成合同签订工作。中标通知书发出之日起30日后，中标人无正当理由不与招标人订立合同的，招标人有权解除中标通知书，</w:t>
            </w:r>
            <w:r>
              <w:rPr>
                <w:rFonts w:hint="eastAsia" w:ascii="宋体" w:hAnsi="宋体" w:eastAsia="宋体" w:cs="宋体"/>
                <w:b/>
                <w:bCs/>
                <w:color w:val="auto"/>
                <w:szCs w:val="21"/>
                <w:highlight w:val="none"/>
                <w:u w:val="single"/>
              </w:rPr>
              <w:t>招标人可从其他合格的中标候选人中采用原定标办法，由原定标委员会确定中标人，也可以重新招标</w:t>
            </w:r>
            <w:r>
              <w:rPr>
                <w:rFonts w:hint="eastAsia" w:ascii="宋体" w:hAnsi="宋体" w:eastAsia="宋体" w:cs="宋体"/>
                <w:color w:val="auto"/>
                <w:szCs w:val="21"/>
                <w:highlight w:val="none"/>
                <w:u w:val="single"/>
              </w:rPr>
              <w:t>。</w:t>
            </w:r>
          </w:p>
        </w:tc>
      </w:tr>
      <w:tr w14:paraId="148449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EC87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2</w:t>
            </w:r>
          </w:p>
        </w:tc>
        <w:tc>
          <w:tcPr>
            <w:tcW w:w="9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ADB2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0"/>
              <w:jc w:val="center"/>
              <w:rPr>
                <w:rFonts w:hint="eastAsia" w:ascii="宋体" w:hAnsi="宋体" w:eastAsia="宋体" w:cs="宋体"/>
                <w:color w:val="auto"/>
                <w:u w:val="none"/>
              </w:rPr>
            </w:pPr>
            <w:r>
              <w:rPr>
                <w:rStyle w:val="10"/>
                <w:rFonts w:hint="eastAsia" w:ascii="宋体" w:hAnsi="宋体" w:eastAsia="宋体" w:cs="宋体"/>
                <w:b/>
                <w:bCs/>
                <w:color w:val="auto"/>
                <w:sz w:val="21"/>
                <w:szCs w:val="21"/>
                <w:u w:val="none"/>
              </w:rPr>
              <w:t>招标公告</w:t>
            </w:r>
          </w:p>
          <w:p w14:paraId="09D446C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0"/>
              <w:jc w:val="center"/>
              <w:rPr>
                <w:rStyle w:val="10"/>
                <w:rFonts w:hint="eastAsia" w:ascii="宋体" w:hAnsi="宋体" w:eastAsia="宋体" w:cs="宋体"/>
                <w:b/>
                <w:bCs/>
                <w:color w:val="auto"/>
                <w:sz w:val="21"/>
                <w:szCs w:val="21"/>
                <w:u w:val="none"/>
              </w:rPr>
            </w:pPr>
          </w:p>
          <w:p w14:paraId="4FC924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0"/>
              <w:jc w:val="center"/>
              <w:rPr>
                <w:rStyle w:val="10"/>
                <w:rFonts w:hint="eastAsia" w:ascii="宋体" w:hAnsi="宋体" w:eastAsia="宋体" w:cs="宋体"/>
                <w:b/>
                <w:bCs/>
                <w:color w:val="auto"/>
                <w:sz w:val="21"/>
                <w:szCs w:val="21"/>
                <w:u w:val="none"/>
                <w:lang w:val="en-US" w:eastAsia="zh-CN"/>
              </w:rPr>
            </w:pPr>
            <w:r>
              <w:rPr>
                <w:rStyle w:val="10"/>
                <w:rFonts w:hint="eastAsia" w:ascii="宋体" w:hAnsi="宋体" w:eastAsia="宋体" w:cs="宋体"/>
                <w:b/>
                <w:bCs/>
                <w:color w:val="auto"/>
                <w:sz w:val="21"/>
                <w:szCs w:val="21"/>
                <w:u w:val="none"/>
                <w:lang w:val="en-US" w:eastAsia="zh-CN"/>
              </w:rPr>
              <w:t>1.4 投标资格</w:t>
            </w:r>
          </w:p>
          <w:p w14:paraId="3376D7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0"/>
              <w:jc w:val="center"/>
              <w:rPr>
                <w:rStyle w:val="10"/>
                <w:rFonts w:hint="eastAsia" w:ascii="宋体" w:hAnsi="宋体" w:eastAsia="宋体" w:cs="宋体"/>
                <w:b/>
                <w:bCs/>
                <w:color w:val="auto"/>
                <w:sz w:val="21"/>
                <w:szCs w:val="21"/>
                <w:u w:val="none"/>
                <w:lang w:val="en-US" w:eastAsia="zh-CN"/>
              </w:rPr>
            </w:pPr>
          </w:p>
          <w:p w14:paraId="6C70040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0"/>
              <w:jc w:val="center"/>
              <w:rPr>
                <w:rFonts w:hint="eastAsia" w:ascii="宋体" w:hAnsi="宋体" w:eastAsia="宋体" w:cs="宋体"/>
                <w:color w:val="auto"/>
                <w:u w:val="none"/>
                <w:lang w:val="en-US" w:eastAsia="zh-CN"/>
              </w:rPr>
            </w:pPr>
            <w:r>
              <w:rPr>
                <w:rFonts w:hint="eastAsia" w:ascii="宋体" w:hAnsi="宋体" w:eastAsia="宋体" w:cs="宋体"/>
                <w:color w:val="auto"/>
                <w:sz w:val="21"/>
                <w:szCs w:val="21"/>
                <w:u w:val="none"/>
                <w:lang w:val="en-US" w:eastAsia="zh-CN"/>
              </w:rPr>
              <w:t>1.4.2（2）注释（2）</w:t>
            </w:r>
          </w:p>
        </w:tc>
        <w:tc>
          <w:tcPr>
            <w:tcW w:w="131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E37AD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auto"/>
                <w:u w:val="none"/>
                <w:lang w:val="en-US" w:eastAsia="zh-CN"/>
              </w:rPr>
            </w:pPr>
            <w:r>
              <w:rPr>
                <w:rFonts w:hint="eastAsia" w:ascii="宋体" w:hAnsi="宋体" w:eastAsia="宋体" w:cs="宋体"/>
                <w:color w:val="auto"/>
                <w:sz w:val="21"/>
                <w:szCs w:val="21"/>
                <w:u w:val="none"/>
                <w:lang w:val="en-US" w:eastAsia="zh-CN"/>
              </w:rPr>
              <w:t>详见原招标文件</w:t>
            </w:r>
          </w:p>
        </w:tc>
        <w:tc>
          <w:tcPr>
            <w:tcW w:w="24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DF10A5">
            <w:pPr>
              <w:spacing w:line="240" w:lineRule="auto"/>
              <w:ind w:left="0" w:leftChars="0"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u w:val="single"/>
              </w:rPr>
              <w:t>（2）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w:t>
            </w:r>
            <w:r>
              <w:rPr>
                <w:rFonts w:hint="eastAsia" w:ascii="宋体" w:hAnsi="宋体" w:eastAsia="宋体" w:cs="宋体"/>
                <w:b w:val="0"/>
                <w:bCs w:val="0"/>
                <w:color w:val="auto"/>
                <w:sz w:val="24"/>
                <w:szCs w:val="24"/>
                <w:highlight w:val="none"/>
                <w:u w:val="single"/>
              </w:rPr>
              <w:t xml:space="preserve">需办理企业资质有效期延续的，应当按照相关规定及时办理。 </w:t>
            </w:r>
          </w:p>
          <w:p w14:paraId="3670C6A5">
            <w:pPr>
              <w:spacing w:line="240" w:lineRule="auto"/>
              <w:ind w:left="0" w:leftChars="0"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注：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w:t>
            </w:r>
          </w:p>
          <w:p w14:paraId="51443782">
            <w:pPr>
              <w:rPr>
                <w:rFonts w:hint="eastAsia" w:ascii="宋体" w:hAnsi="宋体" w:eastAsia="宋体" w:cs="宋体"/>
                <w:color w:val="auto"/>
                <w:u w:val="none"/>
              </w:rPr>
            </w:pPr>
            <w:r>
              <w:rPr>
                <w:rFonts w:hint="eastAsia" w:ascii="宋体" w:hAnsi="宋体" w:eastAsia="宋体" w:cs="宋体"/>
                <w:b w:val="0"/>
                <w:bCs w:val="0"/>
                <w:color w:val="auto"/>
                <w:sz w:val="24"/>
                <w:szCs w:val="24"/>
                <w:highlight w:val="none"/>
                <w:u w:val="single"/>
              </w:rPr>
              <w:t>本次招标接受联合体投标，但只接受最多由2家单位</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即一家勘察单位</w:t>
            </w:r>
            <w:r>
              <w:rPr>
                <w:rFonts w:hint="eastAsia" w:ascii="宋体" w:hAnsi="宋体" w:eastAsia="宋体" w:cs="宋体"/>
                <w:b/>
                <w:bCs/>
                <w:color w:val="auto"/>
                <w:sz w:val="24"/>
                <w:szCs w:val="24"/>
                <w:highlight w:val="none"/>
                <w:u w:val="single"/>
              </w:rPr>
              <w:t>(负责全部勘察工作内容)</w:t>
            </w:r>
            <w:r>
              <w:rPr>
                <w:rFonts w:hint="eastAsia" w:ascii="宋体" w:hAnsi="宋体" w:eastAsia="宋体" w:cs="宋体"/>
                <w:b w:val="0"/>
                <w:bCs w:val="0"/>
                <w:color w:val="auto"/>
                <w:sz w:val="24"/>
                <w:szCs w:val="24"/>
                <w:highlight w:val="none"/>
                <w:u w:val="single"/>
              </w:rPr>
              <w:t>、一家设计单位</w:t>
            </w:r>
            <w:r>
              <w:rPr>
                <w:rFonts w:hint="eastAsia" w:ascii="宋体" w:hAnsi="宋体" w:eastAsia="宋体" w:cs="宋体"/>
                <w:b/>
                <w:bCs/>
                <w:color w:val="auto"/>
                <w:sz w:val="24"/>
                <w:szCs w:val="24"/>
                <w:highlight w:val="none"/>
                <w:u w:val="single"/>
              </w:rPr>
              <w:t>（负责全部设计工作内容）</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组成的联合体。联合体投标的，应满足下列要求：申请人可以组成联合体投标，并签订联合体共同投标协议（联合体共同投标协议应明确约定各方拟承担的工作和责任。投标登记截止后联合体增减、更换成员的，其投标无效）。以具有符合本招标项目要求的工程设计资质并负责设计工作的一方为主办方。联合体各方（包括主办方及联合体成员）不得再单独或与其他单位组成联合体参与本项目投标。</w:t>
            </w:r>
          </w:p>
        </w:tc>
      </w:tr>
      <w:tr w14:paraId="68F3D5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3704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3</w:t>
            </w:r>
          </w:p>
        </w:tc>
        <w:tc>
          <w:tcPr>
            <w:tcW w:w="9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1733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0"/>
              <w:jc w:val="center"/>
              <w:rPr>
                <w:rFonts w:hint="eastAsia" w:ascii="宋体" w:hAnsi="宋体" w:eastAsia="宋体" w:cs="宋体"/>
                <w:color w:val="auto"/>
                <w:u w:val="none"/>
              </w:rPr>
            </w:pPr>
            <w:r>
              <w:rPr>
                <w:rStyle w:val="10"/>
                <w:rFonts w:hint="eastAsia" w:ascii="宋体" w:hAnsi="宋体" w:eastAsia="宋体" w:cs="宋体"/>
                <w:b/>
                <w:bCs/>
                <w:color w:val="auto"/>
                <w:sz w:val="21"/>
                <w:szCs w:val="21"/>
                <w:u w:val="none"/>
              </w:rPr>
              <w:t>招标公告</w:t>
            </w:r>
          </w:p>
          <w:p w14:paraId="1A6598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1.9费用</w:t>
            </w:r>
          </w:p>
          <w:p w14:paraId="73C81A8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jc w:val="center"/>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1.9.3未中标单位经济补偿及补偿金额</w:t>
            </w:r>
          </w:p>
        </w:tc>
        <w:tc>
          <w:tcPr>
            <w:tcW w:w="131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492FC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default"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详见原招标文件</w:t>
            </w:r>
          </w:p>
        </w:tc>
        <w:tc>
          <w:tcPr>
            <w:tcW w:w="24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CA52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auto"/>
                <w:u w:val="none"/>
              </w:rPr>
            </w:pPr>
            <w:r>
              <w:rPr>
                <w:rFonts w:hint="eastAsia" w:ascii="宋体" w:hAnsi="宋体" w:eastAsia="宋体" w:cs="宋体"/>
                <w:color w:val="auto"/>
                <w:u w:val="none"/>
              </w:rPr>
              <w:t>1.9.3  未中标单位经济补偿及补偿金额</w:t>
            </w:r>
          </w:p>
          <w:p w14:paraId="0E957E6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auto"/>
                <w:u w:val="none"/>
              </w:rPr>
            </w:pPr>
            <w:r>
              <w:rPr>
                <w:rFonts w:hint="eastAsia" w:ascii="宋体" w:hAnsi="宋体" w:eastAsia="宋体" w:cs="宋体"/>
                <w:color w:val="auto"/>
                <w:u w:val="none"/>
              </w:rPr>
              <w:t>本次招标对未中标人投标文件中的技术成果给予经济补偿。给予经济补偿的，招标人将按如下标准支付经济补偿费，分配办法如下：</w:t>
            </w:r>
          </w:p>
          <w:p w14:paraId="284C87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bCs/>
                <w:color w:val="auto"/>
                <w:u w:val="none"/>
              </w:rPr>
            </w:pPr>
            <w:r>
              <w:rPr>
                <w:rFonts w:hint="eastAsia" w:ascii="宋体" w:hAnsi="宋体" w:eastAsia="宋体" w:cs="宋体"/>
                <w:b/>
                <w:bCs/>
                <w:color w:val="auto"/>
                <w:u w:val="none"/>
              </w:rPr>
              <w:t>进入定标阶段第二轮投票且得票数最少的投标人经济补偿为3万元，进入定标阶段第一轮投票且得票数最少的投标人经济补偿为2万元。</w:t>
            </w:r>
          </w:p>
          <w:p w14:paraId="666D92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auto"/>
                <w:u w:val="none"/>
              </w:rPr>
            </w:pPr>
            <w:r>
              <w:rPr>
                <w:rFonts w:hint="eastAsia" w:ascii="宋体" w:hAnsi="宋体" w:eastAsia="宋体" w:cs="宋体"/>
                <w:color w:val="auto"/>
                <w:u w:val="none"/>
              </w:rPr>
              <w:t>其余投标人费用自理。</w:t>
            </w:r>
          </w:p>
          <w:p w14:paraId="0C10BF7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auto"/>
                <w:u w:val="none"/>
              </w:rPr>
            </w:pPr>
            <w:r>
              <w:rPr>
                <w:rFonts w:hint="eastAsia" w:ascii="宋体" w:hAnsi="宋体" w:eastAsia="宋体" w:cs="宋体"/>
                <w:color w:val="auto"/>
                <w:u w:val="none"/>
              </w:rPr>
              <w:t>[注释]</w:t>
            </w:r>
          </w:p>
          <w:p w14:paraId="414298A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auto"/>
                <w:u w:val="none"/>
              </w:rPr>
            </w:pPr>
            <w:r>
              <w:rPr>
                <w:rFonts w:hint="eastAsia" w:ascii="宋体" w:hAnsi="宋体" w:eastAsia="宋体" w:cs="宋体"/>
                <w:color w:val="auto"/>
                <w:u w:val="none"/>
              </w:rPr>
              <w:t>①投标经济补偿不包括在投标人中标价中，由招标人直接支付。招标人在公示中标结果时一并公布本项目定标综合评价</w:t>
            </w:r>
            <w:r>
              <w:rPr>
                <w:rFonts w:hint="eastAsia" w:ascii="宋体" w:hAnsi="宋体" w:eastAsia="宋体" w:cs="宋体"/>
                <w:b/>
                <w:bCs/>
                <w:color w:val="auto"/>
                <w:u w:val="none"/>
              </w:rPr>
              <w:t>每轮投票中各个投标单位的最终票数</w:t>
            </w:r>
            <w:r>
              <w:rPr>
                <w:rFonts w:hint="eastAsia" w:ascii="宋体" w:hAnsi="宋体" w:eastAsia="宋体" w:cs="宋体"/>
                <w:color w:val="auto"/>
                <w:u w:val="none"/>
              </w:rPr>
              <w:t>。招标人（或授权的招标代理机构）在中标结果公示结束后以书面形式通知获得投标经济补偿的投标人在规定期限内领取补偿。如果招标失败，则当次不作投标经济补偿。</w:t>
            </w:r>
          </w:p>
          <w:p w14:paraId="3947C3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auto"/>
                <w:u w:val="none"/>
              </w:rPr>
            </w:pPr>
            <w:r>
              <w:rPr>
                <w:rFonts w:hint="eastAsia" w:ascii="宋体" w:hAnsi="宋体" w:eastAsia="宋体" w:cs="宋体"/>
                <w:color w:val="auto"/>
                <w:u w:val="none"/>
              </w:rPr>
              <w:t>②招标人和中标人有权在实施方案中参考使用获得投标经济补偿的所有投标方案成果的部分内容。</w:t>
            </w:r>
          </w:p>
          <w:p w14:paraId="4834F2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u w:val="none"/>
              </w:rPr>
              <w:t>③对未通过资格审查或出现废标情形的投标人，将不作投标经济补偿。</w:t>
            </w:r>
          </w:p>
        </w:tc>
      </w:tr>
      <w:tr w14:paraId="7112A2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32D2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4</w:t>
            </w:r>
          </w:p>
        </w:tc>
        <w:tc>
          <w:tcPr>
            <w:tcW w:w="9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606BA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0"/>
              <w:jc w:val="center"/>
              <w:rPr>
                <w:rFonts w:hint="eastAsia" w:ascii="宋体" w:hAnsi="宋体" w:eastAsia="宋体" w:cs="宋体"/>
                <w:color w:val="auto"/>
                <w:u w:val="none"/>
              </w:rPr>
            </w:pPr>
            <w:r>
              <w:rPr>
                <w:rStyle w:val="10"/>
                <w:rFonts w:hint="eastAsia" w:ascii="宋体" w:hAnsi="宋体" w:eastAsia="宋体" w:cs="宋体"/>
                <w:b/>
                <w:bCs/>
                <w:color w:val="auto"/>
                <w:sz w:val="21"/>
                <w:szCs w:val="21"/>
                <w:u w:val="none"/>
              </w:rPr>
              <w:t>招标公告</w:t>
            </w:r>
          </w:p>
          <w:p w14:paraId="7E3B2AD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1.11其他事项</w:t>
            </w:r>
          </w:p>
          <w:p w14:paraId="108015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jc w:val="center"/>
              <w:rPr>
                <w:rFonts w:hint="default" w:ascii="宋体" w:hAnsi="宋体" w:eastAsia="宋体" w:cs="宋体"/>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1.11.2</w:t>
            </w:r>
          </w:p>
        </w:tc>
        <w:tc>
          <w:tcPr>
            <w:tcW w:w="131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206C0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宋体" w:hAnsi="宋体" w:eastAsia="宋体" w:cs="宋体"/>
                <w:color w:val="auto"/>
                <w:kern w:val="0"/>
                <w:sz w:val="24"/>
                <w:szCs w:val="24"/>
                <w:u w:val="none"/>
                <w:lang w:val="en-US" w:eastAsia="zh-CN" w:bidi="ar"/>
              </w:rPr>
            </w:pPr>
            <w:r>
              <w:rPr>
                <w:rFonts w:hint="eastAsia" w:ascii="宋体" w:hAnsi="宋体"/>
                <w:sz w:val="24"/>
                <w:highlight w:val="none"/>
              </w:rPr>
              <w:t>1.11.</w:t>
            </w:r>
            <w:r>
              <w:rPr>
                <w:rFonts w:ascii="宋体" w:hAnsi="宋体"/>
                <w:sz w:val="24"/>
                <w:highlight w:val="none"/>
              </w:rPr>
              <w:t>2</w:t>
            </w:r>
            <w:r>
              <w:rPr>
                <w:rFonts w:hint="eastAsia" w:ascii="宋体" w:hAnsi="宋体"/>
                <w:sz w:val="24"/>
                <w:highlight w:val="none"/>
              </w:rPr>
              <w:t xml:space="preserve">  </w:t>
            </w:r>
            <w:r>
              <w:rPr>
                <w:rFonts w:hint="eastAsia" w:ascii="宋体" w:hAnsi="宋体" w:eastAsia="宋体" w:cs="宋体"/>
                <w:color w:val="auto"/>
                <w:kern w:val="0"/>
                <w:sz w:val="24"/>
                <w:szCs w:val="24"/>
                <w:u w:val="none"/>
                <w:lang w:val="en-US" w:eastAsia="zh-CN" w:bidi="ar"/>
              </w:rPr>
              <w:t>招标项目的电子地形图由投标人自行收集。</w:t>
            </w:r>
          </w:p>
        </w:tc>
        <w:tc>
          <w:tcPr>
            <w:tcW w:w="24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0EDFC">
            <w:pPr>
              <w:spacing w:line="360" w:lineRule="auto"/>
              <w:ind w:left="820" w:leftChars="0" w:hanging="820" w:hangingChars="342"/>
              <w:jc w:val="left"/>
              <w:rPr>
                <w:rFonts w:hint="eastAsia" w:ascii="宋体" w:hAnsi="宋体" w:eastAsia="宋体" w:cs="宋体"/>
                <w:color w:val="auto"/>
                <w:kern w:val="2"/>
                <w:sz w:val="21"/>
                <w:szCs w:val="24"/>
                <w:u w:val="none"/>
                <w:lang w:val="en-US" w:eastAsia="zh-CN" w:bidi="ar-SA"/>
              </w:rPr>
            </w:pPr>
            <w:r>
              <w:rPr>
                <w:rFonts w:hint="eastAsia" w:ascii="宋体" w:hAnsi="宋体"/>
                <w:sz w:val="24"/>
                <w:highlight w:val="none"/>
              </w:rPr>
              <w:t>1.11.</w:t>
            </w:r>
            <w:r>
              <w:rPr>
                <w:rFonts w:ascii="宋体" w:hAnsi="宋体"/>
                <w:sz w:val="24"/>
                <w:highlight w:val="none"/>
              </w:rPr>
              <w:t>2</w:t>
            </w:r>
            <w:r>
              <w:rPr>
                <w:rFonts w:hint="eastAsia" w:ascii="宋体" w:hAnsi="宋体"/>
                <w:sz w:val="24"/>
                <w:highlight w:val="none"/>
              </w:rPr>
              <w:t xml:space="preserve">  </w:t>
            </w:r>
            <w:r>
              <w:rPr>
                <w:rFonts w:hint="eastAsia" w:hAnsi="宋体"/>
                <w:sz w:val="24"/>
                <w:highlight w:val="none"/>
              </w:rPr>
              <w:t>招标项目的电子地形图由招标人提供</w:t>
            </w:r>
            <w:r>
              <w:rPr>
                <w:rFonts w:hint="eastAsia" w:ascii="宋体" w:hAnsi="宋体"/>
                <w:color w:val="auto"/>
                <w:sz w:val="24"/>
                <w:highlight w:val="none"/>
              </w:rPr>
              <w:t>。</w:t>
            </w:r>
          </w:p>
        </w:tc>
      </w:tr>
      <w:tr w14:paraId="22F1BE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FF9A8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5</w:t>
            </w:r>
          </w:p>
        </w:tc>
        <w:tc>
          <w:tcPr>
            <w:tcW w:w="9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D149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0"/>
              <w:jc w:val="both"/>
              <w:rPr>
                <w:rFonts w:hint="eastAsia" w:ascii="宋体" w:hAnsi="宋体"/>
                <w:sz w:val="21"/>
                <w:szCs w:val="21"/>
                <w:highlight w:val="none"/>
              </w:rPr>
            </w:pPr>
            <w:r>
              <w:rPr>
                <w:rFonts w:hint="eastAsia" w:ascii="宋体" w:hAnsi="宋体"/>
                <w:sz w:val="21"/>
                <w:szCs w:val="21"/>
                <w:highlight w:val="none"/>
              </w:rPr>
              <w:t>附件2</w:t>
            </w:r>
            <w:r>
              <w:rPr>
                <w:rFonts w:hint="eastAsia" w:ascii="宋体" w:hAnsi="宋体"/>
                <w:sz w:val="21"/>
                <w:szCs w:val="21"/>
                <w:highlight w:val="none"/>
                <w:u w:val="single"/>
                <w:lang w:val="en-US" w:eastAsia="zh-CN"/>
              </w:rPr>
              <w:t>勘察</w:t>
            </w:r>
            <w:r>
              <w:rPr>
                <w:rFonts w:hint="eastAsia" w:ascii="宋体" w:hAnsi="宋体"/>
                <w:sz w:val="21"/>
                <w:szCs w:val="21"/>
                <w:highlight w:val="none"/>
              </w:rPr>
              <w:t>设计投标文件编制要求</w:t>
            </w:r>
          </w:p>
          <w:p w14:paraId="0BCBA21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0"/>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6 资格审查文件</w:t>
            </w:r>
          </w:p>
          <w:p w14:paraId="7A1F70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firstLine="0" w:firstLineChars="0"/>
              <w:jc w:val="both"/>
              <w:rPr>
                <w:rFonts w:hint="eastAsia" w:ascii="宋体" w:hAnsi="宋体" w:eastAsiaTheme="minorEastAsia" w:cstheme="minorBidi"/>
                <w:kern w:val="0"/>
                <w:sz w:val="21"/>
                <w:szCs w:val="21"/>
                <w:highlight w:val="none"/>
                <w:lang w:val="en-US" w:eastAsia="zh-CN" w:bidi="ar"/>
              </w:rPr>
            </w:pPr>
            <w:r>
              <w:rPr>
                <w:rFonts w:hint="eastAsia" w:ascii="宋体" w:hAnsi="宋体"/>
                <w:sz w:val="21"/>
                <w:szCs w:val="21"/>
                <w:highlight w:val="none"/>
                <w:lang w:val="en-US" w:eastAsia="zh-CN"/>
              </w:rPr>
              <w:t>6.1资格审查文件内容：</w:t>
            </w:r>
          </w:p>
        </w:tc>
        <w:tc>
          <w:tcPr>
            <w:tcW w:w="131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DF6A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kern w:val="2"/>
                <w:sz w:val="21"/>
                <w:szCs w:val="21"/>
                <w:highlight w:val="none"/>
                <w:lang w:val="en-US" w:eastAsia="zh-CN" w:bidi="ar-SA"/>
              </w:rPr>
              <w:t>详见原招标文件</w:t>
            </w:r>
          </w:p>
        </w:tc>
        <w:tc>
          <w:tcPr>
            <w:tcW w:w="24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135D1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kern w:val="2"/>
                <w:sz w:val="21"/>
                <w:szCs w:val="21"/>
                <w:highlight w:val="none"/>
                <w:lang w:val="en-US" w:eastAsia="zh-CN" w:bidi="ar-SA"/>
              </w:rPr>
              <w:t>详见附件：招标文件（补充公告版）.pdf</w:t>
            </w:r>
          </w:p>
        </w:tc>
      </w:tr>
      <w:tr w14:paraId="7B1107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F4F3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6</w:t>
            </w:r>
          </w:p>
        </w:tc>
        <w:tc>
          <w:tcPr>
            <w:tcW w:w="9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410B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firstLine="0" w:firstLineChars="0"/>
              <w:jc w:val="both"/>
              <w:rPr>
                <w:rFonts w:hint="default" w:ascii="宋体" w:hAnsi="宋体" w:eastAsia="宋体" w:cs="宋体"/>
                <w:color w:val="auto"/>
                <w:kern w:val="0"/>
                <w:sz w:val="24"/>
                <w:szCs w:val="24"/>
                <w:u w:val="none"/>
                <w:lang w:val="en-US" w:eastAsia="zh-CN" w:bidi="ar"/>
              </w:rPr>
            </w:pPr>
            <w:r>
              <w:rPr>
                <w:rFonts w:hint="eastAsia" w:ascii="宋体" w:hAnsi="宋体"/>
                <w:sz w:val="21"/>
                <w:szCs w:val="21"/>
                <w:highlight w:val="none"/>
              </w:rPr>
              <w:t>附件3</w:t>
            </w:r>
            <w:r>
              <w:rPr>
                <w:rFonts w:hint="eastAsia" w:ascii="宋体" w:hAnsi="宋体"/>
                <w:sz w:val="21"/>
                <w:szCs w:val="21"/>
                <w:highlight w:val="none"/>
                <w:u w:val="single"/>
              </w:rPr>
              <w:t>工程勘察设计费报价汇总表</w:t>
            </w:r>
          </w:p>
        </w:tc>
        <w:tc>
          <w:tcPr>
            <w:tcW w:w="131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9FFC3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2、经算术复核的投标人报价与其投标报价不一致时，按就低不就高原则确定其最终报价。如修正后的投标报价超出相应的最高投标限价，则由评标委员否决其投标。</w:t>
            </w:r>
          </w:p>
        </w:tc>
        <w:tc>
          <w:tcPr>
            <w:tcW w:w="24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31E45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sz w:val="21"/>
                <w:szCs w:val="21"/>
                <w:u w:val="none"/>
              </w:rPr>
              <w:t>2、经算术复核的投标人报价与其投标报价不一致</w:t>
            </w:r>
            <w:r>
              <w:rPr>
                <w:rFonts w:hint="eastAsia" w:ascii="宋体" w:hAnsi="宋体" w:eastAsia="宋体" w:cs="宋体"/>
                <w:b/>
                <w:bCs/>
                <w:color w:val="auto"/>
                <w:sz w:val="21"/>
                <w:szCs w:val="21"/>
                <w:u w:val="none"/>
              </w:rPr>
              <w:t>或出现大写金额与小写金额不一致</w:t>
            </w:r>
            <w:r>
              <w:rPr>
                <w:rFonts w:hint="eastAsia" w:ascii="宋体" w:hAnsi="宋体" w:eastAsia="宋体" w:cs="宋体"/>
                <w:color w:val="auto"/>
                <w:sz w:val="21"/>
                <w:szCs w:val="21"/>
                <w:u w:val="none"/>
              </w:rPr>
              <w:t>时，按就低不就高原则确定其最终报价。如修正后的投标报价超出相应的最高投标限价，则由评标委员否决其投标。</w:t>
            </w:r>
          </w:p>
        </w:tc>
      </w:tr>
      <w:tr w14:paraId="597E93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9" w:hRule="atLeast"/>
        </w:trPr>
        <w:tc>
          <w:tcPr>
            <w:tcW w:w="2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2AB8A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7</w:t>
            </w:r>
          </w:p>
        </w:tc>
        <w:tc>
          <w:tcPr>
            <w:tcW w:w="9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1B4F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firstLine="0" w:firstLineChars="0"/>
              <w:jc w:val="both"/>
              <w:rPr>
                <w:rFonts w:hint="default" w:ascii="宋体" w:hAnsi="宋体" w:eastAsia="宋体" w:cs="宋体"/>
                <w:color w:val="auto"/>
                <w:kern w:val="0"/>
                <w:sz w:val="24"/>
                <w:szCs w:val="24"/>
                <w:u w:val="none"/>
                <w:lang w:val="en-US" w:eastAsia="zh-CN" w:bidi="ar"/>
              </w:rPr>
            </w:pPr>
            <w:r>
              <w:rPr>
                <w:rFonts w:hint="eastAsia" w:ascii="宋体" w:hAnsi="宋体" w:eastAsia="宋体" w:cs="宋体"/>
                <w:kern w:val="2"/>
                <w:sz w:val="21"/>
                <w:szCs w:val="21"/>
                <w:highlight w:val="none"/>
                <w:lang w:val="en-US" w:eastAsia="zh-CN" w:bidi="ar-SA"/>
              </w:rPr>
              <w:t>附件3－1：工程设计费计算表</w:t>
            </w:r>
          </w:p>
        </w:tc>
        <w:tc>
          <w:tcPr>
            <w:tcW w:w="131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F4C43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3、经算术复核的投标人报价与其投标报价不一致时，按就低不就高原则确定其最终报价。如修正后的投标报价超出相应的最高投标限价，则由评标委员否决其投标。</w:t>
            </w:r>
          </w:p>
        </w:tc>
        <w:tc>
          <w:tcPr>
            <w:tcW w:w="24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4F48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3、经算术复核的投标人报价与其投标报价不一致</w:t>
            </w:r>
            <w:r>
              <w:rPr>
                <w:rFonts w:hint="eastAsia" w:ascii="宋体" w:hAnsi="宋体" w:eastAsia="宋体" w:cs="宋体"/>
                <w:b/>
                <w:bCs/>
                <w:kern w:val="2"/>
                <w:sz w:val="21"/>
                <w:szCs w:val="21"/>
                <w:highlight w:val="none"/>
                <w:lang w:val="en-US" w:eastAsia="zh-CN" w:bidi="ar-SA"/>
              </w:rPr>
              <w:t>或出现大写金额与小写金额不一致</w:t>
            </w:r>
            <w:r>
              <w:rPr>
                <w:rFonts w:hint="eastAsia" w:ascii="宋体" w:hAnsi="宋体" w:eastAsia="宋体" w:cs="宋体"/>
                <w:kern w:val="2"/>
                <w:sz w:val="21"/>
                <w:szCs w:val="21"/>
                <w:highlight w:val="none"/>
                <w:lang w:val="en-US" w:eastAsia="zh-CN" w:bidi="ar-SA"/>
              </w:rPr>
              <w:t>时，按就低不就高原则确定其最终报价。如修正后的投标报价超出相应的最高投标限价，则由评标委员否决其投标。</w:t>
            </w:r>
          </w:p>
        </w:tc>
      </w:tr>
      <w:tr w14:paraId="07A8DB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24" w:hRule="atLeast"/>
        </w:trPr>
        <w:tc>
          <w:tcPr>
            <w:tcW w:w="2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95341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8</w:t>
            </w:r>
          </w:p>
        </w:tc>
        <w:tc>
          <w:tcPr>
            <w:tcW w:w="9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8D01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firstLine="0" w:firstLineChars="0"/>
              <w:jc w:val="both"/>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附件3－2（工程勘察费计算表）</w:t>
            </w:r>
          </w:p>
        </w:tc>
        <w:tc>
          <w:tcPr>
            <w:tcW w:w="131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2557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2、当序号（1）序号（2）的乘积与序号（3）不一致时，按就低不就高原则确定其最终报价。如修正后的投标报价超出相应的最高投标限价，则由评标委员会否决其投标。</w:t>
            </w:r>
          </w:p>
        </w:tc>
        <w:tc>
          <w:tcPr>
            <w:tcW w:w="24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9E9D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2、当序号（1）序号（2）的乘积与序号（3）不一致</w:t>
            </w:r>
            <w:r>
              <w:rPr>
                <w:rFonts w:hint="eastAsia" w:ascii="宋体" w:hAnsi="宋体" w:eastAsia="宋体" w:cs="宋体"/>
                <w:b/>
                <w:bCs/>
                <w:kern w:val="2"/>
                <w:sz w:val="21"/>
                <w:szCs w:val="21"/>
                <w:highlight w:val="none"/>
                <w:lang w:val="en-US" w:eastAsia="zh-CN" w:bidi="ar-SA"/>
              </w:rPr>
              <w:t>或出现大写金额与小写金额不一致</w:t>
            </w:r>
            <w:r>
              <w:rPr>
                <w:rFonts w:hint="eastAsia" w:ascii="宋体" w:hAnsi="宋体" w:eastAsia="宋体" w:cs="宋体"/>
                <w:kern w:val="2"/>
                <w:sz w:val="21"/>
                <w:szCs w:val="21"/>
                <w:highlight w:val="none"/>
                <w:lang w:val="en-US" w:eastAsia="zh-CN" w:bidi="ar-SA"/>
              </w:rPr>
              <w:t>时，按就低不就高原则确定其最终报价。如修正后的投标报价超出相应的最高投标限价，则由评标委员会否决其投标。</w:t>
            </w:r>
          </w:p>
        </w:tc>
      </w:tr>
      <w:tr w14:paraId="0999C5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9" w:hRule="atLeast"/>
        </w:trPr>
        <w:tc>
          <w:tcPr>
            <w:tcW w:w="2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CDEE3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9</w:t>
            </w:r>
          </w:p>
        </w:tc>
        <w:tc>
          <w:tcPr>
            <w:tcW w:w="9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4F8FBD">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附件3－3（BIM技术应用费计算表）</w:t>
            </w:r>
          </w:p>
        </w:tc>
        <w:tc>
          <w:tcPr>
            <w:tcW w:w="131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FDE0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2、当序号（1）序号（2）的乘积与序号（3）不一致时，按就低不就高原则确定其最终报价。如修正后的投标报价超出相应的最高投标限价，则由评标委员会否决其投标。</w:t>
            </w:r>
          </w:p>
        </w:tc>
        <w:tc>
          <w:tcPr>
            <w:tcW w:w="24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85C9A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leftChars="0" w:right="0" w:rightChars="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2、当序号（1）序号（2）的乘积与序号（3）不一致</w:t>
            </w:r>
            <w:r>
              <w:rPr>
                <w:rFonts w:hint="eastAsia" w:ascii="宋体" w:hAnsi="宋体" w:eastAsia="宋体" w:cs="宋体"/>
                <w:b/>
                <w:bCs/>
                <w:kern w:val="2"/>
                <w:sz w:val="21"/>
                <w:szCs w:val="21"/>
                <w:highlight w:val="none"/>
                <w:lang w:val="en-US" w:eastAsia="zh-CN" w:bidi="ar-SA"/>
              </w:rPr>
              <w:t>或出现大写金额与小写金额不一致</w:t>
            </w:r>
            <w:r>
              <w:rPr>
                <w:rFonts w:hint="eastAsia" w:ascii="宋体" w:hAnsi="宋体" w:eastAsia="宋体" w:cs="宋体"/>
                <w:kern w:val="2"/>
                <w:sz w:val="21"/>
                <w:szCs w:val="21"/>
                <w:highlight w:val="none"/>
                <w:lang w:val="en-US" w:eastAsia="zh-CN" w:bidi="ar-SA"/>
              </w:rPr>
              <w:t>时，按就低不就高原则确定其最终报价。如修正后的投标报价超出相应的最高投标限价，则由评标委员会否决其投标。</w:t>
            </w:r>
          </w:p>
        </w:tc>
      </w:tr>
      <w:tr w14:paraId="40EFF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62" w:hRule="atLeast"/>
        </w:trPr>
        <w:tc>
          <w:tcPr>
            <w:tcW w:w="2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4C904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10</w:t>
            </w:r>
          </w:p>
        </w:tc>
        <w:tc>
          <w:tcPr>
            <w:tcW w:w="9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289C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0"/>
              <w:jc w:val="both"/>
              <w:rPr>
                <w:rFonts w:hint="eastAsia" w:ascii="宋体" w:hAnsi="宋体" w:eastAsia="宋体" w:cs="宋体"/>
                <w:color w:val="auto"/>
                <w:u w:val="none"/>
              </w:rPr>
            </w:pPr>
            <w:bookmarkStart w:id="0" w:name="_Toc26514"/>
            <w:bookmarkStart w:id="1" w:name="_Toc17672"/>
            <w:r>
              <w:rPr>
                <w:rFonts w:hint="eastAsia" w:ascii="宋体" w:hAnsi="宋体"/>
                <w:sz w:val="21"/>
                <w:szCs w:val="21"/>
                <w:highlight w:val="none"/>
              </w:rPr>
              <w:t>附录6 投标书</w:t>
            </w:r>
            <w:bookmarkEnd w:id="0"/>
            <w:bookmarkEnd w:id="1"/>
          </w:p>
        </w:tc>
        <w:tc>
          <w:tcPr>
            <w:tcW w:w="131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5FC71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详见原招标文件</w:t>
            </w:r>
          </w:p>
        </w:tc>
        <w:tc>
          <w:tcPr>
            <w:tcW w:w="24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81FD4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详见附件：招标文件（补充公告版）.pdf</w:t>
            </w:r>
          </w:p>
        </w:tc>
      </w:tr>
      <w:tr w14:paraId="386D39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1" w:hRule="atLeast"/>
        </w:trPr>
        <w:tc>
          <w:tcPr>
            <w:tcW w:w="231" w:type="pct"/>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6F70C89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11</w:t>
            </w:r>
          </w:p>
        </w:tc>
        <w:tc>
          <w:tcPr>
            <w:tcW w:w="962" w:type="pct"/>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38DB89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0"/>
              <w:jc w:val="both"/>
              <w:rPr>
                <w:rFonts w:hint="eastAsia" w:ascii="宋体" w:hAnsi="宋体" w:eastAsia="宋体" w:cs="宋体"/>
                <w:kern w:val="2"/>
                <w:sz w:val="21"/>
                <w:szCs w:val="21"/>
                <w:highlight w:val="none"/>
                <w:lang w:val="en-US" w:eastAsia="zh-CN" w:bidi="ar-SA"/>
              </w:rPr>
            </w:pPr>
            <w:bookmarkStart w:id="2" w:name="_Toc901"/>
            <w:bookmarkStart w:id="3" w:name="_Toc3464"/>
            <w:r>
              <w:rPr>
                <w:rFonts w:hint="eastAsia" w:ascii="宋体" w:hAnsi="宋体"/>
                <w:sz w:val="21"/>
                <w:szCs w:val="21"/>
                <w:highlight w:val="none"/>
              </w:rPr>
              <w:t>附录8 投标人声明</w:t>
            </w:r>
            <w:bookmarkEnd w:id="2"/>
            <w:bookmarkEnd w:id="3"/>
          </w:p>
        </w:tc>
        <w:tc>
          <w:tcPr>
            <w:tcW w:w="1311" w:type="pct"/>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33F1B3A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详见原招标文件</w:t>
            </w:r>
          </w:p>
        </w:tc>
        <w:tc>
          <w:tcPr>
            <w:tcW w:w="2495" w:type="pct"/>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2E296EC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详见附件：招标文件（补充公告版）.pdf</w:t>
            </w:r>
          </w:p>
        </w:tc>
      </w:tr>
      <w:tr w14:paraId="694161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806CD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u w:val="none"/>
              </w:rPr>
            </w:pPr>
            <w:r>
              <w:rPr>
                <w:rFonts w:hint="eastAsia" w:ascii="宋体" w:hAnsi="宋体" w:eastAsia="宋体" w:cs="宋体"/>
                <w:color w:val="auto"/>
                <w:sz w:val="21"/>
                <w:szCs w:val="21"/>
                <w:u w:val="none"/>
              </w:rPr>
              <w:t>12</w:t>
            </w:r>
          </w:p>
        </w:tc>
        <w:tc>
          <w:tcPr>
            <w:tcW w:w="962"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24773E">
            <w:pPr>
              <w:rPr>
                <w:rFonts w:hint="eastAsia" w:ascii="宋体" w:hAnsi="宋体" w:eastAsia="宋体" w:cs="宋体"/>
                <w:kern w:val="2"/>
                <w:sz w:val="21"/>
                <w:szCs w:val="21"/>
                <w:highlight w:val="none"/>
                <w:lang w:val="en-US" w:eastAsia="zh-CN" w:bidi="ar-SA"/>
              </w:rPr>
            </w:pPr>
            <w:bookmarkStart w:id="4" w:name="_Toc10060"/>
            <w:bookmarkStart w:id="5" w:name="_Toc31851"/>
            <w:r>
              <w:rPr>
                <w:rFonts w:hint="eastAsia" w:ascii="宋体" w:hAnsi="宋体"/>
                <w:sz w:val="21"/>
                <w:szCs w:val="21"/>
                <w:highlight w:val="none"/>
              </w:rPr>
              <w:t>附件10 投票表格</w:t>
            </w:r>
            <w:bookmarkEnd w:id="4"/>
            <w:bookmarkEnd w:id="5"/>
          </w:p>
        </w:tc>
        <w:tc>
          <w:tcPr>
            <w:tcW w:w="131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498E3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详见原招标文件</w:t>
            </w:r>
          </w:p>
        </w:tc>
        <w:tc>
          <w:tcPr>
            <w:tcW w:w="2495"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A983C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详见附件：招标文件（补充公告版）.pdf</w:t>
            </w:r>
          </w:p>
        </w:tc>
      </w:tr>
      <w:tr w14:paraId="35CC6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63F54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13</w:t>
            </w:r>
          </w:p>
        </w:tc>
        <w:tc>
          <w:tcPr>
            <w:tcW w:w="962"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4CEB26">
            <w:pPr>
              <w:rPr>
                <w:rFonts w:hint="eastAsia" w:ascii="宋体" w:hAnsi="宋体"/>
                <w:sz w:val="21"/>
                <w:szCs w:val="21"/>
                <w:highlight w:val="none"/>
              </w:rPr>
            </w:pPr>
            <w:bookmarkStart w:id="6" w:name="_Toc1381"/>
            <w:bookmarkStart w:id="7" w:name="_Toc11467"/>
            <w:r>
              <w:rPr>
                <w:rFonts w:hint="eastAsia" w:ascii="宋体" w:hAnsi="宋体" w:cs="宋体"/>
                <w:sz w:val="21"/>
                <w:szCs w:val="21"/>
                <w:highlight w:val="none"/>
              </w:rPr>
              <w:t>附录</w:t>
            </w:r>
            <w:r>
              <w:rPr>
                <w:rFonts w:hint="eastAsia" w:ascii="宋体" w:hAnsi="宋体"/>
                <w:sz w:val="21"/>
                <w:szCs w:val="21"/>
                <w:highlight w:val="none"/>
              </w:rPr>
              <w:t>12有效性审查表</w:t>
            </w:r>
            <w:bookmarkEnd w:id="6"/>
            <w:bookmarkEnd w:id="7"/>
          </w:p>
          <w:p w14:paraId="13A55716">
            <w:pPr>
              <w:rPr>
                <w:rFonts w:hint="eastAsia" w:ascii="宋体" w:hAnsi="宋体"/>
                <w:sz w:val="21"/>
                <w:szCs w:val="21"/>
                <w:highlight w:val="none"/>
              </w:rPr>
            </w:pPr>
          </w:p>
          <w:p w14:paraId="2B8AC7B8">
            <w:pPr>
              <w:rPr>
                <w:rFonts w:hint="eastAsia" w:ascii="宋体" w:hAnsi="宋体"/>
                <w:sz w:val="21"/>
                <w:szCs w:val="21"/>
                <w:highlight w:val="none"/>
                <w:lang w:val="en-US" w:eastAsia="zh-CN"/>
              </w:rPr>
            </w:pPr>
            <w:r>
              <w:rPr>
                <w:rFonts w:hint="eastAsia" w:ascii="宋体" w:hAnsi="宋体"/>
                <w:sz w:val="21"/>
                <w:szCs w:val="21"/>
                <w:highlight w:val="none"/>
                <w:lang w:val="en-US" w:eastAsia="zh-CN"/>
              </w:rPr>
              <w:t>有效性审查表（非技术方案）</w:t>
            </w:r>
          </w:p>
        </w:tc>
        <w:tc>
          <w:tcPr>
            <w:tcW w:w="131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A442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详见原招标文件</w:t>
            </w:r>
          </w:p>
        </w:tc>
        <w:tc>
          <w:tcPr>
            <w:tcW w:w="2495"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C92C1F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详见附件：招标文件</w:t>
            </w:r>
            <w:bookmarkStart w:id="14" w:name="_GoBack"/>
            <w:bookmarkEnd w:id="14"/>
            <w:r>
              <w:rPr>
                <w:rFonts w:hint="eastAsia" w:ascii="宋体" w:hAnsi="宋体" w:eastAsia="宋体" w:cs="宋体"/>
                <w:kern w:val="2"/>
                <w:sz w:val="21"/>
                <w:szCs w:val="21"/>
                <w:highlight w:val="none"/>
                <w:lang w:val="en-US" w:eastAsia="zh-CN" w:bidi="ar-SA"/>
              </w:rPr>
              <w:t>（补充公告版）.pdf</w:t>
            </w:r>
          </w:p>
        </w:tc>
      </w:tr>
      <w:tr w14:paraId="793B68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62B0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14</w:t>
            </w:r>
          </w:p>
        </w:tc>
        <w:tc>
          <w:tcPr>
            <w:tcW w:w="962"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CD2671">
            <w:pPr>
              <w:rPr>
                <w:rFonts w:hint="eastAsia" w:ascii="宋体" w:hAnsi="宋体"/>
                <w:sz w:val="21"/>
                <w:szCs w:val="21"/>
                <w:highlight w:val="none"/>
                <w:lang w:val="en-US" w:eastAsia="zh-CN"/>
              </w:rPr>
            </w:pPr>
            <w:r>
              <w:rPr>
                <w:rFonts w:hint="eastAsia" w:ascii="宋体" w:hAnsi="宋体"/>
                <w:sz w:val="21"/>
                <w:szCs w:val="21"/>
                <w:highlight w:val="none"/>
                <w:lang w:val="en-US" w:eastAsia="zh-CN"/>
              </w:rPr>
              <w:t>附录16 定标原则</w:t>
            </w:r>
          </w:p>
        </w:tc>
        <w:tc>
          <w:tcPr>
            <w:tcW w:w="131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8607A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详见原招标文件</w:t>
            </w:r>
          </w:p>
        </w:tc>
        <w:tc>
          <w:tcPr>
            <w:tcW w:w="2495"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09744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详见附件：定标原则或招标文件（补充公告版）.pdf</w:t>
            </w:r>
          </w:p>
        </w:tc>
      </w:tr>
      <w:tr w14:paraId="336E6D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6F36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15</w:t>
            </w:r>
          </w:p>
        </w:tc>
        <w:tc>
          <w:tcPr>
            <w:tcW w:w="962"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4106044">
            <w:pPr>
              <w:rPr>
                <w:rFonts w:hint="eastAsia" w:ascii="宋体" w:hAnsi="宋体"/>
                <w:sz w:val="21"/>
                <w:szCs w:val="21"/>
                <w:highlight w:val="none"/>
                <w:lang w:val="en-US" w:eastAsia="zh-CN"/>
              </w:rPr>
            </w:pPr>
            <w:bookmarkStart w:id="8" w:name="_Toc23238"/>
            <w:bookmarkStart w:id="9" w:name="_Toc10612"/>
            <w:r>
              <w:rPr>
                <w:rFonts w:hint="eastAsia" w:ascii="宋体" w:hAnsi="宋体" w:cs="宋体"/>
                <w:sz w:val="21"/>
                <w:szCs w:val="21"/>
                <w:highlight w:val="none"/>
              </w:rPr>
              <w:t>附录</w:t>
            </w:r>
            <w:r>
              <w:rPr>
                <w:rFonts w:hint="eastAsia" w:ascii="宋体" w:hAnsi="宋体"/>
                <w:sz w:val="21"/>
                <w:szCs w:val="21"/>
                <w:highlight w:val="none"/>
              </w:rPr>
              <w:t xml:space="preserve">16-2 </w:t>
            </w:r>
            <w:r>
              <w:rPr>
                <w:rFonts w:hint="eastAsia" w:ascii="宋体" w:hAnsi="宋体" w:cs="宋体"/>
                <w:sz w:val="21"/>
                <w:szCs w:val="21"/>
                <w:highlight w:val="none"/>
              </w:rPr>
              <w:t>投票表格</w:t>
            </w:r>
            <w:bookmarkEnd w:id="8"/>
            <w:bookmarkEnd w:id="9"/>
          </w:p>
        </w:tc>
        <w:tc>
          <w:tcPr>
            <w:tcW w:w="131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5E353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详见原招标文件</w:t>
            </w:r>
          </w:p>
        </w:tc>
        <w:tc>
          <w:tcPr>
            <w:tcW w:w="2495"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32FD9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详见附件：招标文件（补充公告版）.pdf</w:t>
            </w:r>
          </w:p>
        </w:tc>
      </w:tr>
      <w:tr w14:paraId="439B73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767DDE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16</w:t>
            </w:r>
          </w:p>
        </w:tc>
        <w:tc>
          <w:tcPr>
            <w:tcW w:w="962"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7093D9">
            <w:pPr>
              <w:rPr>
                <w:rFonts w:hint="eastAsia" w:ascii="宋体" w:hAnsi="宋体"/>
                <w:sz w:val="21"/>
                <w:szCs w:val="21"/>
                <w:highlight w:val="none"/>
                <w:lang w:val="en-US" w:eastAsia="zh-CN"/>
              </w:rPr>
            </w:pPr>
            <w:bookmarkStart w:id="10" w:name="_Toc21211"/>
            <w:bookmarkStart w:id="11" w:name="_Toc18404"/>
            <w:r>
              <w:rPr>
                <w:rFonts w:hint="eastAsia" w:ascii="宋体" w:hAnsi="宋体" w:cs="宋体"/>
                <w:sz w:val="21"/>
                <w:szCs w:val="21"/>
                <w:highlight w:val="none"/>
              </w:rPr>
              <w:t>附录</w:t>
            </w:r>
            <w:r>
              <w:rPr>
                <w:rFonts w:hint="eastAsia" w:ascii="宋体" w:hAnsi="宋体"/>
                <w:sz w:val="21"/>
                <w:szCs w:val="21"/>
                <w:highlight w:val="none"/>
              </w:rPr>
              <w:t>17</w:t>
            </w:r>
            <w:r>
              <w:rPr>
                <w:rFonts w:hint="eastAsia" w:ascii="宋体" w:hAnsi="宋体" w:cs="宋体"/>
                <w:sz w:val="21"/>
                <w:szCs w:val="21"/>
                <w:highlight w:val="none"/>
              </w:rPr>
              <w:t>拟投入的人员基本情况及主要负责人简历表</w:t>
            </w:r>
            <w:bookmarkEnd w:id="10"/>
            <w:bookmarkEnd w:id="11"/>
          </w:p>
        </w:tc>
        <w:tc>
          <w:tcPr>
            <w:tcW w:w="131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97C63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详见原招标文件</w:t>
            </w:r>
          </w:p>
        </w:tc>
        <w:tc>
          <w:tcPr>
            <w:tcW w:w="2495"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CA71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详见附件：招标文件（补充公告版）.pdf</w:t>
            </w:r>
          </w:p>
        </w:tc>
      </w:tr>
    </w:tbl>
    <w:p w14:paraId="373942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80"/>
        <w:jc w:val="both"/>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shd w:val="clear" w:fill="FFFFFF"/>
        </w:rPr>
        <w:t>二、以本补充公告发布的附件为准，请投标人自行下载并按照最新版文件编制投标文件。</w:t>
      </w:r>
    </w:p>
    <w:p w14:paraId="7276B2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80"/>
        <w:jc w:val="both"/>
        <w:rPr>
          <w:rFonts w:hint="eastAsia" w:ascii="宋体" w:hAnsi="宋体" w:eastAsia="宋体" w:cs="宋体"/>
          <w:i w:val="0"/>
          <w:iCs w:val="0"/>
          <w:caps w:val="0"/>
          <w:color w:val="auto"/>
          <w:spacing w:val="0"/>
          <w:sz w:val="21"/>
          <w:szCs w:val="21"/>
          <w:u w:val="none"/>
          <w:shd w:val="clear" w:fill="FFFFFF"/>
        </w:rPr>
      </w:pPr>
      <w:r>
        <w:rPr>
          <w:rFonts w:hint="eastAsia" w:ascii="宋体" w:hAnsi="宋体" w:eastAsia="宋体" w:cs="宋体"/>
          <w:i w:val="0"/>
          <w:iCs w:val="0"/>
          <w:caps w:val="0"/>
          <w:color w:val="auto"/>
          <w:spacing w:val="0"/>
          <w:sz w:val="21"/>
          <w:szCs w:val="21"/>
          <w:u w:val="none"/>
          <w:shd w:val="clear" w:fill="FFFFFF"/>
        </w:rPr>
        <w:t>三、本项目投标登记、递交投标文件及开标日程时间及场地已作调整，具体时间及场地安排请各投标人密切留意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w:t>
      </w:r>
    </w:p>
    <w:p w14:paraId="4C3CEA7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80"/>
        <w:jc w:val="both"/>
        <w:rPr>
          <w:rFonts w:hint="eastAsia" w:ascii="宋体" w:hAnsi="宋体" w:eastAsia="宋体" w:cs="宋体"/>
          <w:i w:val="0"/>
          <w:iCs w:val="0"/>
          <w:caps w:val="0"/>
          <w:color w:val="auto"/>
          <w:spacing w:val="0"/>
          <w:sz w:val="21"/>
          <w:szCs w:val="21"/>
          <w:u w:val="none"/>
          <w:shd w:val="clear" w:fill="FFFFFF"/>
        </w:rPr>
      </w:pPr>
      <w:r>
        <w:rPr>
          <w:rFonts w:hint="eastAsia" w:ascii="宋体" w:hAnsi="宋体" w:eastAsia="宋体" w:cs="宋体"/>
          <w:i w:val="0"/>
          <w:iCs w:val="0"/>
          <w:caps w:val="0"/>
          <w:color w:val="auto"/>
          <w:spacing w:val="0"/>
          <w:sz w:val="21"/>
          <w:szCs w:val="21"/>
          <w:u w:val="none"/>
          <w:shd w:val="clear" w:fill="FFFFFF"/>
        </w:rPr>
        <w:t>四、原招标公告、招标文件中其他内容不变，如原招标公告、招标文件内容与本补充公告内容存在矛盾的，以本补充公告内容为准。如对同一事项的表述与之前所发出的招标公告、招标文件不符，则以本补充公告为准。</w:t>
      </w:r>
    </w:p>
    <w:p w14:paraId="7FE2885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80"/>
        <w:jc w:val="both"/>
        <w:rPr>
          <w:rFonts w:hint="eastAsia" w:ascii="宋体" w:hAnsi="宋体" w:eastAsia="宋体" w:cs="宋体"/>
          <w:i w:val="0"/>
          <w:iCs w:val="0"/>
          <w:caps w:val="0"/>
          <w:color w:val="auto"/>
          <w:spacing w:val="0"/>
          <w:sz w:val="21"/>
          <w:szCs w:val="21"/>
          <w:u w:val="none"/>
          <w:shd w:val="clear" w:fill="FFFFFF"/>
        </w:rPr>
      </w:pPr>
    </w:p>
    <w:p w14:paraId="7E8D986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80"/>
        <w:jc w:val="right"/>
        <w:rPr>
          <w:rFonts w:hint="eastAsia" w:ascii="宋体" w:hAnsi="宋体" w:eastAsia="宋体" w:cs="宋体"/>
          <w:i w:val="0"/>
          <w:iCs w:val="0"/>
          <w:caps w:val="0"/>
          <w:color w:val="auto"/>
          <w:spacing w:val="0"/>
          <w:sz w:val="21"/>
          <w:szCs w:val="21"/>
          <w:u w:val="none"/>
          <w:shd w:val="clear" w:fill="FFFFFF"/>
        </w:rPr>
      </w:pPr>
      <w:r>
        <w:rPr>
          <w:rFonts w:hint="eastAsia" w:ascii="宋体" w:hAnsi="宋体" w:eastAsia="宋体" w:cs="宋体"/>
          <w:i w:val="0"/>
          <w:iCs w:val="0"/>
          <w:caps w:val="0"/>
          <w:color w:val="auto"/>
          <w:spacing w:val="0"/>
          <w:sz w:val="21"/>
          <w:szCs w:val="21"/>
          <w:u w:val="none"/>
          <w:shd w:val="clear" w:fill="FFFFFF"/>
        </w:rPr>
        <w:t>招标单位：华南理工大学</w:t>
      </w:r>
    </w:p>
    <w:p w14:paraId="68EDC9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80"/>
        <w:jc w:val="right"/>
        <w:rPr>
          <w:rFonts w:hint="eastAsia" w:ascii="宋体" w:hAnsi="宋体" w:eastAsia="宋体" w:cs="宋体"/>
          <w:i w:val="0"/>
          <w:iCs w:val="0"/>
          <w:caps w:val="0"/>
          <w:color w:val="auto"/>
          <w:spacing w:val="0"/>
          <w:sz w:val="21"/>
          <w:szCs w:val="21"/>
          <w:u w:val="none"/>
          <w:shd w:val="clear" w:fill="FFFFFF"/>
        </w:rPr>
      </w:pPr>
      <w:r>
        <w:rPr>
          <w:rFonts w:hint="eastAsia" w:ascii="宋体" w:hAnsi="宋体" w:eastAsia="宋体" w:cs="宋体"/>
          <w:i w:val="0"/>
          <w:iCs w:val="0"/>
          <w:caps w:val="0"/>
          <w:color w:val="auto"/>
          <w:spacing w:val="0"/>
          <w:sz w:val="21"/>
          <w:szCs w:val="21"/>
          <w:u w:val="none"/>
          <w:shd w:val="clear" w:fill="FFFFFF"/>
        </w:rPr>
        <w:t>202</w:t>
      </w:r>
      <w:r>
        <w:rPr>
          <w:rFonts w:hint="eastAsia" w:ascii="宋体" w:hAnsi="宋体" w:eastAsia="宋体" w:cs="宋体"/>
          <w:i w:val="0"/>
          <w:iCs w:val="0"/>
          <w:caps w:val="0"/>
          <w:color w:val="auto"/>
          <w:spacing w:val="0"/>
          <w:sz w:val="21"/>
          <w:szCs w:val="21"/>
          <w:u w:val="none"/>
          <w:shd w:val="clear" w:fill="FFFFFF"/>
          <w:lang w:val="en-US" w:eastAsia="zh-CN"/>
        </w:rPr>
        <w:t>5</w:t>
      </w:r>
      <w:r>
        <w:rPr>
          <w:rFonts w:hint="eastAsia" w:ascii="宋体" w:hAnsi="宋体" w:eastAsia="宋体" w:cs="宋体"/>
          <w:i w:val="0"/>
          <w:iCs w:val="0"/>
          <w:caps w:val="0"/>
          <w:color w:val="auto"/>
          <w:spacing w:val="0"/>
          <w:sz w:val="21"/>
          <w:szCs w:val="21"/>
          <w:u w:val="none"/>
          <w:shd w:val="clear" w:fill="FFFFFF"/>
        </w:rPr>
        <w:t>年</w:t>
      </w:r>
      <w:r>
        <w:rPr>
          <w:rFonts w:hint="eastAsia" w:ascii="宋体" w:hAnsi="宋体" w:eastAsia="宋体" w:cs="宋体"/>
          <w:i w:val="0"/>
          <w:iCs w:val="0"/>
          <w:caps w:val="0"/>
          <w:color w:val="auto"/>
          <w:spacing w:val="0"/>
          <w:sz w:val="21"/>
          <w:szCs w:val="21"/>
          <w:u w:val="none"/>
          <w:shd w:val="clear" w:fill="FFFFFF"/>
          <w:lang w:val="en-US" w:eastAsia="zh-CN"/>
        </w:rPr>
        <w:t>3</w:t>
      </w:r>
      <w:r>
        <w:rPr>
          <w:rFonts w:hint="eastAsia" w:ascii="宋体" w:hAnsi="宋体" w:eastAsia="宋体" w:cs="宋体"/>
          <w:i w:val="0"/>
          <w:iCs w:val="0"/>
          <w:caps w:val="0"/>
          <w:color w:val="auto"/>
          <w:spacing w:val="0"/>
          <w:sz w:val="21"/>
          <w:szCs w:val="21"/>
          <w:u w:val="none"/>
          <w:shd w:val="clear" w:fill="FFFFFF"/>
        </w:rPr>
        <w:t>月</w:t>
      </w:r>
      <w:r>
        <w:rPr>
          <w:rFonts w:hint="eastAsia" w:ascii="宋体" w:hAnsi="宋体" w:eastAsia="宋体" w:cs="宋体"/>
          <w:i w:val="0"/>
          <w:iCs w:val="0"/>
          <w:caps w:val="0"/>
          <w:color w:val="auto"/>
          <w:spacing w:val="0"/>
          <w:sz w:val="21"/>
          <w:szCs w:val="21"/>
          <w:u w:val="none"/>
          <w:shd w:val="clear" w:fill="FFFFFF"/>
          <w:lang w:val="en-US" w:eastAsia="zh-CN"/>
        </w:rPr>
        <w:t>28</w:t>
      </w:r>
      <w:r>
        <w:rPr>
          <w:rFonts w:hint="eastAsia" w:ascii="宋体" w:hAnsi="宋体" w:eastAsia="宋体" w:cs="宋体"/>
          <w:i w:val="0"/>
          <w:iCs w:val="0"/>
          <w:caps w:val="0"/>
          <w:color w:val="auto"/>
          <w:spacing w:val="0"/>
          <w:sz w:val="21"/>
          <w:szCs w:val="21"/>
          <w:u w:val="none"/>
          <w:shd w:val="clear" w:fill="FFFFFF"/>
        </w:rPr>
        <w:t>日</w:t>
      </w:r>
    </w:p>
    <w:p w14:paraId="0215079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right="0"/>
        <w:jc w:val="both"/>
        <w:rPr>
          <w:rFonts w:hint="eastAsia"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t>附件：</w:t>
      </w:r>
    </w:p>
    <w:p w14:paraId="3F20B4C9">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right="0"/>
        <w:jc w:val="both"/>
        <w:rPr>
          <w:rFonts w:hint="eastAsia"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t>定标原则</w:t>
      </w:r>
    </w:p>
    <w:p w14:paraId="3D3FC6D7">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right="0"/>
        <w:jc w:val="both"/>
        <w:rPr>
          <w:rFonts w:hint="eastAsia"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t>补充公告-盖章版.pdf</w:t>
      </w:r>
    </w:p>
    <w:p w14:paraId="33E3E500">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right="0"/>
        <w:jc w:val="both"/>
        <w:rPr>
          <w:rFonts w:hint="default"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t>补充公告.docx</w:t>
      </w:r>
    </w:p>
    <w:p w14:paraId="2A4B9D20">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right="0"/>
        <w:jc w:val="both"/>
        <w:rPr>
          <w:rFonts w:hint="default"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t>招标文件（补充公告版）.pdf</w:t>
      </w:r>
    </w:p>
    <w:p w14:paraId="2B388CE8">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right="0"/>
        <w:jc w:val="both"/>
        <w:rPr>
          <w:rFonts w:hint="default"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t>招标文件（补充公告版）.docx</w:t>
      </w:r>
    </w:p>
    <w:p w14:paraId="609B2AF1">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right="0"/>
        <w:jc w:val="both"/>
        <w:rPr>
          <w:rFonts w:hint="default"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t>地形图（参考）.dwg</w:t>
      </w:r>
    </w:p>
    <w:p w14:paraId="0D749F0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312"/>
        </w:tabs>
        <w:spacing w:before="0" w:beforeAutospacing="0" w:after="0" w:afterAutospacing="0" w:line="380" w:lineRule="atLeast"/>
        <w:ind w:right="0" w:rightChars="0"/>
        <w:jc w:val="both"/>
        <w:rPr>
          <w:rFonts w:hint="eastAsia" w:ascii="宋体" w:hAnsi="宋体" w:eastAsia="宋体" w:cs="宋体"/>
          <w:i w:val="0"/>
          <w:iCs w:val="0"/>
          <w:caps w:val="0"/>
          <w:color w:val="auto"/>
          <w:spacing w:val="0"/>
          <w:sz w:val="21"/>
          <w:szCs w:val="21"/>
          <w:u w:val="none"/>
          <w:shd w:val="clear" w:fill="FFFFFF"/>
          <w:lang w:val="en-US" w:eastAsia="zh-CN"/>
        </w:rPr>
      </w:pPr>
    </w:p>
    <w:p w14:paraId="793504A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312"/>
        </w:tabs>
        <w:spacing w:before="0" w:beforeAutospacing="0" w:after="0" w:afterAutospacing="0" w:line="380" w:lineRule="atLeast"/>
        <w:ind w:right="0" w:rightChars="0"/>
        <w:jc w:val="both"/>
        <w:rPr>
          <w:rFonts w:hint="eastAsia" w:ascii="宋体" w:hAnsi="宋体" w:eastAsia="宋体" w:cs="宋体"/>
          <w:i w:val="0"/>
          <w:iCs w:val="0"/>
          <w:caps w:val="0"/>
          <w:color w:val="auto"/>
          <w:spacing w:val="0"/>
          <w:sz w:val="21"/>
          <w:szCs w:val="21"/>
          <w:u w:val="none"/>
          <w:shd w:val="clear" w:fill="FFFFFF"/>
          <w:lang w:val="en-US" w:eastAsia="zh-CN"/>
        </w:rPr>
      </w:pPr>
    </w:p>
    <w:p w14:paraId="11AB9B62">
      <w:pPr>
        <w:rPr>
          <w:rFonts w:hint="eastAsia"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br w:type="page"/>
      </w:r>
    </w:p>
    <w:p w14:paraId="1AADFFC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312"/>
        </w:tabs>
        <w:spacing w:before="0" w:beforeAutospacing="0" w:after="0" w:afterAutospacing="0" w:line="380" w:lineRule="atLeast"/>
        <w:ind w:right="0" w:rightChars="0"/>
        <w:jc w:val="both"/>
        <w:rPr>
          <w:rFonts w:hint="eastAsia" w:ascii="宋体" w:hAnsi="宋体" w:eastAsia="宋体" w:cs="宋体"/>
          <w:i w:val="0"/>
          <w:iCs w:val="0"/>
          <w:caps w:val="0"/>
          <w:color w:val="auto"/>
          <w:spacing w:val="0"/>
          <w:sz w:val="21"/>
          <w:szCs w:val="21"/>
          <w:u w:val="none"/>
          <w:shd w:val="clear" w:fill="FFFFFF"/>
          <w:lang w:val="en-US" w:eastAsia="zh-CN"/>
        </w:rPr>
      </w:pPr>
      <w:r>
        <w:rPr>
          <w:rFonts w:hint="eastAsia" w:ascii="宋体" w:hAnsi="宋体" w:eastAsia="宋体" w:cs="宋体"/>
          <w:i w:val="0"/>
          <w:iCs w:val="0"/>
          <w:caps w:val="0"/>
          <w:color w:val="auto"/>
          <w:spacing w:val="0"/>
          <w:sz w:val="21"/>
          <w:szCs w:val="21"/>
          <w:u w:val="none"/>
          <w:shd w:val="clear" w:fill="FFFFFF"/>
          <w:lang w:val="en-US" w:eastAsia="zh-CN"/>
        </w:rPr>
        <w:t>附件1：定标原则</w:t>
      </w:r>
    </w:p>
    <w:p w14:paraId="75AE47AC">
      <w:pPr>
        <w:pStyle w:val="2"/>
        <w:rPr>
          <w:rFonts w:hint="eastAsia"/>
          <w:b w:val="0"/>
          <w:sz w:val="21"/>
          <w:szCs w:val="21"/>
          <w:highlight w:val="none"/>
          <w:shd w:val="clear" w:color="auto" w:fill="FFFFFF"/>
        </w:rPr>
      </w:pPr>
      <w:bookmarkStart w:id="12" w:name="_Toc24598"/>
      <w:bookmarkStart w:id="13" w:name="_Toc27586"/>
      <w:r>
        <w:rPr>
          <w:rFonts w:hint="eastAsia" w:ascii="宋体" w:hAnsi="宋体"/>
          <w:sz w:val="21"/>
          <w:szCs w:val="21"/>
          <w:highlight w:val="none"/>
        </w:rPr>
        <w:t>附录1</w:t>
      </w:r>
      <w:r>
        <w:rPr>
          <w:rFonts w:ascii="宋体" w:hAnsi="宋体"/>
          <w:sz w:val="21"/>
          <w:szCs w:val="21"/>
          <w:highlight w:val="none"/>
        </w:rPr>
        <w:t xml:space="preserve">6 </w:t>
      </w:r>
      <w:r>
        <w:rPr>
          <w:rFonts w:hint="eastAsia" w:ascii="宋体" w:hAnsi="宋体"/>
          <w:sz w:val="21"/>
          <w:szCs w:val="21"/>
          <w:highlight w:val="none"/>
        </w:rPr>
        <w:t>定标原则</w:t>
      </w:r>
      <w:bookmarkEnd w:id="12"/>
      <w:bookmarkEnd w:id="13"/>
    </w:p>
    <w:p w14:paraId="7311B5BB">
      <w:pPr>
        <w:pStyle w:val="7"/>
        <w:numPr>
          <w:ilvl w:val="0"/>
          <w:numId w:val="0"/>
        </w:numPr>
        <w:spacing w:beforeAutospacing="0" w:afterAutospacing="0" w:line="360" w:lineRule="auto"/>
        <w:ind w:firstLine="480" w:firstLineChars="0"/>
        <w:jc w:val="both"/>
        <w:rPr>
          <w:rFonts w:cs="宋体"/>
          <w:u w:val="single"/>
          <w:shd w:val="clear" w:color="auto" w:fill="FFFFFF"/>
        </w:rPr>
      </w:pPr>
      <w:r>
        <w:rPr>
          <w:rFonts w:ascii="宋体" w:hAnsi="宋体" w:cs="宋体"/>
          <w:kern w:val="0"/>
          <w:sz w:val="24"/>
          <w:szCs w:val="24"/>
          <w:shd w:val="clear" w:color="auto" w:fill="FFFFFF"/>
          <w:lang w:val="en-US" w:eastAsia="zh-CN" w:bidi="ar-SA"/>
        </w:rPr>
        <w:t>1、</w:t>
      </w:r>
      <w:r>
        <w:rPr>
          <w:rFonts w:cs="宋体"/>
          <w:u w:val="single"/>
          <w:shd w:val="clear" w:color="auto" w:fill="FFFFFF"/>
        </w:rPr>
        <w:t>本项目定标办法采用“记名投票+撰写评语”。定标委员会成员根据评标过程资料，对比合格的中标候选人的投标文件等情况，综合考虑各中标候选人的情况，根据定标因素对各合格的中标候选人进行评审比较后，采用以差额选举逐轮淘汰投票计数法的“记名投票+撰写评语”方式确定中标人。</w:t>
      </w:r>
    </w:p>
    <w:p w14:paraId="55638326">
      <w:pPr>
        <w:pStyle w:val="7"/>
        <w:spacing w:beforeAutospacing="0" w:afterAutospacing="0" w:line="360" w:lineRule="auto"/>
        <w:ind w:firstLine="480" w:firstLineChars="200"/>
        <w:jc w:val="both"/>
        <w:rPr>
          <w:rFonts w:cs="宋体"/>
          <w:u w:val="single"/>
          <w:shd w:val="clear" w:color="auto" w:fill="FFFFFF"/>
        </w:rPr>
      </w:pPr>
      <w:r>
        <w:rPr>
          <w:rFonts w:cs="宋体"/>
          <w:u w:val="single"/>
          <w:shd w:val="clear" w:color="auto" w:fill="FFFFFF"/>
        </w:rPr>
        <w:t>2、定标细则</w:t>
      </w:r>
    </w:p>
    <w:p w14:paraId="25D584F7">
      <w:pPr>
        <w:pStyle w:val="7"/>
        <w:spacing w:beforeAutospacing="0" w:afterAutospacing="0" w:line="360" w:lineRule="auto"/>
        <w:ind w:firstLine="480" w:firstLineChars="200"/>
        <w:jc w:val="both"/>
        <w:rPr>
          <w:rFonts w:cs="宋体"/>
          <w:u w:val="single"/>
          <w:shd w:val="clear" w:color="auto" w:fill="FFFFFF"/>
        </w:rPr>
      </w:pPr>
      <w:r>
        <w:rPr>
          <w:rFonts w:cs="宋体"/>
          <w:u w:val="single"/>
          <w:shd w:val="clear" w:color="auto" w:fill="FFFFFF"/>
        </w:rPr>
        <w:t>（1）定标委员会阅读评标委员会提交的评标报告及清标工作小组出具的清标报告。</w:t>
      </w:r>
    </w:p>
    <w:p w14:paraId="1D6C836B">
      <w:pPr>
        <w:pStyle w:val="7"/>
        <w:spacing w:beforeAutospacing="0" w:afterAutospacing="0" w:line="360" w:lineRule="auto"/>
        <w:ind w:firstLine="480" w:firstLineChars="200"/>
        <w:jc w:val="both"/>
        <w:rPr>
          <w:rFonts w:cs="宋体"/>
          <w:u w:val="single"/>
          <w:shd w:val="clear" w:color="auto" w:fill="FFFFFF"/>
        </w:rPr>
      </w:pPr>
      <w:r>
        <w:rPr>
          <w:rFonts w:cs="宋体"/>
          <w:u w:val="single"/>
          <w:shd w:val="clear" w:color="auto" w:fill="FFFFFF"/>
        </w:rPr>
        <w:t>（2）定标委员会根据定标因素对各合格的中标候选人进行综合评审。本项目按以下因素进行定标：</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320"/>
        <w:gridCol w:w="6460"/>
      </w:tblGrid>
      <w:tr w14:paraId="3A4F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blHeader/>
        </w:trPr>
        <w:tc>
          <w:tcPr>
            <w:tcW w:w="430" w:type="pct"/>
            <w:tcBorders>
              <w:top w:val="single" w:color="auto" w:sz="4" w:space="0"/>
              <w:left w:val="single" w:color="auto" w:sz="4" w:space="0"/>
              <w:bottom w:val="single" w:color="auto" w:sz="4" w:space="0"/>
              <w:right w:val="single" w:color="auto" w:sz="4" w:space="0"/>
            </w:tcBorders>
            <w:noWrap w:val="0"/>
            <w:vAlign w:val="center"/>
          </w:tcPr>
          <w:p w14:paraId="5F5F0119">
            <w:pPr>
              <w:pStyle w:val="7"/>
              <w:spacing w:beforeAutospacing="0" w:afterAutospacing="0" w:line="360" w:lineRule="auto"/>
              <w:jc w:val="center"/>
              <w:rPr>
                <w:rFonts w:cs="宋体"/>
                <w:sz w:val="21"/>
                <w:szCs w:val="21"/>
                <w:u w:val="single"/>
                <w:shd w:val="clear" w:color="auto" w:fill="FFFFFF"/>
              </w:rPr>
            </w:pPr>
            <w:r>
              <w:rPr>
                <w:rFonts w:cs="宋体"/>
                <w:sz w:val="21"/>
                <w:szCs w:val="21"/>
                <w:u w:val="single"/>
                <w:shd w:val="clear" w:color="auto" w:fill="FFFFFF"/>
              </w:rPr>
              <w:t>序号</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14F0A1BC">
            <w:pPr>
              <w:pStyle w:val="7"/>
              <w:spacing w:beforeAutospacing="0" w:afterAutospacing="0" w:line="360" w:lineRule="auto"/>
              <w:jc w:val="center"/>
              <w:rPr>
                <w:rFonts w:cs="宋体"/>
                <w:sz w:val="21"/>
                <w:szCs w:val="21"/>
                <w:u w:val="single"/>
                <w:shd w:val="clear" w:color="auto" w:fill="FFFFFF"/>
              </w:rPr>
            </w:pPr>
            <w:r>
              <w:rPr>
                <w:rFonts w:cs="宋体"/>
                <w:sz w:val="21"/>
                <w:szCs w:val="21"/>
                <w:u w:val="single"/>
                <w:shd w:val="clear" w:color="auto" w:fill="FFFFFF"/>
              </w:rPr>
              <w:t>评审因素</w:t>
            </w:r>
          </w:p>
        </w:tc>
        <w:tc>
          <w:tcPr>
            <w:tcW w:w="3793" w:type="pct"/>
            <w:tcBorders>
              <w:top w:val="single" w:color="auto" w:sz="4" w:space="0"/>
              <w:left w:val="single" w:color="auto" w:sz="4" w:space="0"/>
              <w:bottom w:val="single" w:color="auto" w:sz="4" w:space="0"/>
              <w:right w:val="single" w:color="auto" w:sz="4" w:space="0"/>
            </w:tcBorders>
            <w:noWrap w:val="0"/>
            <w:vAlign w:val="center"/>
          </w:tcPr>
          <w:p w14:paraId="447DC691">
            <w:pPr>
              <w:pStyle w:val="7"/>
              <w:spacing w:beforeAutospacing="0" w:afterAutospacing="0" w:line="360" w:lineRule="auto"/>
              <w:ind w:firstLine="420" w:firstLineChars="200"/>
              <w:jc w:val="center"/>
              <w:rPr>
                <w:rFonts w:cs="宋体"/>
                <w:sz w:val="21"/>
                <w:szCs w:val="21"/>
                <w:u w:val="single"/>
                <w:shd w:val="clear" w:color="auto" w:fill="FFFFFF"/>
              </w:rPr>
            </w:pPr>
            <w:r>
              <w:rPr>
                <w:rFonts w:cs="宋体"/>
                <w:sz w:val="21"/>
                <w:szCs w:val="21"/>
                <w:u w:val="single"/>
                <w:shd w:val="clear" w:color="auto" w:fill="FFFFFF"/>
              </w:rPr>
              <w:t>具体内容</w:t>
            </w:r>
          </w:p>
        </w:tc>
      </w:tr>
      <w:tr w14:paraId="093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430" w:type="pct"/>
            <w:tcBorders>
              <w:top w:val="single" w:color="auto" w:sz="4" w:space="0"/>
              <w:left w:val="single" w:color="auto" w:sz="4" w:space="0"/>
              <w:bottom w:val="single" w:color="auto" w:sz="4" w:space="0"/>
              <w:right w:val="single" w:color="auto" w:sz="4" w:space="0"/>
            </w:tcBorders>
            <w:noWrap w:val="0"/>
            <w:vAlign w:val="center"/>
          </w:tcPr>
          <w:p w14:paraId="746387F5">
            <w:pPr>
              <w:pStyle w:val="11"/>
              <w:widowControl/>
              <w:kinsoku w:val="0"/>
              <w:adjustRightInd w:val="0"/>
              <w:snapToGrid w:val="0"/>
              <w:spacing w:before="0" w:line="360" w:lineRule="auto"/>
              <w:textAlignment w:val="baseline"/>
              <w:rPr>
                <w:rFonts w:hint="eastAsia"/>
                <w:sz w:val="21"/>
                <w:szCs w:val="21"/>
                <w:u w:val="single"/>
                <w:shd w:val="clear" w:color="auto" w:fill="FFFFFF"/>
              </w:rPr>
            </w:pPr>
            <w:r>
              <w:rPr>
                <w:rFonts w:hint="eastAsia"/>
                <w:sz w:val="21"/>
                <w:szCs w:val="21"/>
              </w:rPr>
              <w:t>1</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7F9CEAB5">
            <w:pPr>
              <w:pStyle w:val="11"/>
              <w:widowControl/>
              <w:kinsoku w:val="0"/>
              <w:adjustRightInd w:val="0"/>
              <w:snapToGrid w:val="0"/>
              <w:spacing w:before="0" w:line="360" w:lineRule="auto"/>
              <w:textAlignment w:val="baseline"/>
              <w:rPr>
                <w:rFonts w:hint="eastAsia"/>
                <w:sz w:val="21"/>
                <w:szCs w:val="21"/>
                <w:u w:val="single"/>
                <w:shd w:val="clear" w:color="auto" w:fill="FFFFFF"/>
              </w:rPr>
            </w:pPr>
            <w:r>
              <w:rPr>
                <w:rFonts w:hint="eastAsia"/>
                <w:sz w:val="21"/>
                <w:szCs w:val="21"/>
              </w:rPr>
              <w:t>价格因素</w:t>
            </w:r>
          </w:p>
        </w:tc>
        <w:tc>
          <w:tcPr>
            <w:tcW w:w="3793" w:type="pct"/>
            <w:tcBorders>
              <w:top w:val="single" w:color="auto" w:sz="4" w:space="0"/>
              <w:left w:val="single" w:color="auto" w:sz="4" w:space="0"/>
              <w:bottom w:val="single" w:color="auto" w:sz="4" w:space="0"/>
              <w:right w:val="single" w:color="auto" w:sz="4" w:space="0"/>
            </w:tcBorders>
            <w:noWrap w:val="0"/>
            <w:vAlign w:val="center"/>
          </w:tcPr>
          <w:p w14:paraId="4077619A">
            <w:pPr>
              <w:pStyle w:val="11"/>
              <w:widowControl/>
              <w:kinsoku w:val="0"/>
              <w:adjustRightInd w:val="0"/>
              <w:snapToGrid w:val="0"/>
              <w:spacing w:before="0" w:line="360" w:lineRule="auto"/>
              <w:jc w:val="left"/>
              <w:textAlignment w:val="baseline"/>
              <w:rPr>
                <w:rFonts w:hint="eastAsia"/>
                <w:sz w:val="21"/>
                <w:szCs w:val="21"/>
              </w:rPr>
            </w:pPr>
            <w:r>
              <w:rPr>
                <w:rFonts w:hint="eastAsia"/>
                <w:sz w:val="21"/>
                <w:szCs w:val="21"/>
              </w:rPr>
              <w:t>定标委员会对合格的中标候选人的投标报价进行分析，结合合格的中标候选人报价的合理性进行评审。</w:t>
            </w:r>
          </w:p>
          <w:p w14:paraId="6CAE1AC1">
            <w:pPr>
              <w:spacing w:line="360" w:lineRule="auto"/>
              <w:rPr>
                <w:rFonts w:ascii="宋体" w:hAnsi="宋体" w:eastAsia="宋体" w:cs="宋体"/>
                <w:bCs/>
                <w:sz w:val="21"/>
                <w:szCs w:val="21"/>
                <w:lang w:eastAsia="zh-CN"/>
              </w:rPr>
            </w:pPr>
            <w:r>
              <w:rPr>
                <w:rFonts w:hint="eastAsia" w:ascii="宋体" w:hAnsi="宋体" w:eastAsia="宋体" w:cs="宋体"/>
                <w:bCs/>
                <w:sz w:val="21"/>
                <w:szCs w:val="21"/>
                <w:lang w:eastAsia="zh-CN"/>
              </w:rPr>
              <w:t>（</w:t>
            </w:r>
            <w:r>
              <w:rPr>
                <w:rFonts w:ascii="宋体" w:hAnsi="宋体" w:eastAsia="宋体" w:cs="宋体"/>
                <w:bCs/>
                <w:sz w:val="21"/>
                <w:szCs w:val="21"/>
                <w:lang w:eastAsia="zh-CN"/>
              </w:rPr>
              <w:t>1</w:t>
            </w:r>
            <w:r>
              <w:rPr>
                <w:rFonts w:hint="eastAsia" w:ascii="宋体" w:hAnsi="宋体" w:eastAsia="宋体" w:cs="宋体"/>
                <w:bCs/>
                <w:sz w:val="21"/>
                <w:szCs w:val="21"/>
                <w:lang w:eastAsia="zh-CN"/>
              </w:rPr>
              <w:t>）</w:t>
            </w:r>
            <w:r>
              <w:rPr>
                <w:rFonts w:hint="eastAsia" w:ascii="宋体" w:hAnsi="宋体" w:eastAsia="宋体" w:cs="宋体"/>
                <w:b/>
                <w:bCs/>
                <w:sz w:val="21"/>
                <w:szCs w:val="21"/>
                <w:lang w:eastAsia="zh-CN"/>
              </w:rPr>
              <w:t>较好方案</w:t>
            </w:r>
            <w:r>
              <w:rPr>
                <w:rFonts w:hint="eastAsia" w:ascii="宋体" w:hAnsi="宋体" w:eastAsia="宋体" w:cs="宋体"/>
                <w:bCs/>
                <w:sz w:val="21"/>
                <w:szCs w:val="21"/>
                <w:lang w:eastAsia="zh-CN"/>
              </w:rPr>
              <w:t>：投入的人员团队水平、设计服务质量和技术支持程度与报价的匹配度高。</w:t>
            </w:r>
          </w:p>
          <w:p w14:paraId="20EB24C5">
            <w:pPr>
              <w:spacing w:line="360" w:lineRule="auto"/>
              <w:rPr>
                <w:rFonts w:ascii="宋体" w:hAnsi="宋体" w:eastAsia="宋体" w:cs="宋体"/>
                <w:bCs/>
                <w:sz w:val="21"/>
                <w:szCs w:val="21"/>
                <w:lang w:eastAsia="zh-CN"/>
              </w:rPr>
            </w:pPr>
            <w:r>
              <w:rPr>
                <w:rFonts w:hint="eastAsia" w:ascii="宋体" w:hAnsi="宋体" w:eastAsia="宋体" w:cs="宋体"/>
                <w:bCs/>
                <w:sz w:val="21"/>
                <w:szCs w:val="21"/>
                <w:lang w:eastAsia="zh-CN"/>
              </w:rPr>
              <w:t>（</w:t>
            </w:r>
            <w:r>
              <w:rPr>
                <w:rFonts w:ascii="宋体" w:hAnsi="宋体" w:eastAsia="宋体" w:cs="宋体"/>
                <w:bCs/>
                <w:sz w:val="21"/>
                <w:szCs w:val="21"/>
                <w:lang w:eastAsia="zh-CN"/>
              </w:rPr>
              <w:t>2</w:t>
            </w:r>
            <w:r>
              <w:rPr>
                <w:rFonts w:hint="eastAsia" w:ascii="宋体" w:hAnsi="宋体" w:eastAsia="宋体" w:cs="宋体"/>
                <w:bCs/>
                <w:sz w:val="21"/>
                <w:szCs w:val="21"/>
                <w:lang w:eastAsia="zh-CN"/>
              </w:rPr>
              <w:t>）</w:t>
            </w:r>
            <w:r>
              <w:rPr>
                <w:rFonts w:hint="eastAsia" w:ascii="宋体" w:hAnsi="宋体" w:eastAsia="宋体" w:cs="宋体"/>
                <w:b/>
                <w:bCs/>
                <w:sz w:val="21"/>
                <w:szCs w:val="21"/>
                <w:lang w:eastAsia="zh-CN"/>
              </w:rPr>
              <w:t>一般方案</w:t>
            </w:r>
            <w:r>
              <w:rPr>
                <w:rFonts w:hint="eastAsia" w:ascii="宋体" w:hAnsi="宋体" w:eastAsia="宋体" w:cs="宋体"/>
                <w:bCs/>
                <w:sz w:val="21"/>
                <w:szCs w:val="21"/>
                <w:lang w:eastAsia="zh-CN"/>
              </w:rPr>
              <w:t>：投入的人员团队水平、设计服务质量和技术支持程度与报价的匹配度一般。</w:t>
            </w:r>
          </w:p>
          <w:p w14:paraId="3338D079">
            <w:pPr>
              <w:pStyle w:val="11"/>
              <w:widowControl/>
              <w:kinsoku w:val="0"/>
              <w:adjustRightInd w:val="0"/>
              <w:snapToGrid w:val="0"/>
              <w:spacing w:before="0" w:line="360" w:lineRule="auto"/>
              <w:jc w:val="left"/>
              <w:textAlignment w:val="baseline"/>
              <w:rPr>
                <w:rFonts w:hint="eastAsia"/>
                <w:sz w:val="21"/>
                <w:szCs w:val="21"/>
              </w:rPr>
            </w:pPr>
            <w:r>
              <w:rPr>
                <w:rFonts w:hint="eastAsia" w:ascii="宋体" w:hAnsi="宋体" w:eastAsia="宋体" w:cs="宋体"/>
                <w:bCs/>
                <w:sz w:val="21"/>
                <w:szCs w:val="21"/>
                <w:lang w:eastAsia="zh-CN"/>
              </w:rPr>
              <w:t>（</w:t>
            </w:r>
            <w:r>
              <w:rPr>
                <w:rFonts w:ascii="宋体" w:hAnsi="宋体" w:eastAsia="宋体" w:cs="宋体"/>
                <w:bCs/>
                <w:sz w:val="21"/>
                <w:szCs w:val="21"/>
                <w:lang w:eastAsia="zh-CN"/>
              </w:rPr>
              <w:t>3</w:t>
            </w:r>
            <w:r>
              <w:rPr>
                <w:rFonts w:hint="eastAsia" w:ascii="宋体" w:hAnsi="宋体" w:eastAsia="宋体" w:cs="宋体"/>
                <w:bCs/>
                <w:sz w:val="21"/>
                <w:szCs w:val="21"/>
                <w:lang w:eastAsia="zh-CN"/>
              </w:rPr>
              <w:t>）</w:t>
            </w:r>
            <w:r>
              <w:rPr>
                <w:rFonts w:hint="eastAsia" w:ascii="宋体" w:hAnsi="宋体" w:eastAsia="宋体" w:cs="宋体"/>
                <w:b/>
                <w:bCs/>
                <w:sz w:val="21"/>
                <w:szCs w:val="21"/>
                <w:lang w:eastAsia="zh-CN"/>
              </w:rPr>
              <w:t>较差方案</w:t>
            </w:r>
            <w:r>
              <w:rPr>
                <w:rFonts w:hint="eastAsia" w:ascii="宋体" w:hAnsi="宋体" w:eastAsia="宋体" w:cs="宋体"/>
                <w:bCs/>
                <w:sz w:val="21"/>
                <w:szCs w:val="21"/>
                <w:lang w:eastAsia="zh-CN"/>
              </w:rPr>
              <w:t>：</w:t>
            </w:r>
            <w:r>
              <w:rPr>
                <w:rFonts w:ascii="宋体" w:hAnsi="宋体" w:eastAsia="宋体" w:cs="宋体"/>
                <w:bCs/>
                <w:sz w:val="21"/>
                <w:szCs w:val="21"/>
                <w:lang w:eastAsia="zh-CN"/>
              </w:rPr>
              <w:t>投入的人员团队水平、设计服务质量和技术支持程度与报价的匹配度较低</w:t>
            </w:r>
            <w:r>
              <w:rPr>
                <w:rFonts w:hint="eastAsia" w:ascii="宋体" w:hAnsi="宋体" w:eastAsia="宋体" w:cs="宋体"/>
                <w:bCs/>
                <w:sz w:val="21"/>
                <w:szCs w:val="21"/>
                <w:lang w:eastAsia="zh-CN"/>
              </w:rPr>
              <w:t>。</w:t>
            </w:r>
          </w:p>
        </w:tc>
      </w:tr>
      <w:tr w14:paraId="5AC1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430" w:type="pct"/>
            <w:tcBorders>
              <w:top w:val="single" w:color="auto" w:sz="4" w:space="0"/>
              <w:left w:val="single" w:color="auto" w:sz="4" w:space="0"/>
              <w:bottom w:val="single" w:color="auto" w:sz="4" w:space="0"/>
              <w:right w:val="single" w:color="auto" w:sz="4" w:space="0"/>
            </w:tcBorders>
            <w:noWrap w:val="0"/>
            <w:vAlign w:val="center"/>
          </w:tcPr>
          <w:p w14:paraId="4CD6667E">
            <w:pPr>
              <w:pStyle w:val="11"/>
              <w:widowControl/>
              <w:kinsoku w:val="0"/>
              <w:adjustRightInd w:val="0"/>
              <w:snapToGrid w:val="0"/>
              <w:spacing w:before="0" w:line="360" w:lineRule="auto"/>
              <w:textAlignment w:val="baseline"/>
              <w:rPr>
                <w:rFonts w:hint="eastAsia"/>
                <w:sz w:val="21"/>
                <w:szCs w:val="21"/>
                <w:u w:val="single"/>
                <w:shd w:val="clear" w:color="auto" w:fill="FFFFFF"/>
              </w:rPr>
            </w:pPr>
            <w:r>
              <w:rPr>
                <w:rFonts w:hint="eastAsia"/>
                <w:sz w:val="21"/>
                <w:szCs w:val="21"/>
              </w:rPr>
              <w:t>2</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12501A94">
            <w:pPr>
              <w:pStyle w:val="11"/>
              <w:widowControl/>
              <w:kinsoku w:val="0"/>
              <w:adjustRightInd w:val="0"/>
              <w:snapToGrid w:val="0"/>
              <w:spacing w:before="0" w:line="360" w:lineRule="auto"/>
              <w:textAlignment w:val="baseline"/>
              <w:rPr>
                <w:rFonts w:hint="eastAsia"/>
                <w:sz w:val="21"/>
                <w:szCs w:val="21"/>
                <w:u w:val="single"/>
                <w:shd w:val="clear" w:color="auto" w:fill="FFFFFF"/>
              </w:rPr>
            </w:pPr>
            <w:r>
              <w:rPr>
                <w:rFonts w:hint="eastAsia"/>
                <w:sz w:val="21"/>
                <w:szCs w:val="21"/>
              </w:rPr>
              <w:t>方案因素</w:t>
            </w:r>
          </w:p>
        </w:tc>
        <w:tc>
          <w:tcPr>
            <w:tcW w:w="3793" w:type="pct"/>
            <w:tcBorders>
              <w:top w:val="single" w:color="auto" w:sz="4" w:space="0"/>
              <w:left w:val="single" w:color="auto" w:sz="4" w:space="0"/>
              <w:bottom w:val="single" w:color="auto" w:sz="4" w:space="0"/>
              <w:right w:val="single" w:color="auto" w:sz="4" w:space="0"/>
            </w:tcBorders>
            <w:noWrap w:val="0"/>
            <w:vAlign w:val="center"/>
          </w:tcPr>
          <w:p w14:paraId="1459C59F">
            <w:pPr>
              <w:pStyle w:val="11"/>
              <w:widowControl/>
              <w:kinsoku w:val="0"/>
              <w:adjustRightInd w:val="0"/>
              <w:snapToGrid w:val="0"/>
              <w:spacing w:before="0" w:line="360" w:lineRule="auto"/>
              <w:jc w:val="left"/>
              <w:textAlignment w:val="baseline"/>
              <w:rPr>
                <w:rFonts w:hint="eastAsia"/>
                <w:sz w:val="21"/>
                <w:szCs w:val="21"/>
              </w:rPr>
            </w:pPr>
            <w:r>
              <w:rPr>
                <w:rFonts w:hint="eastAsia"/>
                <w:sz w:val="21"/>
                <w:szCs w:val="21"/>
                <w:lang w:val="en-US" w:eastAsia="zh-CN"/>
              </w:rPr>
              <w:t>根据投标人对本项目所提供的项目实施方案（包括但不限于</w:t>
            </w:r>
            <w:r>
              <w:rPr>
                <w:rFonts w:hint="eastAsia"/>
                <w:sz w:val="21"/>
                <w:szCs w:val="21"/>
              </w:rPr>
              <w:t>安全性、规划、景观、建筑外观、使用功能、交通、配套设施、经济、绿色建筑等方面</w:t>
            </w:r>
            <w:r>
              <w:rPr>
                <w:rFonts w:hint="eastAsia"/>
                <w:sz w:val="21"/>
                <w:szCs w:val="21"/>
                <w:lang w:eastAsia="zh-CN"/>
              </w:rPr>
              <w:t>）</w:t>
            </w:r>
            <w:r>
              <w:rPr>
                <w:rFonts w:hint="eastAsia"/>
                <w:sz w:val="21"/>
                <w:szCs w:val="21"/>
                <w:lang w:val="en-US" w:eastAsia="zh-CN"/>
              </w:rPr>
              <w:t>进行评审：</w:t>
            </w:r>
          </w:p>
          <w:p w14:paraId="44ED4E7E">
            <w:pPr>
              <w:spacing w:line="360" w:lineRule="auto"/>
              <w:rPr>
                <w:bCs/>
                <w:sz w:val="21"/>
                <w:szCs w:val="21"/>
                <w:lang w:eastAsia="zh-CN"/>
              </w:rPr>
            </w:pPr>
            <w:r>
              <w:rPr>
                <w:rFonts w:hint="eastAsia" w:ascii="宋体" w:hAnsi="宋体" w:eastAsia="宋体" w:cs="宋体"/>
                <w:bCs/>
                <w:sz w:val="21"/>
                <w:szCs w:val="21"/>
                <w:lang w:eastAsia="zh-CN"/>
              </w:rPr>
              <w:t>（</w:t>
            </w:r>
            <w:r>
              <w:rPr>
                <w:bCs/>
                <w:sz w:val="21"/>
                <w:szCs w:val="21"/>
                <w:lang w:eastAsia="zh-CN"/>
              </w:rPr>
              <w:t>1</w:t>
            </w:r>
            <w:r>
              <w:rPr>
                <w:rFonts w:hint="eastAsia" w:ascii="宋体" w:hAnsi="宋体" w:eastAsia="宋体" w:cs="宋体"/>
                <w:bCs/>
                <w:sz w:val="21"/>
                <w:szCs w:val="21"/>
                <w:lang w:eastAsia="zh-CN"/>
              </w:rPr>
              <w:t>）</w:t>
            </w:r>
            <w:r>
              <w:rPr>
                <w:rFonts w:hint="eastAsia" w:ascii="宋体" w:hAnsi="宋体" w:eastAsia="宋体" w:cs="宋体"/>
                <w:b/>
                <w:bCs/>
                <w:sz w:val="21"/>
                <w:szCs w:val="21"/>
                <w:lang w:eastAsia="zh-CN"/>
              </w:rPr>
              <w:t>较好方案</w:t>
            </w:r>
            <w:r>
              <w:rPr>
                <w:rFonts w:hint="eastAsia" w:ascii="宋体" w:hAnsi="宋体" w:eastAsia="宋体" w:cs="宋体"/>
                <w:bCs/>
                <w:sz w:val="21"/>
                <w:szCs w:val="21"/>
                <w:lang w:eastAsia="zh-CN"/>
              </w:rPr>
              <w:t>：总体方案充分反映了招标人设计要求（</w:t>
            </w:r>
            <w:r>
              <w:rPr>
                <w:rFonts w:hint="eastAsia" w:ascii="宋体" w:hAnsi="宋体" w:eastAsia="宋体" w:cs="宋体"/>
                <w:bCs/>
                <w:sz w:val="21"/>
                <w:szCs w:val="21"/>
                <w:lang w:val="en-US" w:eastAsia="zh-CN"/>
              </w:rPr>
              <w:t>详见本项目的勘察设计任务书）</w:t>
            </w:r>
            <w:r>
              <w:rPr>
                <w:rFonts w:hint="eastAsia" w:ascii="宋体" w:hAnsi="宋体" w:eastAsia="宋体" w:cs="宋体"/>
                <w:bCs/>
                <w:sz w:val="21"/>
                <w:szCs w:val="21"/>
                <w:lang w:eastAsia="zh-CN"/>
              </w:rPr>
              <w:t>、符合设计的标准及要求（</w:t>
            </w:r>
            <w:r>
              <w:rPr>
                <w:rFonts w:hint="eastAsia" w:ascii="宋体" w:hAnsi="宋体" w:eastAsia="宋体" w:cs="宋体"/>
                <w:bCs/>
                <w:sz w:val="21"/>
                <w:szCs w:val="21"/>
                <w:lang w:val="en-US" w:eastAsia="zh-CN"/>
              </w:rPr>
              <w:t>详见本项目的勘察设计任务书）</w:t>
            </w:r>
            <w:r>
              <w:rPr>
                <w:rFonts w:hint="eastAsia" w:ascii="宋体" w:hAnsi="宋体" w:eastAsia="宋体" w:cs="宋体"/>
                <w:bCs/>
                <w:sz w:val="21"/>
                <w:szCs w:val="21"/>
                <w:lang w:eastAsia="zh-CN"/>
              </w:rPr>
              <w:t>，项目实施方案</w:t>
            </w:r>
            <w:r>
              <w:rPr>
                <w:rFonts w:hint="eastAsia" w:ascii="宋体" w:hAnsi="宋体" w:eastAsia="宋体" w:cs="宋体"/>
                <w:bCs/>
                <w:sz w:val="21"/>
                <w:szCs w:val="21"/>
                <w:lang w:val="en-US" w:eastAsia="zh-CN"/>
              </w:rPr>
              <w:t>完整</w:t>
            </w:r>
            <w:r>
              <w:rPr>
                <w:rFonts w:hint="eastAsia" w:ascii="宋体" w:hAnsi="宋体" w:eastAsia="宋体" w:cs="宋体"/>
                <w:bCs/>
                <w:sz w:val="21"/>
                <w:szCs w:val="21"/>
                <w:lang w:eastAsia="zh-CN"/>
              </w:rPr>
              <w:t>，且方案合理可行的；</w:t>
            </w:r>
          </w:p>
          <w:p w14:paraId="79D2ECB9">
            <w:pPr>
              <w:spacing w:line="360" w:lineRule="auto"/>
              <w:rPr>
                <w:bCs/>
                <w:sz w:val="21"/>
                <w:szCs w:val="21"/>
                <w:lang w:eastAsia="zh-CN"/>
              </w:rPr>
            </w:pPr>
            <w:r>
              <w:rPr>
                <w:rFonts w:hint="eastAsia" w:ascii="宋体" w:hAnsi="宋体" w:eastAsia="宋体" w:cs="宋体"/>
                <w:bCs/>
                <w:sz w:val="21"/>
                <w:szCs w:val="21"/>
                <w:lang w:eastAsia="zh-CN"/>
              </w:rPr>
              <w:t>（</w:t>
            </w:r>
            <w:r>
              <w:rPr>
                <w:bCs/>
                <w:sz w:val="21"/>
                <w:szCs w:val="21"/>
                <w:lang w:eastAsia="zh-CN"/>
              </w:rPr>
              <w:t>2</w:t>
            </w:r>
            <w:r>
              <w:rPr>
                <w:rFonts w:hint="eastAsia" w:ascii="宋体" w:hAnsi="宋体" w:eastAsia="宋体" w:cs="宋体"/>
                <w:bCs/>
                <w:sz w:val="21"/>
                <w:szCs w:val="21"/>
                <w:lang w:eastAsia="zh-CN"/>
              </w:rPr>
              <w:t>）</w:t>
            </w:r>
            <w:r>
              <w:rPr>
                <w:rFonts w:hint="eastAsia" w:ascii="宋体" w:hAnsi="宋体" w:eastAsia="宋体" w:cs="宋体"/>
                <w:b/>
                <w:bCs/>
                <w:sz w:val="21"/>
                <w:szCs w:val="21"/>
                <w:lang w:eastAsia="zh-CN"/>
              </w:rPr>
              <w:t>一般方案</w:t>
            </w:r>
            <w:r>
              <w:rPr>
                <w:rFonts w:hint="eastAsia" w:ascii="宋体" w:hAnsi="宋体" w:eastAsia="宋体" w:cs="宋体"/>
                <w:bCs/>
                <w:sz w:val="21"/>
                <w:szCs w:val="21"/>
                <w:lang w:eastAsia="zh-CN"/>
              </w:rPr>
              <w:t>：总体方案基本满足招标人设计要求（</w:t>
            </w:r>
            <w:r>
              <w:rPr>
                <w:rFonts w:hint="eastAsia" w:ascii="宋体" w:hAnsi="宋体" w:eastAsia="宋体" w:cs="宋体"/>
                <w:bCs/>
                <w:sz w:val="21"/>
                <w:szCs w:val="21"/>
                <w:lang w:val="en-US" w:eastAsia="zh-CN"/>
              </w:rPr>
              <w:t>详见本项目的勘察设计任务书）</w:t>
            </w:r>
            <w:r>
              <w:rPr>
                <w:rFonts w:hint="eastAsia" w:ascii="宋体" w:hAnsi="宋体" w:eastAsia="宋体" w:cs="宋体"/>
                <w:bCs/>
                <w:sz w:val="21"/>
                <w:szCs w:val="21"/>
                <w:lang w:eastAsia="zh-CN"/>
              </w:rPr>
              <w:t>、符合设计的标准及要求（</w:t>
            </w:r>
            <w:r>
              <w:rPr>
                <w:rFonts w:hint="eastAsia" w:ascii="宋体" w:hAnsi="宋体" w:eastAsia="宋体" w:cs="宋体"/>
                <w:bCs/>
                <w:sz w:val="21"/>
                <w:szCs w:val="21"/>
                <w:lang w:val="en-US" w:eastAsia="zh-CN"/>
              </w:rPr>
              <w:t>详见本项目的勘察设计任务书）</w:t>
            </w:r>
            <w:r>
              <w:rPr>
                <w:rFonts w:hint="eastAsia" w:ascii="宋体" w:hAnsi="宋体" w:eastAsia="宋体" w:cs="宋体"/>
                <w:bCs/>
                <w:sz w:val="21"/>
                <w:szCs w:val="21"/>
                <w:lang w:eastAsia="zh-CN"/>
              </w:rPr>
              <w:t>，项目实施方案内容完整，但缺乏可行性或针对性的；</w:t>
            </w:r>
          </w:p>
          <w:p w14:paraId="2159A574">
            <w:pPr>
              <w:pStyle w:val="11"/>
              <w:widowControl/>
              <w:kinsoku w:val="0"/>
              <w:adjustRightInd w:val="0"/>
              <w:snapToGrid w:val="0"/>
              <w:spacing w:before="0" w:line="360" w:lineRule="auto"/>
              <w:jc w:val="left"/>
              <w:textAlignment w:val="baseline"/>
              <w:rPr>
                <w:rFonts w:hint="eastAsia"/>
                <w:sz w:val="21"/>
                <w:szCs w:val="21"/>
              </w:rPr>
            </w:pPr>
            <w:r>
              <w:rPr>
                <w:rFonts w:hint="eastAsia" w:ascii="宋体" w:hAnsi="宋体" w:eastAsia="宋体" w:cs="宋体"/>
                <w:bCs/>
                <w:sz w:val="21"/>
                <w:szCs w:val="21"/>
                <w:lang w:eastAsia="zh-CN"/>
              </w:rPr>
              <w:t>（</w:t>
            </w:r>
            <w:r>
              <w:rPr>
                <w:bCs/>
                <w:sz w:val="21"/>
                <w:szCs w:val="21"/>
                <w:lang w:eastAsia="zh-CN"/>
              </w:rPr>
              <w:t>3</w:t>
            </w:r>
            <w:r>
              <w:rPr>
                <w:rFonts w:hint="eastAsia" w:ascii="宋体" w:hAnsi="宋体" w:eastAsia="宋体" w:cs="宋体"/>
                <w:bCs/>
                <w:sz w:val="21"/>
                <w:szCs w:val="21"/>
                <w:lang w:eastAsia="zh-CN"/>
              </w:rPr>
              <w:t>）</w:t>
            </w:r>
            <w:r>
              <w:rPr>
                <w:rFonts w:hint="eastAsia" w:ascii="宋体" w:hAnsi="宋体" w:eastAsia="宋体" w:cs="宋体"/>
                <w:b/>
                <w:bCs/>
                <w:sz w:val="21"/>
                <w:szCs w:val="21"/>
                <w:lang w:eastAsia="zh-CN"/>
              </w:rPr>
              <w:t>较差方案</w:t>
            </w:r>
            <w:r>
              <w:rPr>
                <w:rFonts w:hint="eastAsia" w:ascii="宋体" w:hAnsi="宋体" w:eastAsia="宋体" w:cs="宋体"/>
                <w:bCs/>
                <w:sz w:val="21"/>
                <w:szCs w:val="21"/>
                <w:lang w:eastAsia="zh-CN"/>
              </w:rPr>
              <w:t>：总体方案部分</w:t>
            </w:r>
            <w:r>
              <w:rPr>
                <w:rFonts w:ascii="宋体" w:hAnsi="宋体" w:eastAsia="宋体" w:cs="宋体"/>
                <w:bCs/>
                <w:sz w:val="21"/>
                <w:szCs w:val="21"/>
                <w:lang w:eastAsia="zh-CN"/>
              </w:rPr>
              <w:t>符合</w:t>
            </w:r>
            <w:r>
              <w:rPr>
                <w:rFonts w:hint="eastAsia" w:ascii="宋体" w:hAnsi="宋体" w:eastAsia="宋体" w:cs="宋体"/>
                <w:bCs/>
                <w:sz w:val="21"/>
                <w:szCs w:val="21"/>
                <w:lang w:eastAsia="zh-CN"/>
              </w:rPr>
              <w:t>招标人设计要求（</w:t>
            </w:r>
            <w:r>
              <w:rPr>
                <w:rFonts w:hint="eastAsia" w:ascii="宋体" w:hAnsi="宋体" w:eastAsia="宋体" w:cs="宋体"/>
                <w:bCs/>
                <w:sz w:val="21"/>
                <w:szCs w:val="21"/>
                <w:lang w:val="en-US" w:eastAsia="zh-CN"/>
              </w:rPr>
              <w:t>详见本项目的勘察设计任务书）</w:t>
            </w:r>
            <w:r>
              <w:rPr>
                <w:rFonts w:hint="eastAsia" w:ascii="宋体" w:hAnsi="宋体" w:eastAsia="宋体" w:cs="宋体"/>
                <w:bCs/>
                <w:sz w:val="21"/>
                <w:szCs w:val="21"/>
                <w:lang w:eastAsia="zh-CN"/>
              </w:rPr>
              <w:t>、部分符合设计的标准及要求（</w:t>
            </w:r>
            <w:r>
              <w:rPr>
                <w:rFonts w:hint="eastAsia" w:ascii="宋体" w:hAnsi="宋体" w:eastAsia="宋体" w:cs="宋体"/>
                <w:bCs/>
                <w:sz w:val="21"/>
                <w:szCs w:val="21"/>
                <w:lang w:val="en-US" w:eastAsia="zh-CN"/>
              </w:rPr>
              <w:t>详见本项目的勘察设计任务书）</w:t>
            </w:r>
            <w:r>
              <w:rPr>
                <w:rFonts w:hint="eastAsia" w:ascii="宋体" w:hAnsi="宋体" w:eastAsia="宋体" w:cs="宋体"/>
                <w:bCs/>
                <w:sz w:val="21"/>
                <w:szCs w:val="21"/>
                <w:lang w:eastAsia="zh-CN"/>
              </w:rPr>
              <w:t>；项目实施方案内容不完整，且缺乏可行性或针对性的。</w:t>
            </w:r>
          </w:p>
        </w:tc>
      </w:tr>
      <w:tr w14:paraId="03C9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30" w:type="pct"/>
            <w:tcBorders>
              <w:top w:val="single" w:color="auto" w:sz="4" w:space="0"/>
              <w:left w:val="single" w:color="auto" w:sz="4" w:space="0"/>
              <w:bottom w:val="single" w:color="auto" w:sz="4" w:space="0"/>
              <w:right w:val="single" w:color="auto" w:sz="4" w:space="0"/>
            </w:tcBorders>
            <w:noWrap w:val="0"/>
            <w:vAlign w:val="center"/>
          </w:tcPr>
          <w:p w14:paraId="6F6EDACB">
            <w:pPr>
              <w:pStyle w:val="11"/>
              <w:widowControl/>
              <w:kinsoku w:val="0"/>
              <w:adjustRightInd w:val="0"/>
              <w:snapToGrid w:val="0"/>
              <w:spacing w:before="0" w:line="360" w:lineRule="auto"/>
              <w:textAlignment w:val="baseline"/>
              <w:rPr>
                <w:rFonts w:hint="eastAsia"/>
                <w:sz w:val="21"/>
                <w:szCs w:val="21"/>
                <w:u w:val="single"/>
                <w:shd w:val="clear" w:color="auto" w:fill="FFFFFF"/>
              </w:rPr>
            </w:pPr>
            <w:r>
              <w:rPr>
                <w:rFonts w:hint="eastAsia"/>
                <w:sz w:val="21"/>
                <w:szCs w:val="21"/>
              </w:rPr>
              <w:t>3</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2E05FF09">
            <w:pPr>
              <w:pStyle w:val="11"/>
              <w:widowControl/>
              <w:kinsoku w:val="0"/>
              <w:adjustRightInd w:val="0"/>
              <w:snapToGrid w:val="0"/>
              <w:spacing w:before="0" w:line="360" w:lineRule="auto"/>
              <w:textAlignment w:val="baseline"/>
              <w:rPr>
                <w:rFonts w:hint="eastAsia"/>
                <w:sz w:val="21"/>
                <w:szCs w:val="21"/>
                <w:u w:val="single"/>
                <w:shd w:val="clear" w:color="auto" w:fill="FFFFFF"/>
              </w:rPr>
            </w:pPr>
            <w:r>
              <w:rPr>
                <w:rFonts w:hint="eastAsia"/>
                <w:sz w:val="21"/>
                <w:szCs w:val="21"/>
              </w:rPr>
              <w:t>团队因素</w:t>
            </w:r>
          </w:p>
        </w:tc>
        <w:tc>
          <w:tcPr>
            <w:tcW w:w="3793" w:type="pct"/>
            <w:tcBorders>
              <w:top w:val="single" w:color="auto" w:sz="4" w:space="0"/>
              <w:left w:val="single" w:color="auto" w:sz="4" w:space="0"/>
              <w:bottom w:val="single" w:color="auto" w:sz="4" w:space="0"/>
              <w:right w:val="single" w:color="auto" w:sz="4" w:space="0"/>
            </w:tcBorders>
            <w:noWrap w:val="0"/>
            <w:vAlign w:val="center"/>
          </w:tcPr>
          <w:p w14:paraId="4AF86F77">
            <w:pPr>
              <w:pStyle w:val="11"/>
              <w:widowControl/>
              <w:numPr>
                <w:ilvl w:val="0"/>
                <w:numId w:val="0"/>
              </w:numPr>
              <w:kinsoku w:val="0"/>
              <w:adjustRightInd w:val="0"/>
              <w:snapToGrid w:val="0"/>
              <w:spacing w:before="0" w:line="360" w:lineRule="auto"/>
              <w:ind w:left="0" w:firstLine="0"/>
              <w:jc w:val="left"/>
              <w:textAlignment w:val="baseline"/>
              <w:rPr>
                <w:rFonts w:hint="eastAsia"/>
                <w:sz w:val="21"/>
                <w:szCs w:val="21"/>
              </w:rPr>
            </w:pPr>
            <w:r>
              <w:rPr>
                <w:rFonts w:hint="eastAsia"/>
                <w:sz w:val="21"/>
                <w:szCs w:val="21"/>
              </w:rPr>
              <w:t>对项目负责人、技术负责人、各设计专业负责人等主要岗位人员的从业能力、业绩、奖项等方面进行评审。</w:t>
            </w:r>
          </w:p>
          <w:p w14:paraId="375127EB">
            <w:pPr>
              <w:pStyle w:val="11"/>
              <w:widowControl/>
              <w:numPr>
                <w:ilvl w:val="0"/>
                <w:numId w:val="0"/>
              </w:numPr>
              <w:kinsoku w:val="0"/>
              <w:adjustRightInd w:val="0"/>
              <w:snapToGrid w:val="0"/>
              <w:spacing w:before="0" w:line="360" w:lineRule="auto"/>
              <w:ind w:left="0" w:firstLine="0"/>
              <w:jc w:val="left"/>
              <w:textAlignment w:val="baseline"/>
              <w:rPr>
                <w:rFonts w:hint="eastAsia"/>
                <w:sz w:val="21"/>
                <w:szCs w:val="21"/>
              </w:rPr>
            </w:pPr>
            <w:r>
              <w:rPr>
                <w:rFonts w:hint="eastAsia"/>
                <w:sz w:val="21"/>
                <w:szCs w:val="21"/>
              </w:rPr>
              <w:t>注：</w:t>
            </w:r>
          </w:p>
          <w:p w14:paraId="7BF90682">
            <w:pPr>
              <w:pStyle w:val="11"/>
              <w:widowControl/>
              <w:numPr>
                <w:ilvl w:val="0"/>
                <w:numId w:val="0"/>
              </w:numPr>
              <w:kinsoku w:val="0"/>
              <w:adjustRightInd w:val="0"/>
              <w:snapToGrid w:val="0"/>
              <w:spacing w:before="0" w:line="360" w:lineRule="auto"/>
              <w:ind w:left="0" w:firstLine="210" w:firstLineChars="100"/>
              <w:jc w:val="left"/>
              <w:textAlignment w:val="baseline"/>
              <w:rPr>
                <w:rFonts w:hint="eastAsia"/>
                <w:sz w:val="21"/>
                <w:szCs w:val="21"/>
                <w:highlight w:val="none"/>
              </w:rPr>
            </w:pPr>
            <w:r>
              <w:rPr>
                <w:rFonts w:hint="eastAsia"/>
                <w:sz w:val="21"/>
                <w:szCs w:val="21"/>
                <w:highlight w:val="none"/>
              </w:rPr>
              <w:t>1、需提供拟派团队人员的职称证（如有）、注册证（如有）、投标截止时间前1个月（指202</w:t>
            </w:r>
            <w:r>
              <w:rPr>
                <w:rFonts w:hint="eastAsia"/>
                <w:sz w:val="21"/>
                <w:szCs w:val="21"/>
                <w:highlight w:val="none"/>
                <w:lang w:val="en-US" w:eastAsia="zh-CN"/>
              </w:rPr>
              <w:t>5</w:t>
            </w:r>
            <w:r>
              <w:rPr>
                <w:rFonts w:hint="eastAsia"/>
                <w:sz w:val="21"/>
                <w:szCs w:val="21"/>
                <w:highlight w:val="none"/>
              </w:rPr>
              <w:t>年</w:t>
            </w:r>
            <w:r>
              <w:rPr>
                <w:rFonts w:hint="eastAsia"/>
                <w:sz w:val="21"/>
                <w:szCs w:val="21"/>
                <w:highlight w:val="none"/>
                <w:lang w:val="en-US" w:eastAsia="zh-CN"/>
              </w:rPr>
              <w:t>02</w:t>
            </w:r>
            <w:r>
              <w:rPr>
                <w:rFonts w:hint="eastAsia"/>
                <w:sz w:val="21"/>
                <w:szCs w:val="21"/>
                <w:highlight w:val="none"/>
              </w:rPr>
              <w:t>月）在投标单位购买社保缴纳证明材料（若当地政府部门允许企业缓缴社会保险费且投标人未缴纳的，投标人可提供当地政府部门允许缓缴社保的相关文件作为缴纳社保的证明）；如为退休人员，应提供退休证明及单位聘用证明文件扫描件。</w:t>
            </w:r>
          </w:p>
          <w:p w14:paraId="318F5596">
            <w:pPr>
              <w:pStyle w:val="11"/>
              <w:widowControl/>
              <w:numPr>
                <w:ilvl w:val="0"/>
                <w:numId w:val="0"/>
              </w:numPr>
              <w:kinsoku w:val="0"/>
              <w:adjustRightInd w:val="0"/>
              <w:snapToGrid w:val="0"/>
              <w:spacing w:before="0" w:line="360" w:lineRule="auto"/>
              <w:ind w:firstLine="480" w:firstLineChars="0"/>
              <w:jc w:val="left"/>
              <w:textAlignment w:val="baseline"/>
              <w:rPr>
                <w:rFonts w:hint="eastAsia"/>
                <w:sz w:val="21"/>
                <w:szCs w:val="21"/>
              </w:rPr>
            </w:pPr>
            <w:r>
              <w:rPr>
                <w:rFonts w:hint="eastAsia" w:ascii="宋体" w:hAnsi="宋体" w:eastAsia="宋体" w:cs="宋体"/>
                <w:kern w:val="2"/>
                <w:sz w:val="21"/>
                <w:szCs w:val="21"/>
                <w:highlight w:val="none"/>
                <w:lang w:val="en-US" w:eastAsia="zh-CN" w:bidi="ar-SA"/>
              </w:rPr>
              <w:t>2、</w:t>
            </w:r>
            <w:r>
              <w:rPr>
                <w:rFonts w:hint="eastAsia"/>
                <w:sz w:val="21"/>
                <w:szCs w:val="21"/>
                <w:highlight w:val="none"/>
                <w:lang w:val="en-US" w:eastAsia="zh-CN"/>
              </w:rPr>
              <w:t>人员</w:t>
            </w:r>
            <w:r>
              <w:rPr>
                <w:rFonts w:hint="eastAsia"/>
                <w:sz w:val="21"/>
                <w:szCs w:val="21"/>
                <w:highlight w:val="none"/>
              </w:rPr>
              <w:t>类似业绩指投标人拟派团队人员自20</w:t>
            </w:r>
            <w:r>
              <w:rPr>
                <w:rFonts w:hint="eastAsia"/>
                <w:sz w:val="21"/>
                <w:szCs w:val="21"/>
                <w:highlight w:val="none"/>
                <w:lang w:val="en-US" w:eastAsia="zh-CN"/>
              </w:rPr>
              <w:t>20</w:t>
            </w:r>
            <w:r>
              <w:rPr>
                <w:rFonts w:hint="eastAsia"/>
                <w:sz w:val="21"/>
                <w:szCs w:val="21"/>
                <w:highlight w:val="none"/>
              </w:rPr>
              <w:t>年1月1日至投标截止时间止，</w:t>
            </w:r>
            <w:r>
              <w:rPr>
                <w:rFonts w:hint="eastAsia"/>
                <w:sz w:val="21"/>
                <w:szCs w:val="21"/>
                <w:highlight w:val="none"/>
                <w:lang w:val="en-US" w:eastAsia="zh-CN"/>
              </w:rPr>
              <w:t>作为团队人员</w:t>
            </w:r>
            <w:r>
              <w:rPr>
                <w:rFonts w:hint="eastAsia"/>
                <w:sz w:val="21"/>
                <w:szCs w:val="21"/>
                <w:highlight w:val="none"/>
              </w:rPr>
              <w:t>完成过的总投资</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30000</w:t>
            </w:r>
            <w:r>
              <w:rPr>
                <w:rFonts w:hint="eastAsia"/>
                <w:sz w:val="21"/>
                <w:szCs w:val="21"/>
                <w:highlight w:val="none"/>
              </w:rPr>
              <w:t>万元的房屋建筑工程设计业绩；</w:t>
            </w:r>
            <w:r>
              <w:rPr>
                <w:rFonts w:hint="eastAsia"/>
                <w:sz w:val="21"/>
                <w:szCs w:val="21"/>
                <w:highlight w:val="none"/>
                <w:lang w:val="en-US" w:eastAsia="zh-CN"/>
              </w:rPr>
              <w:t>对于</w:t>
            </w:r>
            <w:r>
              <w:rPr>
                <w:rFonts w:hint="eastAsia"/>
                <w:sz w:val="21"/>
                <w:szCs w:val="21"/>
                <w:highlight w:val="none"/>
              </w:rPr>
              <w:t>拟派团队</w:t>
            </w:r>
            <w:r>
              <w:rPr>
                <w:rFonts w:hint="eastAsia"/>
                <w:sz w:val="21"/>
                <w:szCs w:val="21"/>
                <w:highlight w:val="none"/>
                <w:lang w:val="en-US" w:eastAsia="zh-CN"/>
              </w:rPr>
              <w:t>每一岗位人员，</w:t>
            </w:r>
            <w:r>
              <w:rPr>
                <w:rFonts w:hint="eastAsia"/>
                <w:sz w:val="21"/>
                <w:szCs w:val="21"/>
                <w:highlight w:val="none"/>
              </w:rPr>
              <w:t>投标人自行选择</w:t>
            </w:r>
            <w:r>
              <w:rPr>
                <w:rFonts w:hint="eastAsia"/>
                <w:sz w:val="21"/>
                <w:szCs w:val="21"/>
                <w:highlight w:val="none"/>
                <w:lang w:val="en-US" w:eastAsia="zh-CN"/>
              </w:rPr>
              <w:t>1</w:t>
            </w:r>
            <w:r>
              <w:rPr>
                <w:rFonts w:hint="eastAsia"/>
                <w:sz w:val="21"/>
                <w:szCs w:val="21"/>
                <w:highlight w:val="none"/>
              </w:rPr>
              <w:t>个</w:t>
            </w:r>
            <w:r>
              <w:rPr>
                <w:rFonts w:hint="eastAsia"/>
                <w:sz w:val="21"/>
                <w:szCs w:val="21"/>
                <w:highlight w:val="none"/>
                <w:lang w:val="en-US" w:eastAsia="zh-CN"/>
              </w:rPr>
              <w:t>符合本项目具</w:t>
            </w:r>
            <w:r>
              <w:rPr>
                <w:rFonts w:hint="eastAsia"/>
                <w:sz w:val="21"/>
                <w:szCs w:val="21"/>
                <w:lang w:val="en-US" w:eastAsia="zh-CN"/>
              </w:rPr>
              <w:t>体特点（公共建筑类）有代表性</w:t>
            </w:r>
            <w:r>
              <w:rPr>
                <w:rFonts w:hint="eastAsia"/>
                <w:sz w:val="21"/>
                <w:szCs w:val="21"/>
              </w:rPr>
              <w:t>业绩提供</w:t>
            </w:r>
            <w:r>
              <w:rPr>
                <w:rFonts w:hint="eastAsia"/>
                <w:sz w:val="21"/>
                <w:szCs w:val="21"/>
                <w:lang w:eastAsia="zh-CN"/>
              </w:rPr>
              <w:t>（</w:t>
            </w:r>
            <w:r>
              <w:rPr>
                <w:rFonts w:hint="eastAsia"/>
                <w:sz w:val="21"/>
                <w:szCs w:val="21"/>
                <w:lang w:val="en-US" w:eastAsia="zh-CN"/>
              </w:rPr>
              <w:t>如有</w:t>
            </w:r>
            <w:r>
              <w:rPr>
                <w:rFonts w:hint="eastAsia"/>
                <w:sz w:val="21"/>
                <w:szCs w:val="21"/>
                <w:lang w:eastAsia="zh-CN"/>
              </w:rPr>
              <w:t>）</w:t>
            </w:r>
            <w:r>
              <w:rPr>
                <w:rFonts w:hint="eastAsia"/>
                <w:sz w:val="21"/>
                <w:szCs w:val="21"/>
              </w:rPr>
              <w:t>，需提供①合同关键页、②初步设计批复或施工图审查合格书作为业绩证明文件，业绩时间以初步设计批复或施工图审查合格书时间为准。如果合同或初步设计批复或施工图审查单位出具的施工图审查合格书不能证明人员的名字，必须另行提供有效证明文件证明。投标单位需提供能证明项目总投资的证明文件扫描件，加盖投标人电子印章。总投资证明文件可以是项目建议书批文、可行性研究报告批文或企业投资项目备案证。合同中列明项目总投资的，可做为项目总投资证明文件。</w:t>
            </w:r>
          </w:p>
          <w:p w14:paraId="78646D52">
            <w:pPr>
              <w:pStyle w:val="11"/>
              <w:widowControl/>
              <w:numPr>
                <w:ilvl w:val="0"/>
                <w:numId w:val="0"/>
              </w:numPr>
              <w:kinsoku w:val="0"/>
              <w:adjustRightInd w:val="0"/>
              <w:snapToGrid w:val="0"/>
              <w:spacing w:before="0" w:line="360" w:lineRule="auto"/>
              <w:ind w:firstLine="480" w:firstLineChars="0"/>
              <w:jc w:val="left"/>
              <w:textAlignment w:val="baseline"/>
              <w:rPr>
                <w:sz w:val="21"/>
                <w:szCs w:val="21"/>
              </w:rPr>
            </w:pPr>
            <w:r>
              <w:rPr>
                <w:rFonts w:ascii="宋体" w:hAnsi="宋体" w:eastAsia="宋体" w:cs="宋体"/>
                <w:kern w:val="2"/>
                <w:sz w:val="21"/>
                <w:szCs w:val="21"/>
                <w:lang w:val="en-US" w:eastAsia="zh-CN" w:bidi="ar-SA"/>
              </w:rPr>
              <w:t>3、</w:t>
            </w:r>
            <w:r>
              <w:rPr>
                <w:rFonts w:hint="eastAsia"/>
                <w:sz w:val="21"/>
                <w:szCs w:val="21"/>
                <w:lang w:val="en-US" w:eastAsia="zh-CN"/>
              </w:rPr>
              <w:t>人员</w:t>
            </w:r>
            <w:r>
              <w:rPr>
                <w:rFonts w:hint="eastAsia"/>
                <w:sz w:val="21"/>
                <w:szCs w:val="21"/>
              </w:rPr>
              <w:t>类似业绩</w:t>
            </w:r>
            <w:r>
              <w:rPr>
                <w:rFonts w:hint="eastAsia"/>
                <w:sz w:val="21"/>
                <w:szCs w:val="21"/>
                <w:lang w:val="en-US" w:eastAsia="zh-CN"/>
              </w:rPr>
              <w:t>的</w:t>
            </w:r>
            <w:r>
              <w:rPr>
                <w:rFonts w:hint="eastAsia"/>
                <w:sz w:val="21"/>
                <w:szCs w:val="21"/>
              </w:rPr>
              <w:t>获奖指投标人拟派团队人员参与过的房屋建筑工程设计项目</w:t>
            </w:r>
            <w:r>
              <w:rPr>
                <w:rFonts w:hint="eastAsia"/>
                <w:sz w:val="21"/>
                <w:szCs w:val="21"/>
                <w:lang w:eastAsia="zh-CN"/>
              </w:rPr>
              <w:t>，</w:t>
            </w:r>
            <w:r>
              <w:rPr>
                <w:rFonts w:hint="eastAsia"/>
                <w:sz w:val="21"/>
                <w:szCs w:val="21"/>
              </w:rPr>
              <w:t>自20</w:t>
            </w:r>
            <w:r>
              <w:rPr>
                <w:rFonts w:hint="eastAsia"/>
                <w:sz w:val="21"/>
                <w:szCs w:val="21"/>
                <w:lang w:val="en-US" w:eastAsia="zh-CN"/>
              </w:rPr>
              <w:t>20</w:t>
            </w:r>
            <w:r>
              <w:rPr>
                <w:rFonts w:hint="eastAsia"/>
                <w:sz w:val="21"/>
                <w:szCs w:val="21"/>
              </w:rPr>
              <w:t>年1月1日至投标截止时间止获得市级或以上设计奖项；</w:t>
            </w:r>
            <w:r>
              <w:rPr>
                <w:rFonts w:hint="eastAsia"/>
                <w:sz w:val="21"/>
                <w:szCs w:val="21"/>
                <w:lang w:val="en-US" w:eastAsia="zh-CN"/>
              </w:rPr>
              <w:t>对于</w:t>
            </w:r>
            <w:r>
              <w:rPr>
                <w:rFonts w:hint="eastAsia"/>
                <w:sz w:val="21"/>
                <w:szCs w:val="21"/>
              </w:rPr>
              <w:t>拟派团队</w:t>
            </w:r>
            <w:r>
              <w:rPr>
                <w:rFonts w:hint="eastAsia"/>
                <w:sz w:val="21"/>
                <w:szCs w:val="21"/>
                <w:lang w:val="en-US" w:eastAsia="zh-CN"/>
              </w:rPr>
              <w:t>每一岗位人员，</w:t>
            </w:r>
            <w:r>
              <w:rPr>
                <w:rFonts w:hint="eastAsia"/>
                <w:sz w:val="21"/>
                <w:szCs w:val="21"/>
              </w:rPr>
              <w:t>投标人自行选择</w:t>
            </w:r>
            <w:r>
              <w:rPr>
                <w:rFonts w:hint="eastAsia"/>
                <w:sz w:val="21"/>
                <w:szCs w:val="21"/>
                <w:lang w:val="en-US" w:eastAsia="zh-CN"/>
              </w:rPr>
              <w:t>1</w:t>
            </w:r>
            <w:r>
              <w:rPr>
                <w:rFonts w:hint="eastAsia"/>
                <w:sz w:val="21"/>
                <w:szCs w:val="21"/>
              </w:rPr>
              <w:t>个</w:t>
            </w:r>
            <w:r>
              <w:rPr>
                <w:rFonts w:hint="eastAsia"/>
                <w:sz w:val="21"/>
                <w:szCs w:val="21"/>
                <w:lang w:val="en-US" w:eastAsia="zh-CN"/>
              </w:rPr>
              <w:t>符合本项目具体特点（公共建筑类）有代表性</w:t>
            </w:r>
            <w:r>
              <w:rPr>
                <w:rFonts w:hint="eastAsia"/>
                <w:sz w:val="21"/>
                <w:szCs w:val="21"/>
              </w:rPr>
              <w:t>设计奖项提供</w:t>
            </w:r>
            <w:r>
              <w:rPr>
                <w:rFonts w:hint="eastAsia"/>
                <w:sz w:val="21"/>
                <w:szCs w:val="21"/>
                <w:lang w:eastAsia="zh-CN"/>
              </w:rPr>
              <w:t>（</w:t>
            </w:r>
            <w:r>
              <w:rPr>
                <w:rFonts w:hint="eastAsia"/>
                <w:sz w:val="21"/>
                <w:szCs w:val="21"/>
                <w:lang w:val="en-US" w:eastAsia="zh-CN"/>
              </w:rPr>
              <w:t>如有</w:t>
            </w:r>
            <w:r>
              <w:rPr>
                <w:rFonts w:hint="eastAsia"/>
                <w:sz w:val="21"/>
                <w:szCs w:val="21"/>
                <w:lang w:eastAsia="zh-CN"/>
              </w:rPr>
              <w:t>）</w:t>
            </w:r>
            <w:r>
              <w:rPr>
                <w:rFonts w:hint="eastAsia"/>
                <w:sz w:val="21"/>
                <w:szCs w:val="21"/>
              </w:rPr>
              <w:t>，需提供获奖证书扫描件，加盖投标人电子印章。国家级设计奖项包括由国务院颁发的国家科学技术奖、由住建部颁发的全国优秀工程勘察设计奖、住建部的华夏建设科学技术奖励委员会颁发的华夏建设科学技术奖、中国勘察设计协会颁发的全国优秀工程勘察设计行业奖；省级设计奖项</w:t>
            </w:r>
            <w:r>
              <w:rPr>
                <w:rFonts w:hint="eastAsia"/>
                <w:sz w:val="21"/>
                <w:szCs w:val="21"/>
                <w:lang w:val="en-US" w:eastAsia="zh-CN"/>
              </w:rPr>
              <w:t>包括</w:t>
            </w:r>
            <w:r>
              <w:rPr>
                <w:rFonts w:hint="eastAsia"/>
                <w:sz w:val="21"/>
                <w:szCs w:val="21"/>
              </w:rPr>
              <w:t>省级（或直辖市）人民政府颁发的省（或直辖市）科学技术奖、省级（或直辖市）建设行政主管部门及省级（或直辖市）工程勘察设计行业协会颁发的省级（或直辖市）优秀勘察设计奖；市级设计奖项包括市级建设行政主管部门或市级(含副省级)工程勘察设计行业协会颁发的“优秀工程勘察设计奖”、市级人民政府颁发的“市科学技术奖”。如颁发单位为行业协会的，还须提供该协会在“全国社会组织信用信息公示平台（试运行）”己登记备案的查询信息截图页（网址：</w:t>
            </w:r>
            <w:r>
              <w:rPr>
                <w:rFonts w:hint="eastAsia"/>
                <w:sz w:val="21"/>
                <w:szCs w:val="21"/>
              </w:rPr>
              <w:fldChar w:fldCharType="begin"/>
            </w:r>
            <w:r>
              <w:rPr>
                <w:rFonts w:hint="eastAsia"/>
                <w:sz w:val="21"/>
                <w:szCs w:val="21"/>
              </w:rPr>
              <w:instrText xml:space="preserve"> HYPERLINK "https://xxgs.chinanpo.mca.gov.cn/gsxt/newList），奖项时间以获奖证书发证日期为准。" </w:instrText>
            </w:r>
            <w:r>
              <w:rPr>
                <w:rFonts w:hint="eastAsia"/>
                <w:sz w:val="21"/>
                <w:szCs w:val="21"/>
              </w:rPr>
              <w:fldChar w:fldCharType="separate"/>
            </w:r>
            <w:r>
              <w:rPr>
                <w:rFonts w:hint="eastAsia"/>
                <w:sz w:val="21"/>
                <w:szCs w:val="21"/>
              </w:rPr>
              <w:t>https://xxgs.chinanpo.mca.gov.cn/gsxt/newList），奖项时间以获奖证书发证日期为准。</w:t>
            </w:r>
            <w:r>
              <w:rPr>
                <w:rFonts w:hint="eastAsia"/>
                <w:sz w:val="21"/>
                <w:szCs w:val="21"/>
              </w:rPr>
              <w:fldChar w:fldCharType="end"/>
            </w:r>
          </w:p>
        </w:tc>
      </w:tr>
      <w:tr w14:paraId="6463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2" w:hRule="atLeast"/>
        </w:trPr>
        <w:tc>
          <w:tcPr>
            <w:tcW w:w="430" w:type="pct"/>
            <w:tcBorders>
              <w:top w:val="single" w:color="auto" w:sz="4" w:space="0"/>
              <w:left w:val="single" w:color="auto" w:sz="4" w:space="0"/>
              <w:bottom w:val="single" w:color="auto" w:sz="4" w:space="0"/>
              <w:right w:val="single" w:color="auto" w:sz="4" w:space="0"/>
            </w:tcBorders>
            <w:noWrap w:val="0"/>
            <w:vAlign w:val="center"/>
          </w:tcPr>
          <w:p w14:paraId="5A6AC482">
            <w:pPr>
              <w:pStyle w:val="11"/>
              <w:widowControl/>
              <w:kinsoku w:val="0"/>
              <w:adjustRightInd w:val="0"/>
              <w:snapToGrid w:val="0"/>
              <w:spacing w:before="0" w:line="360" w:lineRule="auto"/>
              <w:textAlignment w:val="baseline"/>
              <w:rPr>
                <w:rFonts w:hint="eastAsia"/>
                <w:sz w:val="21"/>
                <w:szCs w:val="21"/>
                <w:u w:val="single"/>
                <w:shd w:val="clear" w:color="auto" w:fill="FFFFFF"/>
              </w:rPr>
            </w:pPr>
            <w:r>
              <w:rPr>
                <w:rFonts w:hint="eastAsia"/>
                <w:sz w:val="21"/>
                <w:szCs w:val="21"/>
              </w:rPr>
              <w:t>4</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64BCFD9C">
            <w:pPr>
              <w:pStyle w:val="11"/>
              <w:widowControl/>
              <w:kinsoku w:val="0"/>
              <w:adjustRightInd w:val="0"/>
              <w:snapToGrid w:val="0"/>
              <w:spacing w:before="0" w:line="360" w:lineRule="auto"/>
              <w:textAlignment w:val="baseline"/>
              <w:rPr>
                <w:rFonts w:hint="eastAsia"/>
                <w:sz w:val="21"/>
                <w:szCs w:val="21"/>
                <w:u w:val="single"/>
                <w:shd w:val="clear" w:color="auto" w:fill="FFFFFF"/>
              </w:rPr>
            </w:pPr>
            <w:r>
              <w:rPr>
                <w:rFonts w:hint="eastAsia"/>
                <w:sz w:val="21"/>
                <w:szCs w:val="21"/>
              </w:rPr>
              <w:t>资信因素</w:t>
            </w:r>
          </w:p>
        </w:tc>
        <w:tc>
          <w:tcPr>
            <w:tcW w:w="3793" w:type="pct"/>
            <w:tcBorders>
              <w:top w:val="single" w:color="auto" w:sz="4" w:space="0"/>
              <w:left w:val="single" w:color="auto" w:sz="4" w:space="0"/>
              <w:bottom w:val="single" w:color="auto" w:sz="4" w:space="0"/>
              <w:right w:val="single" w:color="auto" w:sz="4" w:space="0"/>
            </w:tcBorders>
            <w:noWrap w:val="0"/>
            <w:vAlign w:val="center"/>
          </w:tcPr>
          <w:p w14:paraId="63CF8430">
            <w:pPr>
              <w:pStyle w:val="11"/>
              <w:widowControl/>
              <w:kinsoku w:val="0"/>
              <w:adjustRightInd w:val="0"/>
              <w:snapToGrid w:val="0"/>
              <w:spacing w:before="0" w:line="360" w:lineRule="auto"/>
              <w:jc w:val="left"/>
              <w:textAlignment w:val="baseline"/>
              <w:rPr>
                <w:rFonts w:hint="eastAsia"/>
                <w:sz w:val="21"/>
                <w:szCs w:val="21"/>
              </w:rPr>
            </w:pPr>
            <w:r>
              <w:rPr>
                <w:rFonts w:hint="eastAsia"/>
                <w:sz w:val="21"/>
                <w:szCs w:val="21"/>
              </w:rPr>
              <w:t>对合格的中标候选人承担过的业绩经验、奖项等进行评审。</w:t>
            </w:r>
          </w:p>
          <w:p w14:paraId="741DB82C">
            <w:pPr>
              <w:pStyle w:val="11"/>
              <w:widowControl/>
              <w:numPr>
                <w:ilvl w:val="0"/>
                <w:numId w:val="0"/>
              </w:numPr>
              <w:kinsoku w:val="0"/>
              <w:adjustRightInd w:val="0"/>
              <w:snapToGrid w:val="0"/>
              <w:spacing w:before="0" w:line="360" w:lineRule="auto"/>
              <w:ind w:left="0" w:firstLine="0"/>
              <w:jc w:val="left"/>
              <w:textAlignment w:val="baseline"/>
              <w:rPr>
                <w:rFonts w:hint="eastAsia"/>
                <w:sz w:val="21"/>
                <w:szCs w:val="21"/>
                <w:lang w:val="en-US" w:eastAsia="zh-CN"/>
              </w:rPr>
            </w:pPr>
            <w:r>
              <w:rPr>
                <w:rFonts w:hint="eastAsia"/>
                <w:sz w:val="21"/>
                <w:szCs w:val="21"/>
                <w:lang w:val="en-US" w:eastAsia="zh-CN"/>
              </w:rPr>
              <w:t>注：</w:t>
            </w:r>
          </w:p>
          <w:p w14:paraId="0928650F">
            <w:pPr>
              <w:pStyle w:val="11"/>
              <w:widowControl/>
              <w:numPr>
                <w:ilvl w:val="0"/>
                <w:numId w:val="0"/>
              </w:numPr>
              <w:kinsoku w:val="0"/>
              <w:adjustRightInd w:val="0"/>
              <w:snapToGrid w:val="0"/>
              <w:spacing w:before="0" w:line="360" w:lineRule="auto"/>
              <w:ind w:left="0" w:firstLine="420" w:firstLineChars="200"/>
              <w:jc w:val="left"/>
              <w:textAlignment w:val="baseline"/>
              <w:rPr>
                <w:rFonts w:hint="eastAsia"/>
                <w:sz w:val="21"/>
                <w:szCs w:val="21"/>
                <w:highlight w:val="none"/>
              </w:rPr>
            </w:pPr>
            <w:r>
              <w:rPr>
                <w:rFonts w:hint="eastAsia"/>
                <w:sz w:val="21"/>
                <w:szCs w:val="21"/>
                <w:lang w:val="en-US" w:eastAsia="zh-CN"/>
              </w:rPr>
              <w:t>1、</w:t>
            </w:r>
            <w:r>
              <w:rPr>
                <w:rFonts w:hint="eastAsia"/>
                <w:sz w:val="21"/>
                <w:szCs w:val="21"/>
                <w:highlight w:val="none"/>
                <w:lang w:val="en-US" w:eastAsia="zh-CN"/>
              </w:rPr>
              <w:t>企业</w:t>
            </w:r>
            <w:r>
              <w:rPr>
                <w:rFonts w:hint="eastAsia"/>
                <w:sz w:val="21"/>
                <w:szCs w:val="21"/>
                <w:highlight w:val="none"/>
              </w:rPr>
              <w:t>类似业绩指投标人自20</w:t>
            </w:r>
            <w:r>
              <w:rPr>
                <w:rFonts w:hint="eastAsia"/>
                <w:sz w:val="21"/>
                <w:szCs w:val="21"/>
                <w:highlight w:val="none"/>
                <w:lang w:val="en-US" w:eastAsia="zh-CN"/>
              </w:rPr>
              <w:t>20</w:t>
            </w:r>
            <w:r>
              <w:rPr>
                <w:rFonts w:hint="eastAsia"/>
                <w:sz w:val="21"/>
                <w:szCs w:val="21"/>
                <w:highlight w:val="none"/>
              </w:rPr>
              <w:t>年1月1日至投标截止时间止，完成过的总投资≥</w:t>
            </w:r>
            <w:r>
              <w:rPr>
                <w:rFonts w:hint="eastAsia" w:ascii="宋体" w:hAnsi="宋体"/>
                <w:sz w:val="24"/>
                <w:highlight w:val="none"/>
                <w:lang w:val="en-US" w:eastAsia="zh-CN"/>
              </w:rPr>
              <w:t>30000</w:t>
            </w:r>
            <w:r>
              <w:rPr>
                <w:rFonts w:hint="eastAsia"/>
                <w:sz w:val="21"/>
                <w:szCs w:val="21"/>
                <w:highlight w:val="none"/>
              </w:rPr>
              <w:t>万元的房屋建筑工程设计业绩；投标人自行选择不超过5个</w:t>
            </w:r>
            <w:r>
              <w:rPr>
                <w:rFonts w:hint="eastAsia"/>
                <w:sz w:val="21"/>
                <w:szCs w:val="21"/>
                <w:highlight w:val="none"/>
                <w:lang w:val="en-US" w:eastAsia="zh-CN"/>
              </w:rPr>
              <w:t>符合本项目具体特点（公共建筑类）有代表性</w:t>
            </w:r>
            <w:r>
              <w:rPr>
                <w:rFonts w:hint="eastAsia"/>
                <w:sz w:val="21"/>
                <w:szCs w:val="21"/>
                <w:highlight w:val="none"/>
              </w:rPr>
              <w:t>业绩提供，需提供①合同关键页、②初步设计批复或施工图审查合格书作为业绩证明文件，业绩时间以初步设计批复或施工图审查合格书时间为准。投标单位需提供能证明项目总投资的证明文件扫描件，加盖投标人电子印章。总投资证明文件可以是项目建议书批文、可行性研究报告批文或企业投资项目备案证。合同中列明项目总投资的，可做为项目总投资证明文件。</w:t>
            </w:r>
          </w:p>
          <w:p w14:paraId="70B773EC">
            <w:pPr>
              <w:pStyle w:val="11"/>
              <w:widowControl/>
              <w:numPr>
                <w:ilvl w:val="0"/>
                <w:numId w:val="0"/>
              </w:numPr>
              <w:kinsoku w:val="0"/>
              <w:adjustRightInd w:val="0"/>
              <w:snapToGrid w:val="0"/>
              <w:spacing w:before="0" w:line="360" w:lineRule="auto"/>
              <w:ind w:left="0" w:firstLine="420" w:firstLineChars="200"/>
              <w:jc w:val="left"/>
              <w:textAlignment w:val="baseline"/>
              <w:rPr>
                <w:rFonts w:hint="eastAsia"/>
                <w:sz w:val="21"/>
                <w:szCs w:val="21"/>
              </w:rPr>
            </w:pPr>
            <w:r>
              <w:rPr>
                <w:rFonts w:hint="eastAsia"/>
                <w:sz w:val="21"/>
                <w:szCs w:val="21"/>
                <w:highlight w:val="none"/>
                <w:lang w:val="en-US" w:eastAsia="zh-CN"/>
              </w:rPr>
              <w:t>2、企业</w:t>
            </w:r>
            <w:r>
              <w:rPr>
                <w:rFonts w:hint="eastAsia"/>
                <w:sz w:val="21"/>
                <w:szCs w:val="21"/>
                <w:highlight w:val="none"/>
              </w:rPr>
              <w:t>类似业绩</w:t>
            </w:r>
            <w:r>
              <w:rPr>
                <w:rFonts w:hint="eastAsia"/>
                <w:sz w:val="21"/>
                <w:szCs w:val="21"/>
                <w:highlight w:val="none"/>
                <w:lang w:val="en-US" w:eastAsia="zh-CN"/>
              </w:rPr>
              <w:t>的</w:t>
            </w:r>
            <w:r>
              <w:rPr>
                <w:rFonts w:hint="eastAsia"/>
                <w:sz w:val="21"/>
                <w:szCs w:val="21"/>
                <w:highlight w:val="none"/>
              </w:rPr>
              <w:t>获奖指投标人完成过的总投资≥</w:t>
            </w:r>
            <w:r>
              <w:rPr>
                <w:rFonts w:hint="eastAsia" w:ascii="宋体" w:hAnsi="宋体"/>
                <w:sz w:val="24"/>
                <w:highlight w:val="none"/>
                <w:lang w:val="en-US" w:eastAsia="zh-CN"/>
              </w:rPr>
              <w:t>30000</w:t>
            </w:r>
            <w:r>
              <w:rPr>
                <w:rFonts w:hint="eastAsia"/>
                <w:sz w:val="21"/>
                <w:szCs w:val="21"/>
                <w:highlight w:val="none"/>
              </w:rPr>
              <w:t>万元的房屋建筑工程设计业绩，自20</w:t>
            </w:r>
            <w:r>
              <w:rPr>
                <w:rFonts w:hint="eastAsia"/>
                <w:sz w:val="21"/>
                <w:szCs w:val="21"/>
                <w:highlight w:val="none"/>
                <w:lang w:val="en-US" w:eastAsia="zh-CN"/>
              </w:rPr>
              <w:t>20</w:t>
            </w:r>
            <w:r>
              <w:rPr>
                <w:rFonts w:hint="eastAsia"/>
                <w:sz w:val="21"/>
                <w:szCs w:val="21"/>
                <w:highlight w:val="none"/>
              </w:rPr>
              <w:t>年1月1日至投标截止时间止获得市级（含副省级）或以上设计奖项；需提供获奖证书扫描件，加盖投标人电</w:t>
            </w:r>
            <w:r>
              <w:rPr>
                <w:rFonts w:hint="eastAsia"/>
                <w:sz w:val="21"/>
                <w:szCs w:val="21"/>
              </w:rPr>
              <w:t>子印章。投标人自行选择不超过5个</w:t>
            </w:r>
            <w:r>
              <w:rPr>
                <w:rFonts w:hint="eastAsia"/>
                <w:sz w:val="21"/>
                <w:szCs w:val="21"/>
                <w:lang w:val="en-US" w:eastAsia="zh-CN"/>
              </w:rPr>
              <w:t>符合本项目具体特点（公共建筑类）有</w:t>
            </w:r>
            <w:r>
              <w:rPr>
                <w:rFonts w:hint="eastAsia"/>
                <w:sz w:val="21"/>
                <w:szCs w:val="21"/>
              </w:rPr>
              <w:t>代表性的奖项提供。</w:t>
            </w:r>
          </w:p>
          <w:p w14:paraId="40A1FF28">
            <w:pPr>
              <w:pStyle w:val="11"/>
              <w:widowControl/>
              <w:kinsoku w:val="0"/>
              <w:adjustRightInd w:val="0"/>
              <w:snapToGrid w:val="0"/>
              <w:spacing w:before="0" w:line="360" w:lineRule="auto"/>
              <w:ind w:firstLine="420" w:firstLineChars="200"/>
              <w:jc w:val="left"/>
              <w:textAlignment w:val="baseline"/>
              <w:rPr>
                <w:rFonts w:hint="eastAsia"/>
                <w:sz w:val="21"/>
                <w:szCs w:val="21"/>
              </w:rPr>
            </w:pPr>
            <w:r>
              <w:rPr>
                <w:rFonts w:hint="eastAsia"/>
                <w:sz w:val="21"/>
                <w:szCs w:val="21"/>
              </w:rPr>
              <w:t>国家级设计奖项包括由国务院颁发的国家科学技术奖、由住建部颁发的全国优秀工程勘察设计奖、住建部的华夏建设科学技术奖励委员会颁发的华夏建设科学技术奖、中国勘察设计协会颁发的全国优秀工程勘察设计行业奖；省级设计奖项</w:t>
            </w:r>
            <w:r>
              <w:rPr>
                <w:rFonts w:hint="eastAsia"/>
                <w:sz w:val="21"/>
                <w:szCs w:val="21"/>
                <w:lang w:val="en-US" w:eastAsia="zh-CN"/>
              </w:rPr>
              <w:t>包括</w:t>
            </w:r>
            <w:r>
              <w:rPr>
                <w:rFonts w:hint="eastAsia"/>
                <w:sz w:val="21"/>
                <w:szCs w:val="21"/>
              </w:rPr>
              <w:t>省级（或直辖市）人民政府颁发的省（或直辖市）科学技术奖、省级（或直辖市）建设行政主管部门及省级（或直辖市）工程勘察设计行业协会颁发的省级（或直辖市）优秀勘察设计奖；市级设计奖项包括市级建设行政主管部门或市级(含副省级)工程勘察设计行业协会颁发的“优秀工程勘察设计奖”、市级人民政府颁发的“市科学技术奖”。如颁发单位为行业协会的，还须提供该协会在“全国社会组织信用信息公示平台（试运行）”己登记备案的查询信息截图页（网址：</w:t>
            </w:r>
            <w:r>
              <w:rPr>
                <w:rFonts w:hint="eastAsia"/>
                <w:sz w:val="21"/>
                <w:szCs w:val="21"/>
              </w:rPr>
              <w:fldChar w:fldCharType="begin"/>
            </w:r>
            <w:r>
              <w:rPr>
                <w:rFonts w:hint="eastAsia"/>
                <w:sz w:val="21"/>
                <w:szCs w:val="21"/>
              </w:rPr>
              <w:instrText xml:space="preserve"> HYPERLINK "https://xxgs.chinanpo.mca.gov.cn/gsxt/newList），奖项时间以获奖证书发证日期为准。" </w:instrText>
            </w:r>
            <w:r>
              <w:rPr>
                <w:rFonts w:hint="eastAsia"/>
                <w:sz w:val="21"/>
                <w:szCs w:val="21"/>
              </w:rPr>
              <w:fldChar w:fldCharType="separate"/>
            </w:r>
            <w:r>
              <w:rPr>
                <w:rFonts w:hint="eastAsia"/>
                <w:sz w:val="21"/>
                <w:szCs w:val="21"/>
              </w:rPr>
              <w:t>https://xxgs.chinanpo.mca.gov.cn/gsxt/newList），奖项时间以获奖证书发证日期为准。</w:t>
            </w:r>
            <w:r>
              <w:rPr>
                <w:rFonts w:hint="eastAsia"/>
                <w:sz w:val="21"/>
                <w:szCs w:val="21"/>
              </w:rPr>
              <w:fldChar w:fldCharType="end"/>
            </w:r>
          </w:p>
        </w:tc>
      </w:tr>
    </w:tbl>
    <w:p w14:paraId="4EA6542F">
      <w:pPr>
        <w:pStyle w:val="7"/>
        <w:numPr>
          <w:ilvl w:val="0"/>
          <w:numId w:val="2"/>
        </w:numPr>
        <w:spacing w:beforeAutospacing="0" w:afterAutospacing="0" w:line="360" w:lineRule="auto"/>
        <w:ind w:firstLine="480" w:firstLineChars="200"/>
        <w:jc w:val="both"/>
        <w:rPr>
          <w:rFonts w:cs="宋体"/>
          <w:u w:val="single"/>
          <w:shd w:val="clear" w:color="auto" w:fill="FFFFFF"/>
        </w:rPr>
      </w:pPr>
      <w:r>
        <w:rPr>
          <w:rFonts w:cs="宋体"/>
          <w:u w:val="single"/>
          <w:shd w:val="clear" w:color="auto" w:fill="FFFFFF"/>
        </w:rPr>
        <w:t>定标委员会根据定标因素对各合格的中标候选人进行评审比较后，采用以差额选举逐轮淘汰投票计数法的“记名投票+撰写评语”方式确定中标人以及</w:t>
      </w:r>
      <w:r>
        <w:rPr>
          <w:rFonts w:hint="eastAsia" w:cs="宋体"/>
          <w:u w:val="single"/>
          <w:shd w:val="clear" w:color="auto" w:fill="FFFFFF"/>
        </w:rPr>
        <w:t>入围定标阶段</w:t>
      </w:r>
      <w:r>
        <w:rPr>
          <w:rFonts w:cs="宋体"/>
          <w:u w:val="single"/>
          <w:shd w:val="clear" w:color="auto" w:fill="FFFFFF"/>
        </w:rPr>
        <w:t>的</w:t>
      </w:r>
      <w:r>
        <w:rPr>
          <w:rFonts w:hint="eastAsia" w:cs="宋体"/>
          <w:u w:val="single"/>
          <w:shd w:val="clear" w:color="auto" w:fill="FFFFFF"/>
        </w:rPr>
        <w:t>投标人定标综合评价</w:t>
      </w:r>
      <w:r>
        <w:rPr>
          <w:rFonts w:hint="eastAsia" w:cs="宋体"/>
          <w:u w:val="single"/>
          <w:shd w:val="clear" w:color="auto" w:fill="FFFFFF"/>
          <w:lang w:val="en-US" w:eastAsia="zh-CN"/>
        </w:rPr>
        <w:t>的每轮投票最终票数</w:t>
      </w:r>
      <w:r>
        <w:rPr>
          <w:rFonts w:cs="宋体"/>
          <w:u w:val="single"/>
          <w:shd w:val="clear" w:color="auto" w:fill="FFFFFF"/>
        </w:rPr>
        <w:t>。</w:t>
      </w:r>
    </w:p>
    <w:p w14:paraId="0E50B3DB">
      <w:pPr>
        <w:pStyle w:val="7"/>
        <w:spacing w:beforeAutospacing="0" w:afterAutospacing="0" w:line="360" w:lineRule="auto"/>
        <w:ind w:firstLine="480" w:firstLineChars="200"/>
        <w:jc w:val="both"/>
        <w:rPr>
          <w:rFonts w:cs="宋体"/>
          <w:u w:val="single"/>
          <w:shd w:val="clear" w:color="auto" w:fill="FFFFFF"/>
        </w:rPr>
      </w:pPr>
      <w:r>
        <w:rPr>
          <w:rFonts w:cs="宋体"/>
          <w:u w:val="single"/>
          <w:shd w:val="clear" w:color="auto" w:fill="FFFFFF"/>
        </w:rPr>
        <w:t>（4）定标委员会中的各成员应独立行使投票权。</w:t>
      </w:r>
    </w:p>
    <w:p w14:paraId="2AC43DA8">
      <w:pPr>
        <w:pStyle w:val="7"/>
        <w:spacing w:beforeAutospacing="0" w:afterAutospacing="0" w:line="360" w:lineRule="auto"/>
        <w:ind w:firstLine="480" w:firstLineChars="200"/>
        <w:jc w:val="both"/>
        <w:rPr>
          <w:rFonts w:cs="宋体"/>
          <w:u w:val="single"/>
          <w:shd w:val="clear" w:color="auto" w:fill="FFFFFF"/>
        </w:rPr>
      </w:pPr>
      <w:r>
        <w:rPr>
          <w:rFonts w:cs="宋体"/>
          <w:u w:val="single"/>
          <w:shd w:val="clear" w:color="auto" w:fill="FFFFFF"/>
        </w:rPr>
        <w:t>（5）定标委员会根据投票情况确定中标人后，撰写、签署定标报告。定标报告由定标委员会全体成员签字，对定标结论持有异议的成员应以书面方式阐述其不同意见和理由。</w:t>
      </w:r>
    </w:p>
    <w:p w14:paraId="14BD19C6">
      <w:pPr>
        <w:pStyle w:val="7"/>
        <w:spacing w:beforeAutospacing="0" w:afterAutospacing="0" w:line="360" w:lineRule="auto"/>
        <w:ind w:firstLine="480" w:firstLineChars="200"/>
        <w:jc w:val="both"/>
        <w:rPr>
          <w:rFonts w:cs="宋体"/>
          <w:u w:val="single"/>
          <w:shd w:val="clear" w:color="auto" w:fill="FFFFFF"/>
        </w:rPr>
      </w:pPr>
      <w:r>
        <w:rPr>
          <w:rFonts w:cs="宋体"/>
          <w:u w:val="single"/>
          <w:shd w:val="clear" w:color="auto" w:fill="FFFFFF"/>
        </w:rPr>
        <w:t>（6）定标委员会向招标人提交书面定标报告后即解散，定标过程中使用的文件、表格以及其他资料不得私自带离。</w:t>
      </w:r>
    </w:p>
    <w:p w14:paraId="6CEA54F9">
      <w:pPr>
        <w:pStyle w:val="7"/>
        <w:spacing w:beforeAutospacing="0" w:afterAutospacing="0" w:line="360" w:lineRule="auto"/>
        <w:ind w:firstLine="480" w:firstLineChars="200"/>
        <w:jc w:val="both"/>
        <w:rPr>
          <w:rFonts w:cs="宋体"/>
          <w:u w:val="single"/>
          <w:shd w:val="clear" w:color="auto" w:fill="FFFFFF"/>
        </w:rPr>
      </w:pPr>
      <w:r>
        <w:rPr>
          <w:rFonts w:hint="eastAsia" w:cs="宋体"/>
          <w:u w:val="single"/>
          <w:shd w:val="clear" w:color="auto" w:fill="FFFFFF"/>
        </w:rPr>
        <w:t>3</w:t>
      </w:r>
      <w:r>
        <w:rPr>
          <w:rFonts w:cs="宋体"/>
          <w:u w:val="single"/>
          <w:shd w:val="clear" w:color="auto" w:fill="FFFFFF"/>
        </w:rPr>
        <w:t>、（1）定标后出现中标人不符合法定情形的，</w:t>
      </w:r>
      <w:r>
        <w:rPr>
          <w:rFonts w:hint="eastAsia" w:cs="宋体"/>
          <w:b/>
          <w:bCs/>
          <w:u w:val="single"/>
          <w:shd w:val="clear" w:color="auto" w:fill="FFFFFF"/>
          <w:lang w:val="en-US" w:eastAsia="zh-CN"/>
        </w:rPr>
        <w:t>从其他合格的中标候选人中采用原定标办法，由原定标委员会确定中标人，也可以重新招标</w:t>
      </w:r>
      <w:r>
        <w:rPr>
          <w:rFonts w:hint="eastAsia" w:cs="宋体"/>
          <w:u w:val="single"/>
          <w:shd w:val="clear" w:color="auto" w:fill="FFFFFF"/>
        </w:rPr>
        <w:t>。</w:t>
      </w:r>
    </w:p>
    <w:p w14:paraId="3E7BFE30">
      <w:pPr>
        <w:pStyle w:val="7"/>
        <w:spacing w:beforeAutospacing="0" w:afterAutospacing="0" w:line="360" w:lineRule="auto"/>
        <w:ind w:firstLine="480" w:firstLineChars="200"/>
        <w:jc w:val="both"/>
        <w:rPr>
          <w:rFonts w:cs="宋体"/>
          <w:u w:val="single"/>
          <w:shd w:val="clear" w:color="auto" w:fill="FFFFFF"/>
        </w:rPr>
      </w:pPr>
      <w:r>
        <w:rPr>
          <w:rFonts w:cs="宋体"/>
          <w:u w:val="single"/>
          <w:shd w:val="clear" w:color="auto" w:fill="FFFFFF"/>
        </w:rPr>
        <w:t>（2）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0884F86B">
      <w:pPr>
        <w:pStyle w:val="7"/>
        <w:spacing w:beforeAutospacing="0" w:afterAutospacing="0" w:line="360" w:lineRule="auto"/>
        <w:ind w:firstLine="480" w:firstLineChars="200"/>
        <w:jc w:val="both"/>
        <w:rPr>
          <w:rFonts w:cs="宋体"/>
          <w:u w:val="single"/>
          <w:shd w:val="clear" w:color="auto" w:fill="FFFFFF"/>
        </w:rPr>
      </w:pPr>
      <w:r>
        <w:rPr>
          <w:rFonts w:cs="宋体"/>
          <w:u w:val="single"/>
          <w:shd w:val="clear" w:color="auto" w:fill="FFFFFF"/>
        </w:rPr>
        <w:t>（3）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67D218E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312"/>
        </w:tabs>
        <w:spacing w:before="0" w:beforeAutospacing="0" w:after="0" w:afterAutospacing="0" w:line="380" w:lineRule="atLeast"/>
        <w:ind w:right="0" w:rightChars="0"/>
        <w:jc w:val="both"/>
        <w:rPr>
          <w:rFonts w:hint="default" w:ascii="宋体" w:hAnsi="宋体" w:eastAsia="宋体" w:cs="宋体"/>
          <w:i w:val="0"/>
          <w:iCs w:val="0"/>
          <w:caps w:val="0"/>
          <w:color w:val="auto"/>
          <w:spacing w:val="0"/>
          <w:sz w:val="21"/>
          <w:szCs w:val="21"/>
          <w:u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DE">
      <wne:fci wne:fciName="InsertInkCommen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C0CB9"/>
    <w:multiLevelType w:val="singleLevel"/>
    <w:tmpl w:val="A71C0CB9"/>
    <w:lvl w:ilvl="0" w:tentative="0">
      <w:start w:val="1"/>
      <w:numFmt w:val="decimal"/>
      <w:lvlText w:val="%1."/>
      <w:lvlJc w:val="left"/>
      <w:pPr>
        <w:tabs>
          <w:tab w:val="left" w:pos="312"/>
        </w:tabs>
      </w:pPr>
    </w:lvl>
  </w:abstractNum>
  <w:abstractNum w:abstractNumId="1">
    <w:nsid w:val="DA7D5AB1"/>
    <w:multiLevelType w:val="multilevel"/>
    <w:tmpl w:val="DA7D5AB1"/>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0485F"/>
    <w:rsid w:val="0AD67869"/>
    <w:rsid w:val="32BE5AA7"/>
    <w:rsid w:val="4A357CC6"/>
    <w:rsid w:val="4CB34B1E"/>
    <w:rsid w:val="4EFA08FB"/>
    <w:rsid w:val="53632365"/>
    <w:rsid w:val="5F3B73F3"/>
    <w:rsid w:val="634B7B53"/>
    <w:rsid w:val="74B60F7E"/>
    <w:rsid w:val="7D9C4963"/>
    <w:rsid w:val="7E40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ind w:firstLine="600" w:firstLineChars="200"/>
    </w:pPr>
    <w:rPr>
      <w:rFonts w:ascii="宋体"/>
      <w:sz w:val="30"/>
      <w:szCs w:val="20"/>
    </w:rPr>
  </w:style>
  <w:style w:type="paragraph" w:styleId="6">
    <w:name w:val="Plain Text"/>
    <w:basedOn w:val="1"/>
    <w:qFormat/>
    <w:uiPriority w:val="0"/>
    <w:rPr>
      <w:rFonts w:ascii="宋体" w:hAnsi="Courier New"/>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Table Text"/>
    <w:basedOn w:val="1"/>
    <w:semiHidden/>
    <w:qFormat/>
    <w:uiPriority w:val="0"/>
    <w:pPr>
      <w:spacing w:before="202" w:line="219" w:lineRule="auto"/>
      <w:jc w:val="center"/>
    </w:pPr>
    <w:rPr>
      <w:rFonts w:ascii="宋体" w:hAnsi="宋体" w:eastAsia="宋体" w:cs="宋体"/>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3441</Words>
  <Characters>3666</Characters>
  <Lines>0</Lines>
  <Paragraphs>0</Paragraphs>
  <TotalTime>0</TotalTime>
  <ScaleCrop>false</ScaleCrop>
  <LinksUpToDate>false</LinksUpToDate>
  <CharactersWithSpaces>3681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2024-11-25T09:29:00Z</dcterms:created>
  <dc:creator>Administrator</dc:creator>
  <cp:lastModifiedBy>志正招标-黄工0324</cp:lastModifiedBy>
  <dcterms:modified xsi:type="dcterms:W3CDTF">2025-03-28T09:27:40Z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3DA950E8C40842EFABDED8C933A9811E_12</vt:lpwstr>
  </property>
  <property fmtid="{D5CDD505-2E9C-101B-9397-08002B2CF9AE}" pid="4" name="KSOTemplateDocerSaveRecord">
    <vt:lpwstr>eyJoZGlkIjoiMDM2NGM3NjA5MWYyMWExYjJkOTM2YWMyMzc3ZDUyZjMiLCJ1c2VySWQiOiI1MjA2MTM2NzIifQ==</vt:lpwstr>
  </property>
</Properties>
</file>