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583280">
      <w:pPr>
        <w:spacing w:line="360" w:lineRule="auto"/>
        <w:jc w:val="center"/>
        <w:rPr>
          <w:rFonts w:ascii="黑体" w:hAnsi="黑体" w:eastAsia="黑体"/>
          <w:color w:val="000000"/>
          <w:sz w:val="24"/>
        </w:rPr>
      </w:pPr>
    </w:p>
    <w:p w14:paraId="0496412E">
      <w:pPr>
        <w:spacing w:line="360" w:lineRule="auto"/>
        <w:ind w:left="1959" w:leftChars="133" w:hanging="1680" w:hangingChars="300"/>
        <w:jc w:val="center"/>
        <w:rPr>
          <w:rFonts w:ascii="黑体" w:hAnsi="黑体" w:eastAsia="黑体"/>
          <w:color w:val="000000"/>
          <w:sz w:val="56"/>
          <w:szCs w:val="56"/>
        </w:rPr>
      </w:pPr>
      <w:r>
        <w:rPr>
          <w:rFonts w:hint="eastAsia" w:ascii="黑体" w:hAnsi="黑体" w:eastAsia="黑体"/>
          <w:color w:val="000000"/>
          <w:sz w:val="56"/>
          <w:szCs w:val="56"/>
        </w:rPr>
        <w:t>华南理工大学大学城校区</w:t>
      </w:r>
    </w:p>
    <w:p w14:paraId="134F3723">
      <w:pPr>
        <w:spacing w:line="360" w:lineRule="auto"/>
        <w:ind w:left="1959" w:leftChars="133" w:hanging="1680" w:hangingChars="300"/>
        <w:jc w:val="center"/>
        <w:rPr>
          <w:rFonts w:ascii="黑体" w:hAnsi="黑体" w:eastAsia="黑体"/>
          <w:color w:val="000000"/>
          <w:sz w:val="56"/>
          <w:szCs w:val="56"/>
        </w:rPr>
      </w:pPr>
      <w:r>
        <w:rPr>
          <w:rFonts w:hint="eastAsia" w:ascii="黑体" w:hAnsi="黑体" w:eastAsia="黑体"/>
          <w:color w:val="000000"/>
          <w:sz w:val="56"/>
          <w:szCs w:val="56"/>
        </w:rPr>
        <w:t>研究生宿舍（二期）</w:t>
      </w:r>
    </w:p>
    <w:p w14:paraId="610300BF">
      <w:pPr>
        <w:spacing w:line="360" w:lineRule="auto"/>
        <w:ind w:left="1959" w:leftChars="133" w:hanging="1680" w:hangingChars="300"/>
        <w:jc w:val="center"/>
        <w:rPr>
          <w:rFonts w:ascii="黑体" w:hAnsi="黑体" w:eastAsia="黑体"/>
          <w:color w:val="000000"/>
          <w:sz w:val="56"/>
          <w:szCs w:val="56"/>
        </w:rPr>
      </w:pPr>
      <w:r>
        <w:rPr>
          <w:rFonts w:hint="eastAsia" w:ascii="黑体" w:hAnsi="黑体" w:eastAsia="黑体"/>
          <w:color w:val="000000"/>
          <w:sz w:val="56"/>
          <w:szCs w:val="56"/>
        </w:rPr>
        <w:t>工程勘察设计任务书</w:t>
      </w:r>
    </w:p>
    <w:p w14:paraId="4B4080B8">
      <w:pPr>
        <w:spacing w:line="360" w:lineRule="auto"/>
        <w:jc w:val="center"/>
        <w:rPr>
          <w:rFonts w:ascii="黑体" w:hAnsi="黑体" w:eastAsia="黑体"/>
          <w:color w:val="000000"/>
          <w:sz w:val="56"/>
          <w:szCs w:val="56"/>
        </w:rPr>
      </w:pPr>
    </w:p>
    <w:p w14:paraId="0496EAD0">
      <w:pPr>
        <w:spacing w:line="360" w:lineRule="auto"/>
        <w:jc w:val="center"/>
        <w:rPr>
          <w:rFonts w:ascii="宋体" w:hAnsi="宋体"/>
          <w:color w:val="000000"/>
          <w:sz w:val="56"/>
          <w:szCs w:val="56"/>
        </w:rPr>
      </w:pPr>
    </w:p>
    <w:p w14:paraId="2CBAEA7B">
      <w:pPr>
        <w:spacing w:line="360" w:lineRule="auto"/>
        <w:ind w:firstLine="480" w:firstLineChars="200"/>
        <w:rPr>
          <w:rFonts w:ascii="黑体" w:hAnsi="黑体" w:eastAsia="黑体"/>
          <w:color w:val="000000"/>
          <w:sz w:val="24"/>
        </w:rPr>
      </w:pPr>
    </w:p>
    <w:p w14:paraId="19C23E03">
      <w:pPr>
        <w:spacing w:line="360" w:lineRule="auto"/>
        <w:ind w:firstLine="480" w:firstLineChars="200"/>
        <w:rPr>
          <w:rFonts w:ascii="黑体" w:hAnsi="黑体" w:eastAsia="黑体"/>
          <w:color w:val="000000"/>
          <w:sz w:val="24"/>
        </w:rPr>
      </w:pPr>
    </w:p>
    <w:p w14:paraId="4BD1BDF3">
      <w:pPr>
        <w:spacing w:line="360" w:lineRule="auto"/>
        <w:rPr>
          <w:rFonts w:ascii="黑体" w:hAnsi="黑体" w:eastAsia="黑体"/>
          <w:color w:val="000000"/>
          <w:sz w:val="24"/>
        </w:rPr>
      </w:pPr>
    </w:p>
    <w:p w14:paraId="4870EA58">
      <w:pPr>
        <w:spacing w:line="360" w:lineRule="auto"/>
        <w:rPr>
          <w:rFonts w:ascii="黑体" w:hAnsi="黑体" w:eastAsia="黑体"/>
          <w:color w:val="000000"/>
          <w:sz w:val="24"/>
        </w:rPr>
      </w:pPr>
    </w:p>
    <w:p w14:paraId="2EDB0E5B">
      <w:pPr>
        <w:spacing w:line="360" w:lineRule="auto"/>
        <w:rPr>
          <w:rFonts w:ascii="黑体" w:hAnsi="黑体" w:eastAsia="黑体"/>
          <w:color w:val="000000"/>
          <w:sz w:val="24"/>
        </w:rPr>
      </w:pPr>
    </w:p>
    <w:p w14:paraId="24C2917A">
      <w:pPr>
        <w:spacing w:line="360" w:lineRule="auto"/>
        <w:rPr>
          <w:rFonts w:ascii="黑体" w:hAnsi="黑体" w:eastAsia="黑体"/>
          <w:color w:val="000000"/>
          <w:sz w:val="24"/>
        </w:rPr>
      </w:pPr>
    </w:p>
    <w:p w14:paraId="5753B5AF">
      <w:pPr>
        <w:spacing w:line="360" w:lineRule="auto"/>
        <w:rPr>
          <w:rFonts w:ascii="黑体" w:hAnsi="黑体" w:eastAsia="黑体"/>
          <w:color w:val="000000"/>
          <w:sz w:val="24"/>
        </w:rPr>
      </w:pPr>
    </w:p>
    <w:p w14:paraId="416DD58A">
      <w:pPr>
        <w:spacing w:line="360" w:lineRule="auto"/>
        <w:ind w:firstLine="1193" w:firstLineChars="396"/>
        <w:jc w:val="left"/>
        <w:rPr>
          <w:rFonts w:ascii="黑体" w:hAnsi="黑体" w:eastAsia="黑体"/>
          <w:b/>
          <w:color w:val="000000"/>
          <w:sz w:val="30"/>
          <w:szCs w:val="30"/>
        </w:rPr>
      </w:pPr>
    </w:p>
    <w:p w14:paraId="2DA5D63E">
      <w:pPr>
        <w:spacing w:line="360" w:lineRule="auto"/>
        <w:ind w:firstLine="1193" w:firstLineChars="396"/>
        <w:jc w:val="left"/>
        <w:rPr>
          <w:rFonts w:ascii="黑体" w:hAnsi="黑体" w:eastAsia="黑体"/>
          <w:b/>
          <w:color w:val="000000"/>
          <w:sz w:val="30"/>
          <w:szCs w:val="30"/>
        </w:rPr>
      </w:pPr>
    </w:p>
    <w:p w14:paraId="4E18CA76">
      <w:pPr>
        <w:spacing w:line="360" w:lineRule="auto"/>
        <w:ind w:firstLine="1193" w:firstLineChars="396"/>
        <w:jc w:val="left"/>
        <w:rPr>
          <w:rFonts w:ascii="黑体" w:hAnsi="黑体" w:eastAsia="黑体"/>
          <w:b/>
          <w:color w:val="000000"/>
          <w:sz w:val="30"/>
          <w:szCs w:val="30"/>
        </w:rPr>
      </w:pPr>
    </w:p>
    <w:p w14:paraId="281BE4B7">
      <w:pPr>
        <w:spacing w:line="360" w:lineRule="auto"/>
        <w:jc w:val="center"/>
        <w:rPr>
          <w:rFonts w:ascii="黑体" w:hAnsi="黑体" w:eastAsia="黑体"/>
          <w:b/>
          <w:color w:val="000000"/>
          <w:sz w:val="30"/>
          <w:szCs w:val="30"/>
        </w:rPr>
      </w:pPr>
      <w:r>
        <w:rPr>
          <w:rFonts w:hint="eastAsia" w:ascii="黑体" w:hAnsi="黑体" w:eastAsia="黑体"/>
          <w:b/>
          <w:color w:val="000000"/>
          <w:sz w:val="30"/>
          <w:szCs w:val="30"/>
        </w:rPr>
        <w:t>华南理工大学</w:t>
      </w:r>
    </w:p>
    <w:p w14:paraId="5121FDC5">
      <w:pPr>
        <w:spacing w:line="360" w:lineRule="auto"/>
        <w:jc w:val="center"/>
        <w:rPr>
          <w:rFonts w:ascii="黑体" w:hAnsi="黑体" w:eastAsia="黑体"/>
          <w:b/>
          <w:color w:val="000000"/>
          <w:sz w:val="30"/>
          <w:szCs w:val="30"/>
        </w:rPr>
      </w:pPr>
      <w:r>
        <w:rPr>
          <w:rFonts w:hint="eastAsia" w:ascii="黑体" w:hAnsi="黑体" w:eastAsia="黑体"/>
          <w:b/>
          <w:color w:val="000000"/>
          <w:sz w:val="30"/>
          <w:szCs w:val="30"/>
        </w:rPr>
        <w:t>二〇二五年</w:t>
      </w:r>
      <w:r>
        <w:rPr>
          <w:rFonts w:hint="eastAsia" w:ascii="黑体" w:hAnsi="黑体" w:eastAsia="黑体"/>
          <w:b/>
          <w:color w:val="000000"/>
          <w:sz w:val="30"/>
          <w:szCs w:val="30"/>
          <w:lang w:val="en-US" w:eastAsia="zh-CN"/>
        </w:rPr>
        <w:t>三</w:t>
      </w:r>
      <w:r>
        <w:rPr>
          <w:rFonts w:hint="eastAsia" w:ascii="黑体" w:hAnsi="黑体" w:eastAsia="黑体"/>
          <w:b/>
          <w:color w:val="000000"/>
          <w:sz w:val="30"/>
          <w:szCs w:val="30"/>
        </w:rPr>
        <w:t>月</w:t>
      </w:r>
    </w:p>
    <w:p w14:paraId="20115EBD"/>
    <w:p w14:paraId="764F1101">
      <w:pPr>
        <w:sectPr>
          <w:headerReference r:id="rId3" w:type="default"/>
          <w:footerReference r:id="rId4" w:type="default"/>
          <w:footerReference r:id="rId5" w:type="even"/>
          <w:pgSz w:w="11906" w:h="16838"/>
          <w:pgMar w:top="1418" w:right="1418" w:bottom="1418" w:left="1418" w:header="851" w:footer="992" w:gutter="0"/>
          <w:pgBorders w:offsetFrom="page">
            <w:top w:val="single" w:color="auto" w:sz="4" w:space="24"/>
            <w:left w:val="single" w:color="auto" w:sz="4" w:space="24"/>
            <w:bottom w:val="single" w:color="auto" w:sz="4" w:space="24"/>
            <w:right w:val="single" w:color="auto" w:sz="4" w:space="24"/>
          </w:pgBorders>
          <w:pgNumType w:start="0"/>
          <w:cols w:space="720" w:num="1"/>
          <w:docGrid w:type="lines" w:linePitch="312" w:charSpace="0"/>
        </w:sectPr>
      </w:pPr>
    </w:p>
    <w:p w14:paraId="316A71F3">
      <w:pPr>
        <w:jc w:val="center"/>
        <w:rPr>
          <w:rFonts w:eastAsia="华文中宋"/>
          <w:b/>
          <w:bCs/>
          <w:color w:val="000000"/>
          <w:kern w:val="44"/>
          <w:sz w:val="32"/>
          <w:szCs w:val="32"/>
        </w:rPr>
      </w:pPr>
      <w:r>
        <w:rPr>
          <w:rFonts w:hint="eastAsia"/>
          <w:b/>
          <w:color w:val="000000"/>
          <w:sz w:val="32"/>
          <w:szCs w:val="32"/>
        </w:rPr>
        <w:t>目录</w:t>
      </w:r>
    </w:p>
    <w:p w14:paraId="5BA2420E">
      <w:pPr>
        <w:pStyle w:val="30"/>
        <w:tabs>
          <w:tab w:val="right" w:leader="dot" w:pos="9060"/>
        </w:tabs>
        <w:spacing w:line="276" w:lineRule="auto"/>
        <w:rPr>
          <w:rFonts w:ascii="宋体" w:hAnsi="宋体" w:cstheme="minorBidi"/>
          <w:b w:val="0"/>
          <w:bCs w:val="0"/>
          <w:caps w:val="0"/>
          <w:sz w:val="28"/>
          <w:szCs w:val="32"/>
        </w:rPr>
      </w:pPr>
      <w:r>
        <w:rPr>
          <w:rFonts w:ascii="宋体" w:hAnsi="宋体"/>
          <w:bCs w:val="0"/>
          <w:caps w:val="0"/>
          <w:sz w:val="40"/>
          <w:szCs w:val="40"/>
        </w:rPr>
        <w:fldChar w:fldCharType="begin"/>
      </w:r>
      <w:r>
        <w:rPr>
          <w:rFonts w:ascii="宋体" w:hAnsi="宋体"/>
          <w:bCs w:val="0"/>
          <w:caps w:val="0"/>
          <w:sz w:val="40"/>
          <w:szCs w:val="40"/>
        </w:rPr>
        <w:instrText xml:space="preserve">TOC \o "1-3" \h \u </w:instrText>
      </w:r>
      <w:r>
        <w:rPr>
          <w:rFonts w:ascii="宋体" w:hAnsi="宋体"/>
          <w:bCs w:val="0"/>
          <w:caps w:val="0"/>
          <w:sz w:val="40"/>
          <w:szCs w:val="40"/>
        </w:rPr>
        <w:fldChar w:fldCharType="separate"/>
      </w:r>
      <w:r>
        <w:fldChar w:fldCharType="begin"/>
      </w:r>
      <w:r>
        <w:instrText xml:space="preserve"> HYPERLINK \l "_Toc168047413" </w:instrText>
      </w:r>
      <w:r>
        <w:fldChar w:fldCharType="separate"/>
      </w:r>
      <w:r>
        <w:rPr>
          <w:rStyle w:val="48"/>
          <w:rFonts w:ascii="宋体" w:hAnsi="宋体" w:cs="Times New Roman"/>
          <w:kern w:val="44"/>
          <w:sz w:val="24"/>
          <w:szCs w:val="24"/>
        </w:rPr>
        <w:t>第一章项目概况</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_Toc168047413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7ACCF790">
      <w:pPr>
        <w:pStyle w:val="34"/>
        <w:tabs>
          <w:tab w:val="right" w:leader="dot" w:pos="9060"/>
        </w:tabs>
        <w:spacing w:line="276" w:lineRule="auto"/>
        <w:rPr>
          <w:rFonts w:ascii="宋体" w:hAnsi="宋体" w:cstheme="minorBidi"/>
          <w:smallCaps w:val="0"/>
          <w:sz w:val="28"/>
          <w:szCs w:val="32"/>
        </w:rPr>
      </w:pPr>
      <w:r>
        <w:fldChar w:fldCharType="begin"/>
      </w:r>
      <w:r>
        <w:instrText xml:space="preserve"> HYPERLINK \l "_Toc168047414" </w:instrText>
      </w:r>
      <w:r>
        <w:fldChar w:fldCharType="separate"/>
      </w:r>
      <w:r>
        <w:rPr>
          <w:rStyle w:val="48"/>
          <w:rFonts w:ascii="宋体" w:hAnsi="宋体" w:cs="Times New Roman"/>
          <w:bCs/>
          <w:kern w:val="0"/>
          <w:sz w:val="24"/>
          <w:szCs w:val="24"/>
        </w:rPr>
        <w:t>1.1 项目基本信息</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_Toc168047414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24423F68">
      <w:pPr>
        <w:pStyle w:val="34"/>
        <w:tabs>
          <w:tab w:val="right" w:leader="dot" w:pos="9060"/>
        </w:tabs>
        <w:spacing w:line="276" w:lineRule="auto"/>
        <w:rPr>
          <w:rFonts w:ascii="宋体" w:hAnsi="宋体" w:cstheme="minorBidi"/>
          <w:smallCaps w:val="0"/>
          <w:sz w:val="28"/>
          <w:szCs w:val="32"/>
        </w:rPr>
      </w:pPr>
      <w:r>
        <w:fldChar w:fldCharType="begin"/>
      </w:r>
      <w:r>
        <w:instrText xml:space="preserve"> HYPERLINK \l "_Toc168047415" </w:instrText>
      </w:r>
      <w:r>
        <w:fldChar w:fldCharType="separate"/>
      </w:r>
      <w:r>
        <w:rPr>
          <w:rStyle w:val="48"/>
          <w:rFonts w:ascii="宋体" w:hAnsi="宋体" w:cs="Times New Roman"/>
          <w:bCs/>
          <w:kern w:val="0"/>
          <w:sz w:val="24"/>
          <w:szCs w:val="24"/>
        </w:rPr>
        <w:t>1.2项目建设范围及勘察设计范围</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_Toc168047415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1C87486F">
      <w:pPr>
        <w:pStyle w:val="34"/>
        <w:tabs>
          <w:tab w:val="right" w:leader="dot" w:pos="9060"/>
        </w:tabs>
        <w:spacing w:line="276" w:lineRule="auto"/>
        <w:rPr>
          <w:rFonts w:ascii="宋体" w:hAnsi="宋体" w:cstheme="minorBidi"/>
          <w:smallCaps w:val="0"/>
          <w:sz w:val="28"/>
          <w:szCs w:val="32"/>
        </w:rPr>
      </w:pPr>
      <w:r>
        <w:fldChar w:fldCharType="begin"/>
      </w:r>
      <w:r>
        <w:instrText xml:space="preserve"> HYPERLINK \l "_Toc168047416" </w:instrText>
      </w:r>
      <w:r>
        <w:fldChar w:fldCharType="separate"/>
      </w:r>
      <w:r>
        <w:rPr>
          <w:rStyle w:val="48"/>
          <w:rFonts w:ascii="宋体" w:hAnsi="宋体" w:cs="Times New Roman"/>
          <w:bCs/>
          <w:kern w:val="0"/>
          <w:sz w:val="24"/>
          <w:szCs w:val="24"/>
        </w:rPr>
        <w:t>1.2.1项目建设范围</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_Toc168047416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0CF28106">
      <w:pPr>
        <w:pStyle w:val="34"/>
        <w:tabs>
          <w:tab w:val="right" w:leader="dot" w:pos="9060"/>
        </w:tabs>
        <w:spacing w:line="276" w:lineRule="auto"/>
        <w:rPr>
          <w:rFonts w:ascii="宋体" w:hAnsi="宋体" w:cstheme="minorBidi"/>
          <w:smallCaps w:val="0"/>
          <w:sz w:val="28"/>
          <w:szCs w:val="32"/>
        </w:rPr>
      </w:pPr>
      <w:r>
        <w:fldChar w:fldCharType="begin"/>
      </w:r>
      <w:r>
        <w:instrText xml:space="preserve"> HYPERLINK \l "_Toc168047417" </w:instrText>
      </w:r>
      <w:r>
        <w:fldChar w:fldCharType="separate"/>
      </w:r>
      <w:r>
        <w:rPr>
          <w:rStyle w:val="48"/>
          <w:rFonts w:ascii="宋体" w:hAnsi="宋体" w:cs="Times New Roman"/>
          <w:bCs/>
          <w:kern w:val="0"/>
          <w:sz w:val="24"/>
          <w:szCs w:val="24"/>
        </w:rPr>
        <w:t>1.2.1项目勘察设计范围</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_Toc168047417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4E4C8D95">
      <w:pPr>
        <w:pStyle w:val="34"/>
        <w:tabs>
          <w:tab w:val="right" w:leader="dot" w:pos="9060"/>
        </w:tabs>
        <w:spacing w:line="276" w:lineRule="auto"/>
        <w:rPr>
          <w:rFonts w:ascii="宋体" w:hAnsi="宋体" w:cstheme="minorBidi"/>
          <w:smallCaps w:val="0"/>
          <w:sz w:val="28"/>
          <w:szCs w:val="32"/>
        </w:rPr>
      </w:pPr>
      <w:r>
        <w:fldChar w:fldCharType="begin"/>
      </w:r>
      <w:r>
        <w:instrText xml:space="preserve"> HYPERLINK \l "_Toc168047418" </w:instrText>
      </w:r>
      <w:r>
        <w:fldChar w:fldCharType="separate"/>
      </w:r>
      <w:r>
        <w:rPr>
          <w:rStyle w:val="48"/>
          <w:rFonts w:ascii="宋体" w:hAnsi="宋体" w:cs="Times New Roman"/>
          <w:bCs/>
          <w:kern w:val="0"/>
          <w:sz w:val="24"/>
          <w:szCs w:val="24"/>
        </w:rPr>
        <w:t>1.3 建设用地现状情况</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_Toc168047418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69E07521">
      <w:pPr>
        <w:pStyle w:val="34"/>
        <w:tabs>
          <w:tab w:val="right" w:leader="dot" w:pos="9060"/>
        </w:tabs>
        <w:spacing w:line="276" w:lineRule="auto"/>
        <w:rPr>
          <w:rFonts w:ascii="宋体" w:hAnsi="宋体" w:cstheme="minorBidi"/>
          <w:smallCaps w:val="0"/>
          <w:sz w:val="28"/>
          <w:szCs w:val="32"/>
        </w:rPr>
      </w:pPr>
      <w:r>
        <w:fldChar w:fldCharType="begin"/>
      </w:r>
      <w:r>
        <w:instrText xml:space="preserve"> HYPERLINK \l "_Toc168047419" </w:instrText>
      </w:r>
      <w:r>
        <w:fldChar w:fldCharType="separate"/>
      </w:r>
      <w:r>
        <w:rPr>
          <w:rStyle w:val="48"/>
          <w:rFonts w:ascii="宋体" w:hAnsi="宋体" w:cs="Times New Roman"/>
          <w:bCs/>
          <w:kern w:val="0"/>
          <w:sz w:val="24"/>
          <w:szCs w:val="24"/>
        </w:rPr>
        <w:t>2.1设计原则</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_Toc168047419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62FA5152">
      <w:pPr>
        <w:pStyle w:val="34"/>
        <w:tabs>
          <w:tab w:val="right" w:leader="dot" w:pos="9060"/>
        </w:tabs>
        <w:spacing w:line="276" w:lineRule="auto"/>
        <w:rPr>
          <w:rFonts w:ascii="宋体" w:hAnsi="宋体" w:cstheme="minorBidi"/>
          <w:smallCaps w:val="0"/>
          <w:sz w:val="28"/>
          <w:szCs w:val="32"/>
        </w:rPr>
      </w:pPr>
      <w:r>
        <w:fldChar w:fldCharType="begin"/>
      </w:r>
      <w:r>
        <w:instrText xml:space="preserve"> HYPERLINK \l "_Toc168047420" </w:instrText>
      </w:r>
      <w:r>
        <w:fldChar w:fldCharType="separate"/>
      </w:r>
      <w:r>
        <w:rPr>
          <w:rStyle w:val="48"/>
          <w:rFonts w:ascii="宋体" w:hAnsi="宋体" w:cs="Times New Roman"/>
          <w:bCs/>
          <w:kern w:val="0"/>
          <w:sz w:val="24"/>
          <w:szCs w:val="24"/>
        </w:rPr>
        <w:t>2.2勘察设计内容</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_Toc168047420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380EAAEE">
      <w:pPr>
        <w:pStyle w:val="30"/>
        <w:tabs>
          <w:tab w:val="right" w:leader="dot" w:pos="9060"/>
        </w:tabs>
        <w:spacing w:line="276" w:lineRule="auto"/>
        <w:rPr>
          <w:rFonts w:ascii="宋体" w:hAnsi="宋体" w:cstheme="minorBidi"/>
          <w:b w:val="0"/>
          <w:bCs w:val="0"/>
          <w:caps w:val="0"/>
          <w:sz w:val="28"/>
          <w:szCs w:val="32"/>
        </w:rPr>
      </w:pPr>
      <w:r>
        <w:fldChar w:fldCharType="begin"/>
      </w:r>
      <w:r>
        <w:instrText xml:space="preserve"> HYPERLINK \l "_Toc168047421" </w:instrText>
      </w:r>
      <w:r>
        <w:fldChar w:fldCharType="separate"/>
      </w:r>
      <w:r>
        <w:rPr>
          <w:rStyle w:val="48"/>
          <w:rFonts w:ascii="宋体" w:hAnsi="宋体"/>
          <w:sz w:val="24"/>
          <w:szCs w:val="24"/>
        </w:rPr>
        <w:t>第三章勘察设计要求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_Toc168047421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25C034C5">
      <w:pPr>
        <w:pStyle w:val="34"/>
        <w:tabs>
          <w:tab w:val="right" w:leader="dot" w:pos="9060"/>
        </w:tabs>
        <w:spacing w:line="276" w:lineRule="auto"/>
        <w:rPr>
          <w:rFonts w:ascii="宋体" w:hAnsi="宋体" w:cstheme="minorBidi"/>
          <w:smallCaps w:val="0"/>
          <w:sz w:val="28"/>
          <w:szCs w:val="32"/>
        </w:rPr>
      </w:pPr>
      <w:r>
        <w:fldChar w:fldCharType="begin"/>
      </w:r>
      <w:r>
        <w:instrText xml:space="preserve"> HYPERLINK \l "_Toc168047422" </w:instrText>
      </w:r>
      <w:r>
        <w:fldChar w:fldCharType="separate"/>
      </w:r>
      <w:r>
        <w:rPr>
          <w:rStyle w:val="48"/>
          <w:rFonts w:ascii="宋体" w:hAnsi="宋体"/>
          <w:sz w:val="24"/>
          <w:szCs w:val="24"/>
        </w:rPr>
        <w:t>3.1 勘察设计总体要求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_Toc168047422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59B527E8">
      <w:pPr>
        <w:pStyle w:val="34"/>
        <w:tabs>
          <w:tab w:val="right" w:leader="dot" w:pos="9060"/>
        </w:tabs>
        <w:spacing w:line="276" w:lineRule="auto"/>
        <w:rPr>
          <w:rFonts w:ascii="宋体" w:hAnsi="宋体" w:cstheme="minorBidi"/>
          <w:smallCaps w:val="0"/>
          <w:sz w:val="28"/>
          <w:szCs w:val="32"/>
        </w:rPr>
      </w:pPr>
      <w:r>
        <w:fldChar w:fldCharType="begin"/>
      </w:r>
      <w:r>
        <w:instrText xml:space="preserve"> HYPERLINK \l "_Toc168047423" </w:instrText>
      </w:r>
      <w:r>
        <w:fldChar w:fldCharType="separate"/>
      </w:r>
      <w:r>
        <w:rPr>
          <w:rStyle w:val="48"/>
          <w:rFonts w:ascii="宋体" w:hAnsi="宋体"/>
          <w:sz w:val="24"/>
          <w:szCs w:val="24"/>
        </w:rPr>
        <w:t>3.2 勘察工作要求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_Toc168047423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15C8CDEB">
      <w:pPr>
        <w:pStyle w:val="34"/>
        <w:tabs>
          <w:tab w:val="right" w:leader="dot" w:pos="9060"/>
        </w:tabs>
        <w:spacing w:line="276" w:lineRule="auto"/>
        <w:rPr>
          <w:rFonts w:ascii="宋体" w:hAnsi="宋体" w:cstheme="minorBidi"/>
          <w:smallCaps w:val="0"/>
          <w:sz w:val="28"/>
          <w:szCs w:val="32"/>
        </w:rPr>
      </w:pPr>
      <w:r>
        <w:fldChar w:fldCharType="begin"/>
      </w:r>
      <w:r>
        <w:instrText xml:space="preserve"> HYPERLINK \l "_Toc168047424" </w:instrText>
      </w:r>
      <w:r>
        <w:fldChar w:fldCharType="separate"/>
      </w:r>
      <w:r>
        <w:rPr>
          <w:rStyle w:val="48"/>
          <w:rFonts w:ascii="宋体" w:hAnsi="宋体"/>
          <w:sz w:val="24"/>
          <w:szCs w:val="24"/>
        </w:rPr>
        <w:t>3.3 设计工作要求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_Toc168047424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539073A8">
      <w:pPr>
        <w:pStyle w:val="30"/>
        <w:tabs>
          <w:tab w:val="right" w:leader="dot" w:pos="9060"/>
        </w:tabs>
        <w:spacing w:line="276" w:lineRule="auto"/>
        <w:rPr>
          <w:rFonts w:ascii="宋体" w:hAnsi="宋体" w:cstheme="minorBidi"/>
          <w:b w:val="0"/>
          <w:bCs w:val="0"/>
          <w:caps w:val="0"/>
          <w:sz w:val="28"/>
          <w:szCs w:val="32"/>
        </w:rPr>
      </w:pPr>
      <w:r>
        <w:fldChar w:fldCharType="begin"/>
      </w:r>
      <w:r>
        <w:instrText xml:space="preserve"> HYPERLINK \l "_Toc168047425" </w:instrText>
      </w:r>
      <w:r>
        <w:fldChar w:fldCharType="separate"/>
      </w:r>
      <w:r>
        <w:rPr>
          <w:rStyle w:val="48"/>
          <w:rFonts w:ascii="宋体" w:hAnsi="宋体"/>
          <w:sz w:val="24"/>
          <w:szCs w:val="24"/>
        </w:rPr>
        <w:t>第四章勘察设计人员组织管理要求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_Toc168047425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67B1D237">
      <w:pPr>
        <w:pStyle w:val="30"/>
        <w:tabs>
          <w:tab w:val="right" w:leader="dot" w:pos="9060"/>
        </w:tabs>
        <w:spacing w:line="276" w:lineRule="auto"/>
        <w:rPr>
          <w:rFonts w:ascii="宋体" w:hAnsi="宋体" w:cstheme="minorBidi"/>
          <w:b w:val="0"/>
          <w:bCs w:val="0"/>
          <w:caps w:val="0"/>
          <w:sz w:val="28"/>
          <w:szCs w:val="32"/>
        </w:rPr>
      </w:pPr>
      <w:r>
        <w:fldChar w:fldCharType="begin"/>
      </w:r>
      <w:r>
        <w:instrText xml:space="preserve"> HYPERLINK \l "_Toc168047426" </w:instrText>
      </w:r>
      <w:r>
        <w:fldChar w:fldCharType="separate"/>
      </w:r>
      <w:r>
        <w:rPr>
          <w:rStyle w:val="48"/>
          <w:rFonts w:ascii="宋体" w:hAnsi="宋体"/>
          <w:sz w:val="24"/>
          <w:szCs w:val="24"/>
        </w:rPr>
        <w:t>第五章勘察设计成果提交要求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_Toc168047426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2BDA6E2F">
      <w:pPr>
        <w:pStyle w:val="34"/>
        <w:tabs>
          <w:tab w:val="right" w:leader="dot" w:pos="9060"/>
        </w:tabs>
        <w:spacing w:line="276" w:lineRule="auto"/>
        <w:rPr>
          <w:rFonts w:ascii="宋体" w:hAnsi="宋体" w:cstheme="minorBidi"/>
          <w:smallCaps w:val="0"/>
          <w:sz w:val="28"/>
          <w:szCs w:val="32"/>
        </w:rPr>
      </w:pPr>
      <w:r>
        <w:fldChar w:fldCharType="begin"/>
      </w:r>
      <w:r>
        <w:instrText xml:space="preserve"> HYPERLINK \l "_Toc168047427" </w:instrText>
      </w:r>
      <w:r>
        <w:fldChar w:fldCharType="separate"/>
      </w:r>
      <w:r>
        <w:rPr>
          <w:rStyle w:val="48"/>
          <w:rFonts w:ascii="宋体" w:hAnsi="宋体"/>
          <w:sz w:val="24"/>
          <w:szCs w:val="24"/>
        </w:rPr>
        <w:t>5.1通用要求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_Toc168047427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75C1D19F">
      <w:pPr>
        <w:pStyle w:val="34"/>
        <w:tabs>
          <w:tab w:val="right" w:leader="dot" w:pos="9060"/>
        </w:tabs>
        <w:spacing w:line="276" w:lineRule="auto"/>
        <w:rPr>
          <w:rFonts w:ascii="宋体" w:hAnsi="宋体" w:cstheme="minorBidi"/>
          <w:smallCaps w:val="0"/>
          <w:sz w:val="28"/>
          <w:szCs w:val="32"/>
        </w:rPr>
      </w:pPr>
      <w:r>
        <w:fldChar w:fldCharType="begin"/>
      </w:r>
      <w:r>
        <w:instrText xml:space="preserve"> HYPERLINK \l "_Toc168047428" </w:instrText>
      </w:r>
      <w:r>
        <w:fldChar w:fldCharType="separate"/>
      </w:r>
      <w:r>
        <w:rPr>
          <w:rStyle w:val="48"/>
          <w:rFonts w:ascii="宋体" w:hAnsi="宋体"/>
          <w:sz w:val="24"/>
          <w:szCs w:val="24"/>
        </w:rPr>
        <w:t>5.2竞标成果具体内容和要求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_Toc168047428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2793A4B8">
      <w:pPr>
        <w:pStyle w:val="34"/>
        <w:tabs>
          <w:tab w:val="right" w:leader="dot" w:pos="9060"/>
        </w:tabs>
        <w:spacing w:line="276" w:lineRule="auto"/>
        <w:rPr>
          <w:rFonts w:ascii="宋体" w:hAnsi="宋体" w:cstheme="minorBidi"/>
          <w:smallCaps w:val="0"/>
          <w:sz w:val="28"/>
          <w:szCs w:val="32"/>
        </w:rPr>
      </w:pPr>
      <w:r>
        <w:fldChar w:fldCharType="begin"/>
      </w:r>
      <w:r>
        <w:instrText xml:space="preserve"> HYPERLINK \l "_Toc168047429" </w:instrText>
      </w:r>
      <w:r>
        <w:fldChar w:fldCharType="separate"/>
      </w:r>
      <w:r>
        <w:rPr>
          <w:rStyle w:val="48"/>
          <w:rFonts w:ascii="宋体" w:hAnsi="宋体"/>
          <w:sz w:val="24"/>
          <w:szCs w:val="24"/>
        </w:rPr>
        <w:t>5.3实施阶段设计成果要求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_Toc168047429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6622E64E">
      <w:pPr>
        <w:pStyle w:val="34"/>
        <w:tabs>
          <w:tab w:val="right" w:leader="dot" w:pos="9060"/>
        </w:tabs>
        <w:spacing w:line="276" w:lineRule="auto"/>
        <w:rPr>
          <w:rFonts w:ascii="宋体" w:hAnsi="宋体" w:cstheme="minorBidi"/>
          <w:smallCaps w:val="0"/>
          <w:sz w:val="28"/>
          <w:szCs w:val="32"/>
        </w:rPr>
      </w:pPr>
      <w:r>
        <w:fldChar w:fldCharType="begin"/>
      </w:r>
      <w:r>
        <w:instrText xml:space="preserve"> HYPERLINK \l "_Toc168047430" </w:instrText>
      </w:r>
      <w:r>
        <w:fldChar w:fldCharType="separate"/>
      </w:r>
      <w:r>
        <w:rPr>
          <w:rStyle w:val="48"/>
          <w:rFonts w:ascii="宋体" w:hAnsi="宋体"/>
          <w:sz w:val="24"/>
          <w:szCs w:val="24"/>
        </w:rPr>
        <w:t>5.4提交设计资料要求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_Toc168047430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63EA38C4">
      <w:pPr>
        <w:pStyle w:val="30"/>
        <w:tabs>
          <w:tab w:val="right" w:leader="dot" w:pos="9060"/>
        </w:tabs>
        <w:spacing w:line="276" w:lineRule="auto"/>
        <w:rPr>
          <w:rFonts w:ascii="宋体" w:hAnsi="宋体" w:cstheme="minorBidi"/>
          <w:b w:val="0"/>
          <w:bCs w:val="0"/>
          <w:caps w:val="0"/>
          <w:sz w:val="28"/>
          <w:szCs w:val="32"/>
        </w:rPr>
      </w:pPr>
      <w:r>
        <w:fldChar w:fldCharType="begin"/>
      </w:r>
      <w:r>
        <w:instrText xml:space="preserve"> HYPERLINK \l "_Toc168047431" </w:instrText>
      </w:r>
      <w:r>
        <w:fldChar w:fldCharType="separate"/>
      </w:r>
      <w:r>
        <w:rPr>
          <w:rStyle w:val="48"/>
          <w:rFonts w:ascii="宋体" w:hAnsi="宋体"/>
          <w:sz w:val="24"/>
          <w:szCs w:val="24"/>
        </w:rPr>
        <w:t>第六章附则</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_Toc168047431 \h </w:instrText>
      </w:r>
      <w:r>
        <w:rPr>
          <w:rFonts w:ascii="宋体" w:hAnsi="宋体"/>
          <w:sz w:val="24"/>
          <w:szCs w:val="24"/>
        </w:rPr>
        <w:fldChar w:fldCharType="separate"/>
      </w:r>
      <w:r>
        <w:rPr>
          <w:rFonts w:ascii="宋体" w:hAnsi="宋体"/>
          <w:sz w:val="24"/>
          <w:szCs w:val="24"/>
        </w:rPr>
        <w:t>0</w:t>
      </w:r>
      <w:r>
        <w:rPr>
          <w:rFonts w:ascii="宋体" w:hAnsi="宋体"/>
          <w:sz w:val="24"/>
          <w:szCs w:val="24"/>
        </w:rPr>
        <w:fldChar w:fldCharType="end"/>
      </w:r>
      <w:r>
        <w:rPr>
          <w:rFonts w:ascii="宋体" w:hAnsi="宋体"/>
          <w:sz w:val="24"/>
          <w:szCs w:val="24"/>
        </w:rPr>
        <w:fldChar w:fldCharType="end"/>
      </w:r>
    </w:p>
    <w:p w14:paraId="2B90AFC4">
      <w:pPr>
        <w:pStyle w:val="30"/>
        <w:tabs>
          <w:tab w:val="right" w:leader="dot" w:pos="9070"/>
        </w:tabs>
        <w:spacing w:line="276" w:lineRule="auto"/>
        <w:rPr>
          <w:color w:val="000000"/>
        </w:rPr>
      </w:pPr>
      <w:r>
        <w:rPr>
          <w:rFonts w:ascii="宋体" w:hAnsi="宋体"/>
          <w:bCs w:val="0"/>
          <w:caps w:val="0"/>
          <w:sz w:val="40"/>
          <w:szCs w:val="40"/>
        </w:rPr>
        <w:fldChar w:fldCharType="end"/>
      </w:r>
    </w:p>
    <w:p w14:paraId="68B3AFA4">
      <w:pPr>
        <w:jc w:val="center"/>
        <w:rPr>
          <w:rFonts w:ascii="Calibri" w:hAnsi="Calibri" w:cs="Calibri"/>
          <w:color w:val="000000"/>
          <w:szCs w:val="20"/>
        </w:rPr>
      </w:pPr>
    </w:p>
    <w:p w14:paraId="506624AF">
      <w:pPr>
        <w:jc w:val="center"/>
        <w:rPr>
          <w:rFonts w:ascii="Calibri" w:hAnsi="Calibri" w:cs="Calibri"/>
          <w:color w:val="000000"/>
          <w:szCs w:val="20"/>
        </w:rPr>
      </w:pPr>
    </w:p>
    <w:p w14:paraId="799A1BF2">
      <w:pPr>
        <w:jc w:val="center"/>
        <w:rPr>
          <w:rFonts w:ascii="Calibri" w:hAnsi="Calibri" w:cs="Calibri"/>
          <w:color w:val="000000"/>
          <w:szCs w:val="20"/>
        </w:rPr>
      </w:pPr>
    </w:p>
    <w:p w14:paraId="282F12F8">
      <w:pPr>
        <w:jc w:val="center"/>
        <w:rPr>
          <w:rFonts w:ascii="Calibri" w:hAnsi="Calibri" w:cs="Calibri"/>
          <w:color w:val="000000"/>
          <w:szCs w:val="20"/>
        </w:rPr>
      </w:pPr>
    </w:p>
    <w:p w14:paraId="30F777E8">
      <w:pPr>
        <w:jc w:val="center"/>
        <w:rPr>
          <w:rFonts w:ascii="Calibri" w:hAnsi="Calibri" w:cs="Calibri"/>
          <w:color w:val="000000"/>
          <w:szCs w:val="20"/>
        </w:rPr>
      </w:pPr>
    </w:p>
    <w:p w14:paraId="20BFC185">
      <w:pPr>
        <w:jc w:val="center"/>
        <w:rPr>
          <w:rFonts w:ascii="Calibri" w:hAnsi="Calibri" w:cs="Calibri"/>
          <w:color w:val="000000"/>
          <w:szCs w:val="20"/>
        </w:rPr>
      </w:pPr>
    </w:p>
    <w:p w14:paraId="776FD4AB">
      <w:pPr>
        <w:jc w:val="center"/>
        <w:rPr>
          <w:rFonts w:ascii="Calibri" w:hAnsi="Calibri" w:cs="Calibri"/>
          <w:color w:val="000000"/>
          <w:szCs w:val="20"/>
        </w:rPr>
      </w:pPr>
    </w:p>
    <w:p w14:paraId="183E9DA8">
      <w:pPr>
        <w:jc w:val="center"/>
        <w:rPr>
          <w:rFonts w:ascii="Calibri" w:hAnsi="Calibri" w:cs="Calibri"/>
          <w:color w:val="000000"/>
          <w:szCs w:val="20"/>
        </w:rPr>
      </w:pPr>
    </w:p>
    <w:p w14:paraId="3533017C">
      <w:pPr>
        <w:jc w:val="center"/>
        <w:rPr>
          <w:rFonts w:ascii="Calibri" w:hAnsi="Calibri" w:cs="Calibri"/>
          <w:color w:val="000000"/>
          <w:szCs w:val="20"/>
        </w:rPr>
      </w:pPr>
    </w:p>
    <w:p w14:paraId="00CCC885">
      <w:pPr>
        <w:jc w:val="center"/>
        <w:rPr>
          <w:rFonts w:ascii="Calibri" w:hAnsi="Calibri" w:cs="Calibri"/>
          <w:color w:val="000000"/>
          <w:szCs w:val="20"/>
        </w:rPr>
      </w:pPr>
    </w:p>
    <w:p w14:paraId="4B353AF5">
      <w:pPr>
        <w:jc w:val="center"/>
        <w:rPr>
          <w:rFonts w:ascii="Calibri" w:hAnsi="Calibri" w:cs="Calibri"/>
          <w:color w:val="000000"/>
          <w:szCs w:val="20"/>
        </w:rPr>
      </w:pPr>
    </w:p>
    <w:p w14:paraId="54239C06">
      <w:pPr>
        <w:jc w:val="center"/>
        <w:rPr>
          <w:rFonts w:eastAsia="华文中宋"/>
          <w:b/>
          <w:bCs/>
          <w:color w:val="000000"/>
          <w:kern w:val="44"/>
          <w:sz w:val="32"/>
          <w:szCs w:val="32"/>
        </w:rPr>
      </w:pPr>
    </w:p>
    <w:p w14:paraId="7525815F">
      <w:pPr>
        <w:keepNext/>
        <w:keepLines/>
        <w:spacing w:before="340" w:after="330" w:line="578" w:lineRule="auto"/>
        <w:jc w:val="center"/>
        <w:outlineLvl w:val="0"/>
        <w:rPr>
          <w:rFonts w:ascii="Times New Roman" w:hAnsi="Times New Roman" w:eastAsia="华文中宋" w:cs="Times New Roman"/>
          <w:b/>
          <w:bCs/>
          <w:color w:val="000000"/>
          <w:kern w:val="44"/>
          <w:sz w:val="44"/>
          <w:szCs w:val="44"/>
        </w:rPr>
      </w:pPr>
      <w:bookmarkStart w:id="0" w:name="_Toc168047413"/>
      <w:r>
        <w:rPr>
          <w:rFonts w:hint="eastAsia" w:ascii="Times New Roman" w:hAnsi="Times New Roman" w:eastAsia="华文中宋" w:cs="Times New Roman"/>
          <w:b/>
          <w:bCs/>
          <w:color w:val="000000"/>
          <w:kern w:val="44"/>
          <w:sz w:val="44"/>
          <w:szCs w:val="44"/>
        </w:rPr>
        <w:t>第一章项目概况</w:t>
      </w:r>
      <w:bookmarkEnd w:id="0"/>
    </w:p>
    <w:p w14:paraId="3AE108A2">
      <w:pPr>
        <w:keepNext/>
        <w:keepLines/>
        <w:spacing w:before="120" w:beforeLines="50" w:after="120" w:afterLines="50"/>
        <w:contextualSpacing/>
        <w:outlineLvl w:val="1"/>
        <w:rPr>
          <w:rFonts w:ascii="宋体" w:hAnsi="宋体" w:eastAsia="黑体" w:cs="Times New Roman"/>
          <w:bCs/>
          <w:kern w:val="0"/>
          <w:sz w:val="28"/>
          <w:szCs w:val="32"/>
        </w:rPr>
      </w:pPr>
      <w:bookmarkStart w:id="1" w:name="_Toc452973677"/>
      <w:bookmarkStart w:id="2" w:name="_Toc452558297"/>
      <w:bookmarkStart w:id="3" w:name="_Toc452558093"/>
      <w:bookmarkStart w:id="4" w:name="_Toc168047414"/>
      <w:r>
        <w:rPr>
          <w:rFonts w:hint="eastAsia" w:ascii="宋体" w:hAnsi="宋体" w:eastAsia="黑体" w:cs="Times New Roman"/>
          <w:bCs/>
          <w:kern w:val="0"/>
          <w:sz w:val="28"/>
          <w:szCs w:val="32"/>
        </w:rPr>
        <w:t>1.1 项目基本信息</w:t>
      </w:r>
      <w:bookmarkEnd w:id="1"/>
      <w:bookmarkEnd w:id="2"/>
      <w:bookmarkEnd w:id="3"/>
      <w:bookmarkEnd w:id="4"/>
    </w:p>
    <w:p w14:paraId="6614F0B6">
      <w:pPr>
        <w:keepNext/>
        <w:keepLines/>
        <w:spacing w:before="260" w:after="260" w:line="415" w:lineRule="auto"/>
        <w:outlineLvl w:val="3"/>
        <w:rPr>
          <w:rFonts w:ascii="宋体" w:hAnsi="宋体" w:eastAsia="黑体" w:cs="Times New Roman"/>
          <w:bCs/>
          <w:kern w:val="0"/>
          <w:sz w:val="28"/>
          <w:szCs w:val="32"/>
        </w:rPr>
      </w:pPr>
      <w:bookmarkStart w:id="5" w:name="_Toc452973678"/>
      <w:bookmarkStart w:id="6" w:name="_Toc452558298"/>
      <w:bookmarkStart w:id="7" w:name="_Toc415840322"/>
      <w:r>
        <w:rPr>
          <w:rFonts w:hint="eastAsia" w:ascii="宋体" w:hAnsi="宋体" w:eastAsia="黑体" w:cs="Times New Roman"/>
          <w:bCs/>
          <w:kern w:val="0"/>
          <w:sz w:val="28"/>
          <w:szCs w:val="32"/>
        </w:rPr>
        <w:t>1.1.1 项目名称</w:t>
      </w:r>
      <w:bookmarkEnd w:id="5"/>
      <w:bookmarkEnd w:id="6"/>
      <w:bookmarkEnd w:id="7"/>
    </w:p>
    <w:p w14:paraId="4C63695B">
      <w:pPr>
        <w:spacing w:line="360" w:lineRule="auto"/>
        <w:ind w:firstLine="480" w:firstLineChars="200"/>
        <w:rPr>
          <w:rFonts w:ascii="宋体" w:hAnsi="宋体"/>
          <w:sz w:val="24"/>
        </w:rPr>
      </w:pPr>
      <w:bookmarkStart w:id="8" w:name="_Toc452558299"/>
      <w:bookmarkStart w:id="9" w:name="_Toc452973679"/>
      <w:bookmarkStart w:id="10" w:name="_Toc415840323"/>
      <w:r>
        <w:rPr>
          <w:rFonts w:hint="eastAsia" w:ascii="宋体" w:hAnsi="宋体"/>
          <w:sz w:val="24"/>
        </w:rPr>
        <w:t>华南理工大学大学城校区研究生宿舍（二期）</w:t>
      </w:r>
    </w:p>
    <w:p w14:paraId="1CCDAFD6">
      <w:pPr>
        <w:keepNext/>
        <w:keepLines/>
        <w:spacing w:before="260" w:after="260" w:line="415" w:lineRule="auto"/>
        <w:outlineLvl w:val="3"/>
        <w:rPr>
          <w:rFonts w:ascii="宋体" w:hAnsi="宋体" w:eastAsia="黑体" w:cs="Times New Roman"/>
          <w:bCs/>
          <w:kern w:val="0"/>
          <w:sz w:val="28"/>
          <w:szCs w:val="32"/>
        </w:rPr>
      </w:pPr>
      <w:r>
        <w:rPr>
          <w:rFonts w:hint="eastAsia" w:ascii="宋体" w:hAnsi="宋体" w:eastAsia="黑体" w:cs="Times New Roman"/>
          <w:bCs/>
          <w:kern w:val="0"/>
          <w:sz w:val="28"/>
          <w:szCs w:val="32"/>
        </w:rPr>
        <w:t>1.1.2 项目位置</w:t>
      </w:r>
      <w:bookmarkEnd w:id="8"/>
      <w:bookmarkEnd w:id="9"/>
      <w:bookmarkEnd w:id="10"/>
    </w:p>
    <w:p w14:paraId="19DF6E2D">
      <w:pPr>
        <w:spacing w:line="360" w:lineRule="auto"/>
        <w:ind w:firstLine="480" w:firstLineChars="200"/>
        <w:rPr>
          <w:rFonts w:ascii="宋体" w:hAnsi="宋体"/>
          <w:sz w:val="24"/>
        </w:rPr>
      </w:pPr>
      <w:r>
        <w:rPr>
          <w:rFonts w:hint="eastAsia" w:ascii="宋体" w:hAnsi="宋体"/>
          <w:sz w:val="24"/>
        </w:rPr>
        <w:t>本项目建设用地位于广东省广州市番禺区广州大学城外环东路382号华南理工大学大学城校区东北角，毗邻华南理工大学大学城校区北门，与南侧教学组团隔湖相望，北临研究生宿舍（一期），场地南侧及东、西侧面向良好的校园景观。</w:t>
      </w:r>
    </w:p>
    <w:p w14:paraId="2B926820">
      <w:pPr>
        <w:adjustRightInd w:val="0"/>
        <w:snapToGrid w:val="0"/>
        <w:spacing w:line="360" w:lineRule="auto"/>
        <w:jc w:val="center"/>
        <w:rPr>
          <w:rFonts w:ascii="黑体" w:hAnsi="宋体" w:eastAsia="黑体" w:cs="宋体"/>
          <w:sz w:val="28"/>
          <w:szCs w:val="28"/>
        </w:rPr>
      </w:pPr>
      <w:r>
        <w:rPr>
          <w:rFonts w:ascii="Times New Roman" w:hAnsi="Times New Roman" w:eastAsia="仿宋_GB2312" w:cs="宋体"/>
          <w:sz w:val="28"/>
          <w:szCs w:val="28"/>
        </w:rPr>
        <w:drawing>
          <wp:inline distT="0" distB="0" distL="114300" distR="114300">
            <wp:extent cx="5723890" cy="3695065"/>
            <wp:effectExtent l="0" t="0" r="10160" b="635"/>
            <wp:docPr id="2"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图片1"/>
                    <pic:cNvPicPr>
                      <a:picLocks noChangeAspect="1"/>
                    </pic:cNvPicPr>
                  </pic:nvPicPr>
                  <pic:blipFill>
                    <a:blip r:embed="rId13"/>
                    <a:srcRect t="4682" b="4001"/>
                    <a:stretch>
                      <a:fillRect/>
                    </a:stretch>
                  </pic:blipFill>
                  <pic:spPr>
                    <a:xfrm>
                      <a:off x="0" y="0"/>
                      <a:ext cx="5723890" cy="3695065"/>
                    </a:xfrm>
                    <a:prstGeom prst="rect">
                      <a:avLst/>
                    </a:prstGeom>
                  </pic:spPr>
                </pic:pic>
              </a:graphicData>
            </a:graphic>
          </wp:inline>
        </w:drawing>
      </w:r>
    </w:p>
    <w:p w14:paraId="2AB15ACF">
      <w:pPr>
        <w:adjustRightInd w:val="0"/>
        <w:snapToGrid w:val="0"/>
        <w:spacing w:line="360" w:lineRule="auto"/>
        <w:ind w:firstLine="3220" w:firstLineChars="1150"/>
        <w:rPr>
          <w:rFonts w:ascii="Times New Roman" w:hAnsi="Times New Roman" w:eastAsia="仿宋_GB2312" w:cs="宋体"/>
          <w:sz w:val="28"/>
          <w:szCs w:val="20"/>
        </w:rPr>
      </w:pPr>
      <w:r>
        <w:rPr>
          <w:rFonts w:hint="eastAsia" w:ascii="黑体" w:hAnsi="宋体" w:eastAsia="黑体" w:cs="宋体"/>
          <w:sz w:val="28"/>
          <w:szCs w:val="28"/>
        </w:rPr>
        <w:t>项目场地区位示意图</w:t>
      </w:r>
    </w:p>
    <w:p w14:paraId="70F5801A">
      <w:pPr>
        <w:adjustRightInd w:val="0"/>
        <w:snapToGrid w:val="0"/>
        <w:spacing w:line="360" w:lineRule="auto"/>
        <w:rPr>
          <w:rFonts w:ascii="Times New Roman" w:hAnsi="Times New Roman" w:eastAsia="仿宋_GB2312" w:cs="宋体"/>
          <w:sz w:val="28"/>
          <w:szCs w:val="20"/>
        </w:rPr>
      </w:pPr>
    </w:p>
    <w:p w14:paraId="15405B89">
      <w:pPr>
        <w:keepNext/>
        <w:keepLines/>
        <w:spacing w:before="260" w:after="260" w:line="415" w:lineRule="auto"/>
        <w:outlineLvl w:val="3"/>
        <w:rPr>
          <w:rFonts w:ascii="宋体" w:hAnsi="宋体" w:eastAsia="黑体" w:cs="Times New Roman"/>
          <w:bCs/>
          <w:kern w:val="0"/>
          <w:sz w:val="28"/>
          <w:szCs w:val="32"/>
        </w:rPr>
      </w:pPr>
      <w:bookmarkStart w:id="11" w:name="_Toc452973680"/>
      <w:bookmarkStart w:id="12" w:name="_Toc452558300"/>
      <w:bookmarkStart w:id="13" w:name="_Toc415840324"/>
      <w:r>
        <w:rPr>
          <w:rFonts w:hint="eastAsia" w:ascii="宋体" w:hAnsi="宋体" w:eastAsia="黑体" w:cs="Times New Roman"/>
          <w:bCs/>
          <w:kern w:val="0"/>
          <w:sz w:val="28"/>
          <w:szCs w:val="32"/>
        </w:rPr>
        <w:t>1.1.3 项目建设单位</w:t>
      </w:r>
      <w:bookmarkEnd w:id="11"/>
      <w:bookmarkEnd w:id="12"/>
      <w:bookmarkEnd w:id="13"/>
    </w:p>
    <w:p w14:paraId="6104546F">
      <w:pPr>
        <w:spacing w:line="360" w:lineRule="auto"/>
        <w:ind w:firstLine="480" w:firstLineChars="200"/>
        <w:rPr>
          <w:rFonts w:ascii="宋体" w:hAnsi="宋体"/>
          <w:color w:val="000000"/>
          <w:sz w:val="24"/>
        </w:rPr>
      </w:pPr>
      <w:bookmarkStart w:id="14" w:name="_Toc452558301"/>
      <w:bookmarkStart w:id="15" w:name="_Toc452973681"/>
      <w:bookmarkStart w:id="16" w:name="_Toc415840325"/>
      <w:r>
        <w:rPr>
          <w:rFonts w:hint="eastAsia" w:ascii="宋体" w:hAnsi="宋体"/>
          <w:color w:val="000000"/>
          <w:sz w:val="24"/>
        </w:rPr>
        <w:t>华南理工大学</w:t>
      </w:r>
    </w:p>
    <w:p w14:paraId="7E2812F7">
      <w:pPr>
        <w:keepNext/>
        <w:keepLines/>
        <w:spacing w:before="260" w:after="260" w:line="415" w:lineRule="auto"/>
        <w:outlineLvl w:val="3"/>
        <w:rPr>
          <w:rFonts w:ascii="宋体" w:hAnsi="宋体" w:eastAsia="黑体" w:cs="Times New Roman"/>
          <w:bCs/>
          <w:kern w:val="0"/>
          <w:sz w:val="28"/>
          <w:szCs w:val="32"/>
        </w:rPr>
      </w:pPr>
      <w:r>
        <w:rPr>
          <w:rFonts w:hint="eastAsia" w:ascii="宋体" w:hAnsi="宋体" w:eastAsia="黑体" w:cs="Times New Roman"/>
          <w:bCs/>
          <w:kern w:val="0"/>
          <w:sz w:val="28"/>
          <w:szCs w:val="32"/>
        </w:rPr>
        <w:t>1.1.4 项目建设管理单位</w:t>
      </w:r>
      <w:bookmarkEnd w:id="14"/>
      <w:bookmarkEnd w:id="15"/>
      <w:bookmarkEnd w:id="16"/>
      <w:r>
        <w:rPr>
          <w:rFonts w:hint="eastAsia" w:ascii="宋体" w:hAnsi="宋体" w:eastAsia="黑体" w:cs="Times New Roman"/>
          <w:bCs/>
          <w:kern w:val="0"/>
          <w:sz w:val="28"/>
          <w:szCs w:val="32"/>
        </w:rPr>
        <w:tab/>
      </w:r>
    </w:p>
    <w:p w14:paraId="626C9C78">
      <w:pPr>
        <w:spacing w:line="360" w:lineRule="auto"/>
        <w:ind w:firstLine="480" w:firstLineChars="200"/>
        <w:rPr>
          <w:rFonts w:ascii="宋体" w:hAnsi="宋体"/>
          <w:sz w:val="24"/>
        </w:rPr>
      </w:pPr>
      <w:r>
        <w:rPr>
          <w:rFonts w:hint="eastAsia" w:ascii="宋体" w:hAnsi="宋体"/>
          <w:sz w:val="24"/>
        </w:rPr>
        <w:t>广州市重点公共建设项目管理中心</w:t>
      </w:r>
    </w:p>
    <w:p w14:paraId="7BBB827A">
      <w:pPr>
        <w:keepNext/>
        <w:keepLines/>
        <w:spacing w:before="260" w:after="260" w:line="415" w:lineRule="auto"/>
        <w:outlineLvl w:val="3"/>
        <w:rPr>
          <w:rFonts w:ascii="宋体" w:hAnsi="宋体" w:eastAsia="黑体" w:cs="Times New Roman"/>
          <w:bCs/>
          <w:kern w:val="0"/>
          <w:sz w:val="28"/>
          <w:szCs w:val="32"/>
        </w:rPr>
      </w:pPr>
      <w:bookmarkStart w:id="17" w:name="_Toc452973682"/>
      <w:bookmarkStart w:id="18" w:name="_Toc452558302"/>
      <w:bookmarkStart w:id="19" w:name="_Toc415840326"/>
      <w:r>
        <w:rPr>
          <w:rFonts w:hint="eastAsia" w:ascii="宋体" w:hAnsi="宋体" w:eastAsia="黑体" w:cs="Times New Roman"/>
          <w:bCs/>
          <w:kern w:val="0"/>
          <w:sz w:val="28"/>
          <w:szCs w:val="32"/>
        </w:rPr>
        <w:t>1.1.5项目背景</w:t>
      </w:r>
    </w:p>
    <w:p w14:paraId="63898F2F">
      <w:pPr>
        <w:spacing w:line="360" w:lineRule="auto"/>
        <w:ind w:firstLine="480" w:firstLineChars="200"/>
        <w:rPr>
          <w:rFonts w:ascii="宋体" w:hAnsi="宋体"/>
          <w:sz w:val="24"/>
        </w:rPr>
      </w:pPr>
      <w:r>
        <w:rPr>
          <w:rFonts w:hint="eastAsia" w:ascii="宋体" w:hAnsi="宋体"/>
          <w:sz w:val="24"/>
        </w:rPr>
        <w:t>华南理工大学大学城校区研究生宿舍（二期）项目的建设要坚持以人民为中心，坚持功能性、创造性和经济性的有机结合，建设“设计合理、以人为本、质量过硬、便于管理”的优质校园生活类建筑，力求满足华南理工大学大学城校区住宿的扩容需求，同时满足大学城校区学生对教学配套设施、生活服务设施的需求。</w:t>
      </w:r>
    </w:p>
    <w:p w14:paraId="2F46EA7F">
      <w:pPr>
        <w:spacing w:line="360" w:lineRule="auto"/>
        <w:ind w:firstLine="480" w:firstLineChars="200"/>
        <w:rPr>
          <w:rFonts w:ascii="宋体" w:hAnsi="宋体"/>
          <w:sz w:val="24"/>
        </w:rPr>
      </w:pPr>
      <w:r>
        <w:rPr>
          <w:rFonts w:hint="eastAsia" w:ascii="宋体" w:hAnsi="宋体"/>
          <w:sz w:val="24"/>
        </w:rPr>
        <w:t>项目建成后将为华南理工大学大学城校区学生提供优质的生活、学习、交流空间，促进学生创新能力及学术能力的提升，有利于促进华南理工大学高水平大学建设事业的发展，提升高校人才培养的硬件设施条件。</w:t>
      </w:r>
    </w:p>
    <w:p w14:paraId="4E9EDD9B">
      <w:pPr>
        <w:keepNext/>
        <w:keepLines/>
        <w:spacing w:before="260" w:after="260" w:line="415" w:lineRule="auto"/>
        <w:outlineLvl w:val="3"/>
        <w:rPr>
          <w:rFonts w:ascii="宋体" w:hAnsi="宋体" w:eastAsia="黑体" w:cs="Times New Roman"/>
          <w:bCs/>
          <w:kern w:val="0"/>
          <w:sz w:val="28"/>
          <w:szCs w:val="32"/>
        </w:rPr>
      </w:pPr>
      <w:r>
        <w:rPr>
          <w:rFonts w:hint="eastAsia" w:ascii="宋体" w:hAnsi="宋体" w:eastAsia="黑体" w:cs="Times New Roman"/>
          <w:bCs/>
          <w:kern w:val="0"/>
          <w:sz w:val="28"/>
          <w:szCs w:val="32"/>
        </w:rPr>
        <w:t>1.1.6项目建设的重要性</w:t>
      </w:r>
    </w:p>
    <w:p w14:paraId="3FA86A7C">
      <w:pPr>
        <w:spacing w:line="360" w:lineRule="auto"/>
        <w:ind w:firstLine="480" w:firstLineChars="200"/>
        <w:rPr>
          <w:rFonts w:ascii="宋体" w:hAnsi="宋体"/>
          <w:sz w:val="24"/>
        </w:rPr>
      </w:pPr>
      <w:r>
        <w:rPr>
          <w:rFonts w:hint="eastAsia" w:ascii="宋体" w:hAnsi="宋体"/>
          <w:sz w:val="24"/>
        </w:rPr>
        <w:t>党的二十大报告提出要深入实施人才强国战略，为新时代我国人才工作指明了正确方向。深入实施人才强国战略，要以坚持完善党管人才、遵循人才发展规律、创新人才发展体制机制、统筹国内外人才市场和保障人才综合安全为基本原则。要坚持和完善党管人才原则，牢牢把握深入实施人才强国战略的正确方向。国家兴盛，人才为本。人才是衡量一个国家综合实力的重要指标，没有一支宏大的高素质人才队伍，建设社会主义现代化强国奋斗目标和中华民族伟大复兴梦想都不可能顺利实现。</w:t>
      </w:r>
    </w:p>
    <w:p w14:paraId="3B09F575">
      <w:pPr>
        <w:spacing w:line="360" w:lineRule="auto"/>
        <w:ind w:firstLine="480" w:firstLineChars="200"/>
        <w:rPr>
          <w:rFonts w:ascii="宋体" w:hAnsi="宋体"/>
          <w:sz w:val="24"/>
        </w:rPr>
      </w:pPr>
      <w:r>
        <w:rPr>
          <w:rFonts w:hint="eastAsia" w:ascii="宋体" w:hAnsi="宋体"/>
          <w:sz w:val="24"/>
        </w:rPr>
        <w:t>华南理工大学聚焦国家教育发展重大需求，率先实施“一流本科行动计划”，大力推动“新工科F计划”，大力培养家国情怀、国际视野兼备，思想力、学习力、行动力兼具，引领未来的“三创型”人才，形成享誉社会的“华工模式”。建校以来，学校为国家培养了高等教育各类学生64万人，毕业生就业率多年来位居全国高校和广东省高校前列，一大批毕业校友成为我国科技骨干、著名企业家和领导干部。学校被誉为“工程师的摇篮”“企业家的摇篮”“新能源汽车界的黄埔军校”，入选全国大众创业万众创新示范基地。</w:t>
      </w:r>
    </w:p>
    <w:p w14:paraId="081A5E40">
      <w:pPr>
        <w:spacing w:line="360" w:lineRule="auto"/>
        <w:ind w:firstLine="480" w:firstLineChars="200"/>
        <w:rPr>
          <w:rFonts w:ascii="宋体" w:hAnsi="宋体"/>
          <w:sz w:val="24"/>
        </w:rPr>
      </w:pPr>
      <w:r>
        <w:rPr>
          <w:rFonts w:hint="eastAsia" w:ascii="宋体" w:hAnsi="宋体"/>
          <w:sz w:val="24"/>
        </w:rPr>
        <w:t>在新的历史发展起点上，学校将秉承“博学慎思 明辨笃行”的校训，弘扬“厚德尚学 自强不息 务实创新 追求卓越”的精神，以“双一流”建设和广州国际校区建设为“双引擎”，大力推进“学术华工”“开放华工”“善治华工”“幸福华工”“大美华工”建设，向着中国特色、世界一流大学的目标奋勇前进，勇当粤港澳大湾区高等教育发展排头兵，努力为实现中华民族伟大复兴的中国梦贡献华工智慧和华工力量。</w:t>
      </w:r>
    </w:p>
    <w:p w14:paraId="769E816F">
      <w:pPr>
        <w:spacing w:line="360" w:lineRule="auto"/>
        <w:ind w:firstLine="480" w:firstLineChars="200"/>
        <w:rPr>
          <w:rFonts w:ascii="宋体" w:hAnsi="宋体"/>
          <w:sz w:val="24"/>
        </w:rPr>
      </w:pPr>
      <w:r>
        <w:rPr>
          <w:rFonts w:hint="eastAsia" w:ascii="宋体" w:hAnsi="宋体"/>
          <w:sz w:val="24"/>
        </w:rPr>
        <w:t>本项目的建设将为华工学子开展一系列教学研究活动奠定坚实的后勤基础，为实现学校教育的整体目标，培养全面发展的创新型高素质人才而发挥基础生活配套设施的特有作用。</w:t>
      </w:r>
    </w:p>
    <w:p w14:paraId="39D86467">
      <w:pPr>
        <w:keepNext/>
        <w:keepLines/>
        <w:spacing w:before="260" w:after="260" w:line="415" w:lineRule="auto"/>
        <w:outlineLvl w:val="3"/>
        <w:rPr>
          <w:rFonts w:ascii="宋体" w:hAnsi="宋体" w:eastAsia="黑体" w:cs="Times New Roman"/>
          <w:bCs/>
          <w:kern w:val="0"/>
          <w:sz w:val="28"/>
          <w:szCs w:val="32"/>
        </w:rPr>
      </w:pPr>
      <w:r>
        <w:rPr>
          <w:rFonts w:hint="eastAsia" w:ascii="宋体" w:hAnsi="宋体" w:eastAsia="黑体" w:cs="Times New Roman"/>
          <w:bCs/>
          <w:kern w:val="0"/>
          <w:sz w:val="28"/>
          <w:szCs w:val="32"/>
        </w:rPr>
        <w:t>1.1.7项目建设</w:t>
      </w:r>
      <w:bookmarkEnd w:id="17"/>
      <w:bookmarkEnd w:id="18"/>
      <w:bookmarkEnd w:id="19"/>
      <w:r>
        <w:rPr>
          <w:rFonts w:hint="eastAsia" w:ascii="宋体" w:hAnsi="宋体" w:eastAsia="黑体" w:cs="Times New Roman"/>
          <w:bCs/>
          <w:kern w:val="0"/>
          <w:sz w:val="28"/>
          <w:szCs w:val="32"/>
        </w:rPr>
        <w:t>规模</w:t>
      </w:r>
    </w:p>
    <w:p w14:paraId="3D909E9B">
      <w:pPr>
        <w:spacing w:line="360" w:lineRule="auto"/>
        <w:ind w:firstLine="480" w:firstLineChars="200"/>
        <w:rPr>
          <w:rFonts w:ascii="宋体" w:hAnsi="宋体"/>
          <w:sz w:val="24"/>
        </w:rPr>
      </w:pPr>
      <w:bookmarkStart w:id="20" w:name="_Toc452973675"/>
      <w:bookmarkStart w:id="21" w:name="_Toc452558295"/>
      <w:bookmarkStart w:id="22" w:name="_Toc447612862"/>
      <w:bookmarkStart w:id="23" w:name="_Toc447612383"/>
      <w:r>
        <w:rPr>
          <w:rFonts w:hint="eastAsia" w:ascii="宋体" w:hAnsi="宋体"/>
          <w:sz w:val="24"/>
        </w:rPr>
        <w:t>本项目位于华南理工大学大学城校区。华南理工大学大学城校区研究生宿舍（二期）用地面积为45860.0㎡，拟建建筑面积为77690.0㎡，其中地上建筑面积为60190.0㎡，地下建筑面积为17500.0㎡。</w:t>
      </w:r>
    </w:p>
    <w:p w14:paraId="70217C51">
      <w:pPr>
        <w:spacing w:line="360" w:lineRule="auto"/>
        <w:ind w:firstLine="480" w:firstLineChars="200"/>
        <w:rPr>
          <w:rFonts w:ascii="宋体" w:hAnsi="宋体"/>
          <w:sz w:val="24"/>
        </w:rPr>
      </w:pPr>
      <w:r>
        <w:rPr>
          <w:rFonts w:hint="eastAsia" w:ascii="宋体" w:hAnsi="宋体" w:cs="宋体"/>
          <w:sz w:val="24"/>
          <w:szCs w:val="24"/>
          <w:lang w:bidi="ar"/>
        </w:rPr>
        <w:t>建筑</w:t>
      </w:r>
      <w:r>
        <w:rPr>
          <w:rFonts w:ascii="宋体" w:hAnsi="宋体" w:cs="宋体"/>
          <w:sz w:val="24"/>
          <w:szCs w:val="24"/>
          <w:lang w:bidi="ar"/>
        </w:rPr>
        <w:t>功能</w:t>
      </w:r>
      <w:r>
        <w:rPr>
          <w:rFonts w:hint="eastAsia" w:ascii="宋体" w:hAnsi="宋体" w:cs="宋体"/>
          <w:sz w:val="24"/>
          <w:szCs w:val="24"/>
          <w:lang w:bidi="ar"/>
        </w:rPr>
        <w:t>地上部分为</w:t>
      </w:r>
      <w:r>
        <w:rPr>
          <w:rFonts w:ascii="宋体" w:hAnsi="宋体" w:cs="宋体"/>
          <w:sz w:val="24"/>
          <w:szCs w:val="24"/>
          <w:lang w:bidi="ar"/>
        </w:rPr>
        <w:t>学生宿舍及</w:t>
      </w:r>
      <w:r>
        <w:rPr>
          <w:rFonts w:hint="eastAsia" w:ascii="宋体" w:hAnsi="宋体" w:cs="宋体"/>
          <w:sz w:val="24"/>
          <w:szCs w:val="24"/>
          <w:lang w:bidi="ar"/>
        </w:rPr>
        <w:t>一站式学生社区服务用房</w:t>
      </w:r>
      <w:r>
        <w:rPr>
          <w:rFonts w:ascii="宋体" w:hAnsi="宋体" w:cs="宋体"/>
          <w:sz w:val="24"/>
          <w:szCs w:val="24"/>
          <w:lang w:bidi="ar"/>
        </w:rPr>
        <w:t>，地下</w:t>
      </w:r>
      <w:r>
        <w:rPr>
          <w:rFonts w:hint="eastAsia" w:ascii="宋体" w:hAnsi="宋体" w:cs="宋体"/>
          <w:sz w:val="24"/>
          <w:szCs w:val="24"/>
          <w:lang w:bidi="ar"/>
        </w:rPr>
        <w:t>部分</w:t>
      </w:r>
      <w:r>
        <w:rPr>
          <w:rFonts w:ascii="宋体" w:hAnsi="宋体" w:cs="宋体"/>
          <w:sz w:val="24"/>
          <w:szCs w:val="24"/>
          <w:lang w:bidi="ar"/>
        </w:rPr>
        <w:t>为设备</w:t>
      </w:r>
      <w:r>
        <w:rPr>
          <w:rFonts w:hint="eastAsia" w:ascii="宋体" w:hAnsi="宋体" w:cs="宋体"/>
          <w:sz w:val="24"/>
          <w:szCs w:val="24"/>
          <w:lang w:bidi="ar"/>
        </w:rPr>
        <w:t>用房及人防停车库。地上部分限高48.0m，包括宿舍楼与一站式学生社区服务</w:t>
      </w:r>
      <w:r>
        <w:rPr>
          <w:rFonts w:hint="eastAsia" w:ascii="宋体" w:hAnsi="宋体" w:cs="宋体"/>
          <w:sz w:val="24"/>
          <w:szCs w:val="24"/>
          <w:lang w:val="en-US" w:eastAsia="zh-CN" w:bidi="ar"/>
        </w:rPr>
        <w:t>用房</w:t>
      </w:r>
      <w:r>
        <w:rPr>
          <w:rFonts w:hint="eastAsia" w:ascii="宋体" w:hAnsi="宋体" w:cs="宋体"/>
          <w:sz w:val="24"/>
          <w:szCs w:val="24"/>
          <w:lang w:bidi="ar"/>
        </w:rPr>
        <w:t>，其中包括大于15</w:t>
      </w:r>
      <w:r>
        <w:rPr>
          <w:rFonts w:ascii="宋体" w:hAnsi="宋体" w:cs="宋体"/>
          <w:sz w:val="24"/>
          <w:szCs w:val="24"/>
          <w:lang w:bidi="ar"/>
        </w:rPr>
        <w:t>00</w:t>
      </w:r>
      <w:r>
        <w:rPr>
          <w:rFonts w:hint="eastAsia" w:ascii="宋体" w:hAnsi="宋体" w:cs="宋体"/>
          <w:sz w:val="24"/>
          <w:szCs w:val="24"/>
          <w:lang w:bidi="ar"/>
        </w:rPr>
        <w:t>个博士生床位（单人间）及大于15</w:t>
      </w:r>
      <w:r>
        <w:rPr>
          <w:rFonts w:ascii="宋体" w:hAnsi="宋体" w:cs="宋体"/>
          <w:sz w:val="24"/>
          <w:szCs w:val="24"/>
          <w:lang w:bidi="ar"/>
        </w:rPr>
        <w:t>00</w:t>
      </w:r>
      <w:r>
        <w:rPr>
          <w:rFonts w:hint="eastAsia" w:ascii="宋体" w:hAnsi="宋体" w:cs="宋体"/>
          <w:sz w:val="24"/>
          <w:szCs w:val="24"/>
          <w:lang w:bidi="ar"/>
        </w:rPr>
        <w:t>个硕士生床位（双人间）。地下部分为停车库，其中包括不少于4</w:t>
      </w:r>
      <w:r>
        <w:rPr>
          <w:rFonts w:ascii="宋体" w:hAnsi="宋体" w:cs="宋体"/>
          <w:sz w:val="24"/>
          <w:szCs w:val="24"/>
          <w:lang w:bidi="ar"/>
        </w:rPr>
        <w:t>00</w:t>
      </w:r>
      <w:r>
        <w:rPr>
          <w:rFonts w:hint="eastAsia" w:ascii="宋体" w:hAnsi="宋体" w:cs="宋体"/>
          <w:sz w:val="24"/>
          <w:szCs w:val="24"/>
          <w:lang w:bidi="ar"/>
        </w:rPr>
        <w:t>个机动车停车位。</w:t>
      </w:r>
    </w:p>
    <w:p w14:paraId="4FAB31BA">
      <w:pPr>
        <w:spacing w:line="360" w:lineRule="auto"/>
        <w:ind w:firstLine="480" w:firstLineChars="200"/>
        <w:rPr>
          <w:rFonts w:ascii="宋体" w:hAnsi="宋体"/>
          <w:color w:val="FF0000"/>
          <w:sz w:val="24"/>
        </w:rPr>
      </w:pPr>
      <w:r>
        <w:rPr>
          <w:rFonts w:hint="eastAsia" w:ascii="宋体" w:hAnsi="宋体"/>
          <w:color w:val="FF0000"/>
          <w:sz w:val="24"/>
        </w:rPr>
        <w:t>本项目</w:t>
      </w:r>
      <w:r>
        <w:rPr>
          <w:rFonts w:hint="eastAsia" w:ascii="宋体" w:hAnsi="宋体"/>
          <w:color w:val="FF0000"/>
          <w:sz w:val="24"/>
          <w:lang w:val="en-US" w:eastAsia="zh-CN"/>
        </w:rPr>
        <w:t>可研批复总投资46989万元（最终总投资以学校投资评审结果为准）</w:t>
      </w:r>
      <w:r>
        <w:rPr>
          <w:rFonts w:hint="eastAsia" w:ascii="宋体" w:hAnsi="宋体"/>
          <w:color w:val="FF0000"/>
          <w:sz w:val="24"/>
        </w:rPr>
        <w:t>。</w:t>
      </w:r>
    </w:p>
    <w:p w14:paraId="759F819C">
      <w:pPr>
        <w:spacing w:line="360" w:lineRule="auto"/>
        <w:ind w:firstLine="480" w:firstLineChars="200"/>
        <w:rPr>
          <w:rFonts w:ascii="宋体" w:hAnsi="宋体"/>
          <w:sz w:val="24"/>
        </w:rPr>
      </w:pPr>
      <w:r>
        <w:rPr>
          <w:rFonts w:hint="eastAsia" w:ascii="宋体" w:hAnsi="宋体"/>
          <w:sz w:val="24"/>
        </w:rPr>
        <w:t>项目建设内容应包括：建筑、结构、装修装饰、消防、通风、给排水、电梯、强电、智能化弱电设计及周边道路、园林绿化（含屋面绿化）、景观照明等市政设施。采用绿色建筑二星级设计，满足《绿色建筑评价标准》 (GB/I 50378-2019）的相关规定。</w:t>
      </w:r>
    </w:p>
    <w:p w14:paraId="033C4419">
      <w:pPr>
        <w:spacing w:line="360" w:lineRule="auto"/>
        <w:ind w:firstLine="480" w:firstLineChars="200"/>
        <w:rPr>
          <w:rFonts w:ascii="宋体" w:hAnsi="宋体"/>
          <w:color w:val="FF0000"/>
          <w:sz w:val="24"/>
        </w:rPr>
      </w:pPr>
      <w:r>
        <w:rPr>
          <w:rFonts w:hint="eastAsia" w:ascii="宋体" w:hAnsi="宋体"/>
          <w:sz w:val="24"/>
        </w:rPr>
        <w:t>该项目需遵循大学城校区的整体规划理念，与校园现有建筑的整体风格相协调，还需充分考虑空调室外机、给</w:t>
      </w:r>
      <w:bookmarkStart w:id="153" w:name="_GoBack"/>
      <w:bookmarkEnd w:id="153"/>
      <w:r>
        <w:rPr>
          <w:rFonts w:hint="eastAsia" w:ascii="宋体" w:hAnsi="宋体"/>
          <w:sz w:val="24"/>
        </w:rPr>
        <w:t>排水管道的遮挡装饰效果。本阶段为概念方案的建设规模，有待设计阶段深化调整，具体建设规模以项目规划报建的规模为准。</w:t>
      </w:r>
    </w:p>
    <w:p w14:paraId="3A0D2177">
      <w:pPr>
        <w:keepNext/>
        <w:keepLines/>
        <w:spacing w:before="260" w:after="260" w:line="415" w:lineRule="auto"/>
        <w:outlineLvl w:val="3"/>
        <w:rPr>
          <w:rFonts w:ascii="宋体" w:hAnsi="宋体" w:eastAsia="黑体" w:cs="Times New Roman"/>
          <w:bCs/>
          <w:kern w:val="0"/>
          <w:sz w:val="28"/>
          <w:szCs w:val="32"/>
        </w:rPr>
      </w:pPr>
      <w:r>
        <w:rPr>
          <w:rFonts w:hint="eastAsia" w:ascii="宋体" w:hAnsi="宋体" w:eastAsia="黑体" w:cs="Times New Roman"/>
          <w:bCs/>
          <w:kern w:val="0"/>
          <w:sz w:val="28"/>
          <w:szCs w:val="32"/>
        </w:rPr>
        <w:t>1.1.8项目建设依据</w:t>
      </w:r>
    </w:p>
    <w:p w14:paraId="24C9966B">
      <w:pPr>
        <w:spacing w:line="360" w:lineRule="auto"/>
        <w:ind w:firstLine="480" w:firstLineChars="200"/>
        <w:rPr>
          <w:rFonts w:ascii="宋体" w:hAnsi="宋体"/>
          <w:sz w:val="24"/>
        </w:rPr>
      </w:pPr>
      <w:r>
        <w:rPr>
          <w:rFonts w:hint="eastAsia" w:ascii="宋体" w:hAnsi="宋体"/>
          <w:sz w:val="24"/>
        </w:rPr>
        <w:t>1．现行法律法规</w:t>
      </w:r>
    </w:p>
    <w:p w14:paraId="649C5C96">
      <w:pPr>
        <w:spacing w:line="360" w:lineRule="auto"/>
        <w:ind w:firstLine="480" w:firstLineChars="200"/>
        <w:rPr>
          <w:rFonts w:ascii="宋体" w:hAnsi="宋体"/>
          <w:sz w:val="24"/>
        </w:rPr>
      </w:pPr>
      <w:r>
        <w:rPr>
          <w:rFonts w:hint="eastAsia" w:ascii="宋体" w:hAnsi="宋体"/>
          <w:sz w:val="24"/>
        </w:rPr>
        <w:t>2．现行技术标准与规范</w:t>
      </w:r>
    </w:p>
    <w:p w14:paraId="5D98DEE7">
      <w:pPr>
        <w:spacing w:line="360" w:lineRule="auto"/>
        <w:ind w:firstLine="480" w:firstLineChars="200"/>
        <w:rPr>
          <w:rFonts w:ascii="宋体" w:hAnsi="宋体"/>
          <w:sz w:val="24"/>
        </w:rPr>
      </w:pPr>
      <w:r>
        <w:rPr>
          <w:rFonts w:hint="eastAsia" w:ascii="宋体" w:hAnsi="宋体"/>
          <w:sz w:val="24"/>
        </w:rPr>
        <w:t>3．行业标准</w:t>
      </w:r>
    </w:p>
    <w:p w14:paraId="4CAC19C9">
      <w:pPr>
        <w:spacing w:line="360" w:lineRule="auto"/>
        <w:ind w:firstLine="480" w:firstLineChars="200"/>
        <w:rPr>
          <w:rFonts w:ascii="宋体" w:hAnsi="宋体"/>
          <w:sz w:val="24"/>
        </w:rPr>
      </w:pPr>
      <w:r>
        <w:rPr>
          <w:rFonts w:hint="eastAsia" w:ascii="宋体" w:hAnsi="宋体"/>
          <w:sz w:val="24"/>
        </w:rPr>
        <w:t>4．相关文件</w:t>
      </w:r>
      <w:bookmarkEnd w:id="20"/>
      <w:bookmarkEnd w:id="21"/>
    </w:p>
    <w:p w14:paraId="01661402">
      <w:pPr>
        <w:keepNext/>
        <w:keepLines/>
        <w:spacing w:before="120" w:beforeLines="50" w:after="120" w:afterLines="50"/>
        <w:contextualSpacing/>
        <w:outlineLvl w:val="1"/>
        <w:rPr>
          <w:rFonts w:ascii="Arial" w:hAnsi="Arial" w:eastAsia="黑体" w:cs="Times New Roman"/>
          <w:bCs/>
          <w:color w:val="000000"/>
          <w:kern w:val="0"/>
          <w:sz w:val="30"/>
          <w:szCs w:val="32"/>
        </w:rPr>
      </w:pPr>
      <w:bookmarkStart w:id="24" w:name="_Toc168047415"/>
      <w:bookmarkStart w:id="25" w:name="_Toc452558094"/>
      <w:bookmarkStart w:id="26" w:name="_Toc452558303"/>
      <w:bookmarkStart w:id="27" w:name="_Toc452973683"/>
      <w:r>
        <w:rPr>
          <w:rFonts w:hint="eastAsia" w:ascii="Arial" w:hAnsi="Arial" w:eastAsia="黑体" w:cs="Times New Roman"/>
          <w:bCs/>
          <w:color w:val="000000"/>
          <w:kern w:val="0"/>
          <w:sz w:val="30"/>
          <w:szCs w:val="32"/>
        </w:rPr>
        <w:t>1.2项目建设范围及勘察设计范围</w:t>
      </w:r>
      <w:bookmarkEnd w:id="24"/>
    </w:p>
    <w:bookmarkEnd w:id="22"/>
    <w:bookmarkEnd w:id="23"/>
    <w:bookmarkEnd w:id="25"/>
    <w:bookmarkEnd w:id="26"/>
    <w:bookmarkEnd w:id="27"/>
    <w:p w14:paraId="441A37FD">
      <w:pPr>
        <w:keepNext/>
        <w:keepLines/>
        <w:spacing w:before="120" w:beforeLines="50" w:after="120" w:afterLines="50"/>
        <w:contextualSpacing/>
        <w:outlineLvl w:val="1"/>
        <w:rPr>
          <w:rFonts w:ascii="Arial" w:hAnsi="Arial" w:eastAsia="黑体" w:cs="Times New Roman"/>
          <w:bCs/>
          <w:color w:val="000000"/>
          <w:kern w:val="0"/>
          <w:sz w:val="28"/>
          <w:szCs w:val="28"/>
        </w:rPr>
      </w:pPr>
      <w:bookmarkStart w:id="28" w:name="_Toc168047416"/>
      <w:r>
        <w:rPr>
          <w:rFonts w:hint="eastAsia" w:ascii="Arial" w:hAnsi="Arial" w:eastAsia="黑体" w:cs="Times New Roman"/>
          <w:bCs/>
          <w:color w:val="000000"/>
          <w:kern w:val="0"/>
          <w:sz w:val="28"/>
          <w:szCs w:val="28"/>
        </w:rPr>
        <w:t>1.2.1项目建设范围</w:t>
      </w:r>
      <w:bookmarkEnd w:id="28"/>
    </w:p>
    <w:p w14:paraId="3CE2C5A5">
      <w:pPr>
        <w:jc w:val="center"/>
        <w:rPr>
          <w:rFonts w:ascii="宋体" w:hAnsi="宋体"/>
          <w:color w:val="000000"/>
          <w:sz w:val="24"/>
        </w:rPr>
      </w:pPr>
      <w:r>
        <w:rPr>
          <w:rFonts w:hint="eastAsia" w:ascii="宋体" w:hAnsi="宋体"/>
          <w:color w:val="000000"/>
          <w:sz w:val="24"/>
        </w:rPr>
        <w:drawing>
          <wp:inline distT="0" distB="0" distL="114300" distR="114300">
            <wp:extent cx="4271645" cy="6043930"/>
            <wp:effectExtent l="0" t="0" r="14605" b="13970"/>
            <wp:docPr id="4" name="图片 4" descr="地块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地块示意图"/>
                    <pic:cNvPicPr>
                      <a:picLocks noChangeAspect="1"/>
                    </pic:cNvPicPr>
                  </pic:nvPicPr>
                  <pic:blipFill>
                    <a:blip r:embed="rId14"/>
                    <a:stretch>
                      <a:fillRect/>
                    </a:stretch>
                  </pic:blipFill>
                  <pic:spPr>
                    <a:xfrm>
                      <a:off x="0" y="0"/>
                      <a:ext cx="4271645" cy="6043930"/>
                    </a:xfrm>
                    <a:prstGeom prst="rect">
                      <a:avLst/>
                    </a:prstGeom>
                  </pic:spPr>
                </pic:pic>
              </a:graphicData>
            </a:graphic>
          </wp:inline>
        </w:drawing>
      </w:r>
    </w:p>
    <w:p w14:paraId="62C51CFC"/>
    <w:p w14:paraId="3EF5EBC7">
      <w:pPr>
        <w:adjustRightInd w:val="0"/>
        <w:snapToGrid w:val="0"/>
        <w:spacing w:line="360" w:lineRule="auto"/>
        <w:jc w:val="center"/>
        <w:rPr>
          <w:rFonts w:ascii="黑体" w:hAnsi="宋体" w:eastAsia="黑体" w:cs="宋体"/>
          <w:sz w:val="28"/>
          <w:szCs w:val="28"/>
        </w:rPr>
      </w:pPr>
      <w:r>
        <w:rPr>
          <w:rFonts w:hint="eastAsia" w:ascii="黑体" w:hAnsi="宋体" w:eastAsia="黑体" w:cs="宋体"/>
          <w:sz w:val="28"/>
          <w:szCs w:val="28"/>
        </w:rPr>
        <w:t>本项目用地地块示意图</w:t>
      </w:r>
    </w:p>
    <w:p w14:paraId="7B631146">
      <w:pPr>
        <w:keepNext/>
        <w:keepLines/>
        <w:spacing w:before="120" w:beforeLines="50" w:after="120" w:afterLines="50"/>
        <w:contextualSpacing/>
        <w:outlineLvl w:val="1"/>
        <w:rPr>
          <w:rFonts w:ascii="Arial" w:hAnsi="Arial" w:eastAsia="黑体" w:cs="Times New Roman"/>
          <w:bCs/>
          <w:color w:val="000000"/>
          <w:kern w:val="0"/>
          <w:sz w:val="28"/>
          <w:szCs w:val="28"/>
        </w:rPr>
      </w:pPr>
      <w:bookmarkStart w:id="29" w:name="_Toc168047417"/>
      <w:r>
        <w:rPr>
          <w:rFonts w:hint="eastAsia" w:ascii="Arial" w:hAnsi="Arial" w:eastAsia="黑体" w:cs="Times New Roman"/>
          <w:bCs/>
          <w:color w:val="000000"/>
          <w:kern w:val="0"/>
          <w:sz w:val="28"/>
          <w:szCs w:val="28"/>
        </w:rPr>
        <w:t>1.2.1项目勘察设计范围</w:t>
      </w:r>
      <w:bookmarkEnd w:id="29"/>
    </w:p>
    <w:p w14:paraId="229A9E6C">
      <w:pPr>
        <w:spacing w:line="360" w:lineRule="auto"/>
        <w:ind w:firstLine="480" w:firstLineChars="200"/>
        <w:rPr>
          <w:rFonts w:ascii="宋体" w:hAnsi="宋体"/>
          <w:color w:val="000000"/>
          <w:sz w:val="24"/>
        </w:rPr>
      </w:pPr>
      <w:r>
        <w:rPr>
          <w:rFonts w:hint="eastAsia" w:ascii="宋体" w:hAnsi="宋体"/>
          <w:color w:val="000000"/>
          <w:sz w:val="24"/>
        </w:rPr>
        <w:t>本项目规划用地红线内及红线外（管线）所涉及建设内容的全部勘察设计工作。</w:t>
      </w:r>
    </w:p>
    <w:p w14:paraId="20BC4F9B">
      <w:pPr>
        <w:keepNext/>
        <w:keepLines/>
        <w:spacing w:before="120" w:beforeLines="50" w:after="120" w:afterLines="50"/>
        <w:contextualSpacing/>
        <w:outlineLvl w:val="1"/>
        <w:rPr>
          <w:rFonts w:ascii="Arial" w:hAnsi="Arial" w:eastAsia="黑体" w:cs="Times New Roman"/>
          <w:bCs/>
          <w:kern w:val="0"/>
          <w:sz w:val="30"/>
          <w:szCs w:val="32"/>
        </w:rPr>
      </w:pPr>
      <w:bookmarkStart w:id="30" w:name="_Toc168047418"/>
      <w:bookmarkStart w:id="31" w:name="_Toc452973690"/>
      <w:bookmarkStart w:id="32" w:name="_Toc452558306"/>
      <w:bookmarkStart w:id="33" w:name="_Toc452558095"/>
      <w:r>
        <w:rPr>
          <w:rFonts w:hint="eastAsia" w:ascii="Arial" w:hAnsi="Arial" w:eastAsia="黑体" w:cs="Times New Roman"/>
          <w:bCs/>
          <w:kern w:val="0"/>
          <w:sz w:val="30"/>
          <w:szCs w:val="32"/>
        </w:rPr>
        <w:t>1.3 建设用地现状情况</w:t>
      </w:r>
      <w:bookmarkEnd w:id="30"/>
      <w:bookmarkEnd w:id="31"/>
      <w:bookmarkEnd w:id="32"/>
      <w:bookmarkEnd w:id="33"/>
    </w:p>
    <w:p w14:paraId="7346B3E3">
      <w:pPr>
        <w:keepNext/>
        <w:keepLines/>
        <w:spacing w:before="260" w:after="260" w:line="415" w:lineRule="auto"/>
        <w:outlineLvl w:val="3"/>
        <w:rPr>
          <w:rFonts w:ascii="宋体" w:hAnsi="宋体" w:eastAsia="黑体" w:cs="Times New Roman"/>
          <w:bCs/>
          <w:kern w:val="0"/>
          <w:sz w:val="28"/>
          <w:szCs w:val="32"/>
        </w:rPr>
      </w:pPr>
      <w:bookmarkStart w:id="34" w:name="_Toc415840329"/>
      <w:bookmarkStart w:id="35" w:name="_Toc452973691"/>
      <w:bookmarkStart w:id="36" w:name="_Toc452558307"/>
      <w:r>
        <w:rPr>
          <w:rFonts w:hint="eastAsia" w:ascii="宋体" w:hAnsi="宋体" w:eastAsia="黑体" w:cs="Times New Roman"/>
          <w:bCs/>
          <w:kern w:val="0"/>
          <w:sz w:val="28"/>
          <w:szCs w:val="32"/>
        </w:rPr>
        <w:t>1.3.1场地条件</w:t>
      </w:r>
      <w:bookmarkEnd w:id="34"/>
      <w:bookmarkEnd w:id="35"/>
      <w:bookmarkEnd w:id="36"/>
    </w:p>
    <w:p w14:paraId="7A700FB6">
      <w:pPr>
        <w:spacing w:line="360" w:lineRule="auto"/>
        <w:ind w:firstLine="480" w:firstLineChars="200"/>
        <w:rPr>
          <w:rFonts w:ascii="宋体" w:hAnsi="宋体"/>
          <w:sz w:val="24"/>
        </w:rPr>
      </w:pPr>
      <w:bookmarkStart w:id="37" w:name="_Toc452558308"/>
      <w:bookmarkStart w:id="38" w:name="_Toc452973692"/>
      <w:bookmarkStart w:id="39" w:name="_Toc415840330"/>
      <w:r>
        <w:rPr>
          <w:rFonts w:hint="eastAsia" w:ascii="宋体" w:hAnsi="宋体"/>
          <w:sz w:val="24"/>
        </w:rPr>
        <w:t>场地位于广州市番禺区广州大学城内，位于珠江三角洲北部边缘，属广州——番禺残丘、台地地貌类型。原岩系下古生界混合岩，其风化层很厚，微风化基岩埋深一般较大，其表层易被水流冲刷，形成圆顶缓坡、高低起伏不大的地形。</w:t>
      </w:r>
    </w:p>
    <w:p w14:paraId="3817A9E3">
      <w:pPr>
        <w:spacing w:line="360" w:lineRule="auto"/>
        <w:ind w:firstLine="480" w:firstLineChars="200"/>
        <w:rPr>
          <w:rFonts w:ascii="宋体" w:hAnsi="宋体"/>
          <w:sz w:val="24"/>
        </w:rPr>
      </w:pPr>
      <w:r>
        <w:rPr>
          <w:rFonts w:hint="eastAsia" w:ascii="宋体" w:hAnsi="宋体"/>
          <w:sz w:val="24"/>
        </w:rPr>
        <w:t>项目场地为低山经过长期风化剥蚀，同时丘间低地经夷平，形成低缓、相对平坦，具微弱起伏的地形。总体上，可分为两地貌单元，其中本项目用地，场地东北侧为残丘，由混合岩和残破积层组成。</w:t>
      </w:r>
    </w:p>
    <w:p w14:paraId="7EDD2B2C">
      <w:pPr>
        <w:spacing w:line="360" w:lineRule="auto"/>
        <w:ind w:firstLine="480" w:firstLineChars="200"/>
        <w:rPr>
          <w:rFonts w:ascii="宋体" w:hAnsi="宋体"/>
          <w:sz w:val="24"/>
        </w:rPr>
      </w:pPr>
      <w:r>
        <w:rPr>
          <w:rFonts w:hint="eastAsia" w:ascii="宋体" w:hAnsi="宋体"/>
          <w:sz w:val="24"/>
        </w:rPr>
        <w:t>场地地势存在一定的高差，场地东侧临山，标高沿山逐渐增高，整体呈现东侧高，西侧低的态势，地面标高最大值31.0m，最小值15.0m，相对高差16.0m。场地北侧紧邻研究生宿舍（一期），场地标高为18.0m。为保证两个建筑之间更好衔接，尽量减少土方工程量的情况下，项目场地标高拟定为18.5m。</w:t>
      </w:r>
    </w:p>
    <w:p w14:paraId="05CE42A8">
      <w:pPr>
        <w:spacing w:line="360" w:lineRule="auto"/>
        <w:jc w:val="center"/>
        <w:rPr>
          <w:rFonts w:ascii="Times New Roman" w:hAnsi="Times New Roman"/>
          <w:color w:val="4F81BD" w:themeColor="accent1"/>
          <w:kern w:val="0"/>
          <w:sz w:val="24"/>
          <w14:textFill>
            <w14:solidFill>
              <w14:schemeClr w14:val="accent1"/>
            </w14:solidFill>
          </w14:textFill>
        </w:rPr>
      </w:pPr>
      <w:r>
        <w:rPr>
          <w:rFonts w:ascii="Times New Roman" w:hAnsi="Times New Roman"/>
          <w:color w:val="4F81BD" w:themeColor="accent1"/>
          <w:kern w:val="0"/>
          <w:sz w:val="24"/>
          <w14:textFill>
            <w14:solidFill>
              <w14:schemeClr w14:val="accent1"/>
            </w14:solidFill>
          </w14:textFill>
        </w:rPr>
        <w:drawing>
          <wp:inline distT="0" distB="0" distL="0" distR="0">
            <wp:extent cx="4599940" cy="3651885"/>
            <wp:effectExtent l="0" t="0" r="1016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99940" cy="3651885"/>
                    </a:xfrm>
                    <a:prstGeom prst="rect">
                      <a:avLst/>
                    </a:prstGeom>
                  </pic:spPr>
                </pic:pic>
              </a:graphicData>
            </a:graphic>
          </wp:inline>
        </w:drawing>
      </w:r>
    </w:p>
    <w:p w14:paraId="54DFCA52">
      <w:pPr>
        <w:adjustRightInd w:val="0"/>
        <w:snapToGrid w:val="0"/>
        <w:spacing w:line="360" w:lineRule="auto"/>
        <w:jc w:val="center"/>
        <w:rPr>
          <w:color w:val="4F81BD" w:themeColor="accent1"/>
          <w14:textFill>
            <w14:solidFill>
              <w14:schemeClr w14:val="accent1"/>
            </w14:solidFill>
          </w14:textFill>
        </w:rPr>
      </w:pPr>
      <w:r>
        <w:rPr>
          <w:rFonts w:ascii="黑体" w:hAnsi="宋体" w:eastAsia="黑体" w:cs="宋体"/>
          <w:sz w:val="28"/>
          <w:szCs w:val="28"/>
        </w:rPr>
        <w:t>场地位置示意图</w:t>
      </w:r>
    </w:p>
    <w:p w14:paraId="28619AD6">
      <w:pPr>
        <w:keepNext/>
        <w:keepLines/>
        <w:spacing w:before="260" w:after="260" w:line="415" w:lineRule="auto"/>
        <w:outlineLvl w:val="3"/>
        <w:rPr>
          <w:rFonts w:ascii="宋体" w:hAnsi="宋体" w:eastAsia="黑体" w:cs="Times New Roman"/>
          <w:bCs/>
          <w:kern w:val="0"/>
          <w:sz w:val="28"/>
          <w:szCs w:val="32"/>
        </w:rPr>
      </w:pPr>
      <w:bookmarkStart w:id="40" w:name="_Toc35857338"/>
      <w:r>
        <w:rPr>
          <w:rFonts w:hint="eastAsia" w:ascii="宋体" w:hAnsi="宋体" w:eastAsia="黑体" w:cs="Times New Roman"/>
          <w:bCs/>
          <w:kern w:val="0"/>
          <w:sz w:val="28"/>
          <w:szCs w:val="32"/>
        </w:rPr>
        <w:t>1.3.</w:t>
      </w:r>
      <w:bookmarkEnd w:id="40"/>
      <w:r>
        <w:rPr>
          <w:rFonts w:hint="eastAsia" w:ascii="宋体" w:hAnsi="宋体" w:eastAsia="黑体" w:cs="Times New Roman"/>
          <w:bCs/>
          <w:kern w:val="0"/>
          <w:sz w:val="28"/>
          <w:szCs w:val="32"/>
        </w:rPr>
        <w:t>2</w:t>
      </w:r>
      <w:r>
        <w:rPr>
          <w:rFonts w:ascii="宋体" w:hAnsi="宋体" w:eastAsia="黑体" w:cs="Times New Roman"/>
          <w:bCs/>
          <w:kern w:val="0"/>
          <w:sz w:val="28"/>
          <w:szCs w:val="32"/>
        </w:rPr>
        <w:t>用地性质</w:t>
      </w:r>
    </w:p>
    <w:p w14:paraId="437DBE90">
      <w:pPr>
        <w:spacing w:line="360" w:lineRule="auto"/>
        <w:ind w:firstLine="480" w:firstLineChars="200"/>
        <w:rPr>
          <w:rFonts w:ascii="宋体" w:hAnsi="宋体"/>
          <w:sz w:val="24"/>
        </w:rPr>
      </w:pPr>
      <w:r>
        <w:rPr>
          <w:rFonts w:hint="eastAsia" w:ascii="宋体" w:hAnsi="宋体"/>
          <w:sz w:val="24"/>
        </w:rPr>
        <w:t>本项目建设场址位于华南理工大学大学城校区规划范围内，权利人为华南理工大学，属华南理工大学自有土地，土地取得方式为划拨，规划用地性质为教育用地，地块规划总用地面积约为</w:t>
      </w:r>
      <w:r>
        <w:rPr>
          <w:rFonts w:ascii="宋体" w:hAnsi="宋体"/>
          <w:sz w:val="24"/>
        </w:rPr>
        <w:t>45860</w:t>
      </w:r>
      <w:r>
        <w:rPr>
          <w:rFonts w:hint="eastAsia" w:ascii="宋体" w:hAnsi="宋体"/>
          <w:sz w:val="24"/>
        </w:rPr>
        <w:t>.</w:t>
      </w:r>
      <w:r>
        <w:rPr>
          <w:rFonts w:ascii="宋体" w:hAnsi="宋体"/>
          <w:sz w:val="24"/>
        </w:rPr>
        <w:t>0</w:t>
      </w:r>
      <w:r>
        <w:rPr>
          <w:rFonts w:hint="eastAsia" w:ascii="宋体" w:hAnsi="宋体"/>
          <w:sz w:val="24"/>
        </w:rPr>
        <w:t>㎡。</w:t>
      </w:r>
    </w:p>
    <w:p w14:paraId="4A046457">
      <w:pPr>
        <w:keepNext/>
        <w:keepLines/>
        <w:spacing w:before="260" w:after="260" w:line="415" w:lineRule="auto"/>
        <w:outlineLvl w:val="3"/>
        <w:rPr>
          <w:rFonts w:ascii="宋体" w:hAnsi="宋体" w:eastAsia="黑体" w:cs="Times New Roman"/>
          <w:bCs/>
          <w:kern w:val="0"/>
          <w:sz w:val="28"/>
          <w:szCs w:val="32"/>
        </w:rPr>
      </w:pPr>
      <w:r>
        <w:rPr>
          <w:rFonts w:hint="eastAsia" w:ascii="宋体" w:hAnsi="宋体" w:eastAsia="黑体" w:cs="Times New Roman"/>
          <w:bCs/>
          <w:kern w:val="0"/>
          <w:sz w:val="28"/>
          <w:szCs w:val="32"/>
        </w:rPr>
        <w:t>1.3.3交通条件</w:t>
      </w:r>
      <w:bookmarkEnd w:id="37"/>
      <w:bookmarkEnd w:id="38"/>
      <w:bookmarkEnd w:id="39"/>
    </w:p>
    <w:p w14:paraId="258A4921">
      <w:pPr>
        <w:spacing w:line="360" w:lineRule="auto"/>
        <w:ind w:firstLine="480" w:firstLineChars="200"/>
        <w:rPr>
          <w:rFonts w:ascii="宋体" w:hAnsi="宋体"/>
          <w:sz w:val="24"/>
        </w:rPr>
      </w:pPr>
      <w:r>
        <w:rPr>
          <w:rFonts w:hint="eastAsia" w:ascii="宋体" w:hAnsi="宋体"/>
          <w:sz w:val="24"/>
        </w:rPr>
        <w:t>华南理工大学大学城校区地处广州大学城东南端，有多条公交线路如大学城专线1、大学城专线2、大学城专线3、382等途经校区，地铁4号线大学城南站出口距离校区约200米。北连南沙港快速及科韵路城市主干道，交通便利。</w:t>
      </w:r>
    </w:p>
    <w:p w14:paraId="45244391">
      <w:pPr>
        <w:spacing w:line="360" w:lineRule="auto"/>
        <w:ind w:firstLine="480" w:firstLineChars="200"/>
        <w:rPr>
          <w:rFonts w:ascii="宋体" w:hAnsi="宋体"/>
          <w:sz w:val="24"/>
        </w:rPr>
      </w:pPr>
      <w:r>
        <w:rPr>
          <w:rFonts w:hint="eastAsia" w:ascii="宋体" w:hAnsi="宋体"/>
          <w:sz w:val="24"/>
        </w:rPr>
        <w:t>本项目拟建设用地位于华南理工大学大学城校区，选址位于校区东北角，</w:t>
      </w:r>
      <w:r>
        <w:rPr>
          <w:rFonts w:hint="eastAsia" w:ascii="宋体" w:hAnsi="宋体" w:cs="TTF46827ACtCID-WinCharSetFFFF-H"/>
          <w:sz w:val="24"/>
          <w:szCs w:val="24"/>
        </w:rPr>
        <w:t>东侧为紧临大学城穗石大道，西侧和南侧为校园内市政道路，北侧为研究生宿舍（一期）</w:t>
      </w:r>
      <w:r>
        <w:rPr>
          <w:rFonts w:hint="eastAsia" w:ascii="宋体" w:hAnsi="宋体"/>
          <w:sz w:val="24"/>
        </w:rPr>
        <w:t>，交通网络完善，内外交通联系便利。</w:t>
      </w:r>
    </w:p>
    <w:p w14:paraId="1B40DD95">
      <w:pPr>
        <w:adjustRightInd w:val="0"/>
        <w:snapToGrid w:val="0"/>
        <w:spacing w:line="360" w:lineRule="auto"/>
        <w:jc w:val="center"/>
        <w:rPr>
          <w:rFonts w:ascii="黑体" w:hAnsi="宋体" w:eastAsia="黑体" w:cs="宋体"/>
          <w:sz w:val="28"/>
          <w:szCs w:val="28"/>
        </w:rPr>
      </w:pPr>
      <w:r>
        <w:rPr>
          <w:rFonts w:ascii="宋体" w:hAnsi="宋体" w:eastAsia="仿宋_GB2312" w:cs="宋体"/>
          <w:sz w:val="24"/>
          <w:szCs w:val="20"/>
        </w:rPr>
        <w:drawing>
          <wp:inline distT="0" distB="0" distL="0" distR="0">
            <wp:extent cx="5758815" cy="3757295"/>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cstate="print">
                      <a:clrChange>
                        <a:clrFrom>
                          <a:srgbClr val="FFFFFF"/>
                        </a:clrFrom>
                        <a:clrTo>
                          <a:srgbClr val="FFFFFF">
                            <a:alpha val="0"/>
                          </a:srgbClr>
                        </a:clrTo>
                      </a:clrChange>
                    </a:blip>
                    <a:srcRect t="4107" b="3626"/>
                    <a:stretch>
                      <a:fillRect/>
                    </a:stretch>
                  </pic:blipFill>
                  <pic:spPr>
                    <a:xfrm>
                      <a:off x="0" y="0"/>
                      <a:ext cx="5759450" cy="3757948"/>
                    </a:xfrm>
                    <a:prstGeom prst="rect">
                      <a:avLst/>
                    </a:prstGeom>
                    <a:ln>
                      <a:noFill/>
                    </a:ln>
                  </pic:spPr>
                </pic:pic>
              </a:graphicData>
            </a:graphic>
          </wp:inline>
        </w:drawing>
      </w:r>
      <w:r>
        <w:rPr>
          <w:rFonts w:hint="eastAsia" w:ascii="黑体" w:hAnsi="宋体" w:eastAsia="黑体" w:cs="宋体"/>
          <w:sz w:val="28"/>
          <w:szCs w:val="28"/>
        </w:rPr>
        <w:t>项目交通图</w:t>
      </w:r>
    </w:p>
    <w:p w14:paraId="228150AF">
      <w:pPr>
        <w:keepNext/>
        <w:keepLines/>
        <w:spacing w:before="260" w:after="260" w:line="415" w:lineRule="auto"/>
        <w:outlineLvl w:val="3"/>
        <w:rPr>
          <w:rFonts w:ascii="宋体" w:hAnsi="宋体" w:eastAsia="黑体" w:cs="Times New Roman"/>
          <w:bCs/>
          <w:kern w:val="0"/>
          <w:sz w:val="28"/>
          <w:szCs w:val="32"/>
        </w:rPr>
      </w:pPr>
      <w:bookmarkStart w:id="41" w:name="_Toc452558309"/>
      <w:bookmarkStart w:id="42" w:name="_Toc452973693"/>
      <w:bookmarkStart w:id="43" w:name="_Toc415840331"/>
      <w:r>
        <w:rPr>
          <w:rFonts w:hint="eastAsia" w:ascii="宋体" w:hAnsi="宋体" w:eastAsia="黑体" w:cs="Times New Roman"/>
          <w:bCs/>
          <w:kern w:val="0"/>
          <w:sz w:val="28"/>
          <w:szCs w:val="32"/>
        </w:rPr>
        <w:t>1.3.4气候条件</w:t>
      </w:r>
      <w:bookmarkEnd w:id="41"/>
      <w:bookmarkEnd w:id="42"/>
      <w:bookmarkEnd w:id="43"/>
    </w:p>
    <w:p w14:paraId="5600FBDA">
      <w:pPr>
        <w:spacing w:line="360" w:lineRule="auto"/>
        <w:ind w:firstLine="480" w:firstLineChars="200"/>
        <w:rPr>
          <w:rFonts w:ascii="宋体" w:hAnsi="宋体"/>
          <w:sz w:val="24"/>
        </w:rPr>
      </w:pPr>
      <w:bookmarkStart w:id="44" w:name="_Toc452973694"/>
      <w:bookmarkStart w:id="45" w:name="_Toc415840332"/>
      <w:bookmarkStart w:id="46" w:name="_Toc452558310"/>
      <w:r>
        <w:rPr>
          <w:rFonts w:hint="eastAsia" w:ascii="宋体" w:hAnsi="宋体"/>
          <w:sz w:val="24"/>
        </w:rPr>
        <w:t>广州市地处亚热带沿海，北回归线从中南部穿过，属海洋性亚热带季风气候，以温暖多雨、光热充足、夏季长、霜期短为特征。由于水热同期，常受台风、暴雨、寒潮、雷电、雾霾等自然灾害威胁。</w:t>
      </w:r>
    </w:p>
    <w:p w14:paraId="7ECAAF76">
      <w:pPr>
        <w:spacing w:line="360" w:lineRule="auto"/>
        <w:ind w:firstLine="480" w:firstLineChars="200"/>
        <w:rPr>
          <w:rFonts w:ascii="宋体" w:hAnsi="宋体"/>
          <w:sz w:val="24"/>
        </w:rPr>
      </w:pPr>
      <w:r>
        <w:rPr>
          <w:rFonts w:hint="eastAsia" w:ascii="宋体" w:hAnsi="宋体"/>
          <w:sz w:val="24"/>
        </w:rPr>
        <w:t>广州市为亚热带季风性气候，气候温暖，多受海洋季风影响，雨水较多，一般夏秋季湿热，多台风暴雨，冬季干燥。年平均气温约20℃，以6～9月份最热，最高温度可达35℃。</w:t>
      </w:r>
    </w:p>
    <w:p w14:paraId="40BA36D5">
      <w:pPr>
        <w:spacing w:line="360" w:lineRule="auto"/>
        <w:ind w:firstLine="480" w:firstLineChars="200"/>
        <w:rPr>
          <w:rFonts w:ascii="宋体" w:hAnsi="宋体"/>
          <w:sz w:val="24"/>
        </w:rPr>
      </w:pPr>
      <w:r>
        <w:rPr>
          <w:rFonts w:hint="eastAsia" w:ascii="宋体" w:hAnsi="宋体"/>
          <w:sz w:val="24"/>
        </w:rPr>
        <w:t>本地区风向在秋冬季（10～3月）以吹东北到西北风为主，夏季吹东南风为主，春季（4、5月）和9月为季风转换季节，偏北风与偏南风频度相当，无特别明显的长年盛行风。常年主导风向为南向略偏东，各月平均风速1.9～2.1m/s。本地区多年平均热带气旋登陆次数4.7次，集中影响广州的月份是7～9月。</w:t>
      </w:r>
    </w:p>
    <w:p w14:paraId="42D651AF">
      <w:pPr>
        <w:spacing w:line="360" w:lineRule="auto"/>
        <w:ind w:firstLine="480" w:firstLineChars="200"/>
        <w:rPr>
          <w:rFonts w:ascii="宋体" w:hAnsi="宋体"/>
          <w:sz w:val="24"/>
        </w:rPr>
      </w:pPr>
      <w:r>
        <w:rPr>
          <w:rFonts w:hint="eastAsia" w:ascii="宋体" w:hAnsi="宋体"/>
          <w:sz w:val="24"/>
        </w:rPr>
        <w:t>年平均降雨量约2000mm，多集中在3～9月份，其中5～6月份最大，可达600～700mm以上，年平均蒸发量约1500～1700mm，年降雨量＞蒸发量。</w:t>
      </w:r>
    </w:p>
    <w:p w14:paraId="33088B47">
      <w:pPr>
        <w:spacing w:line="360" w:lineRule="auto"/>
        <w:ind w:firstLine="480" w:firstLineChars="200"/>
        <w:rPr>
          <w:rFonts w:ascii="宋体" w:hAnsi="宋体"/>
          <w:sz w:val="24"/>
        </w:rPr>
      </w:pPr>
      <w:r>
        <w:rPr>
          <w:rFonts w:hint="eastAsia" w:ascii="宋体" w:hAnsi="宋体"/>
          <w:sz w:val="24"/>
        </w:rPr>
        <w:t>区内地表水系不发育，仅局部低地见有水渠，流量小，且为间歇性，同时海洋潮汐作用，海水回灌形成咸潮的影响范围在本区以外，对本区无影响。</w:t>
      </w:r>
    </w:p>
    <w:p w14:paraId="69D4016D">
      <w:pPr>
        <w:keepNext/>
        <w:keepLines/>
        <w:spacing w:before="260" w:after="260" w:line="415" w:lineRule="auto"/>
        <w:outlineLvl w:val="3"/>
        <w:rPr>
          <w:rFonts w:ascii="宋体" w:hAnsi="宋体" w:eastAsia="黑体" w:cs="Times New Roman"/>
          <w:bCs/>
          <w:kern w:val="0"/>
          <w:sz w:val="28"/>
          <w:szCs w:val="32"/>
        </w:rPr>
      </w:pPr>
      <w:r>
        <w:rPr>
          <w:rFonts w:hint="eastAsia" w:ascii="宋体" w:hAnsi="宋体" w:eastAsia="黑体" w:cs="Times New Roman"/>
          <w:bCs/>
          <w:kern w:val="0"/>
          <w:sz w:val="28"/>
          <w:szCs w:val="32"/>
        </w:rPr>
        <w:t>1.3.5工程地质条件</w:t>
      </w:r>
      <w:bookmarkEnd w:id="44"/>
      <w:bookmarkEnd w:id="45"/>
      <w:bookmarkEnd w:id="46"/>
    </w:p>
    <w:p w14:paraId="05479C40">
      <w:pPr>
        <w:spacing w:line="360" w:lineRule="auto"/>
        <w:ind w:firstLine="480" w:firstLineChars="200"/>
        <w:rPr>
          <w:rFonts w:ascii="宋体" w:hAnsi="宋体"/>
          <w:sz w:val="24"/>
        </w:rPr>
      </w:pPr>
      <w:bookmarkStart w:id="47" w:name="_Toc415840333"/>
      <w:bookmarkStart w:id="48" w:name="_Toc452558311"/>
      <w:bookmarkStart w:id="49" w:name="_Toc452973695"/>
      <w:r>
        <w:rPr>
          <w:rFonts w:hint="eastAsia" w:ascii="宋体" w:hAnsi="宋体"/>
          <w:sz w:val="24"/>
        </w:rPr>
        <w:t>根据《华南理工大学大学城校区研究生宿舍项目勘察设计 岩土工程详细勘察报告》，拟建区域在大地构造上属于华南地槽褶皱系的一部分，主要断裂构造有广三断裂、白坭～沙湾断裂带、高要～惠来断裂带、大良～市桥断裂带等距本场地相对较近。本场地及周围地带，均未有较大断裂通过，对拟建工程不会造成影响。</w:t>
      </w:r>
    </w:p>
    <w:p w14:paraId="2741FB13">
      <w:pPr>
        <w:spacing w:line="360" w:lineRule="auto"/>
        <w:ind w:firstLine="480" w:firstLineChars="200"/>
        <w:rPr>
          <w:rFonts w:ascii="宋体" w:hAnsi="宋体"/>
          <w:sz w:val="24"/>
        </w:rPr>
      </w:pPr>
      <w:r>
        <w:rPr>
          <w:rFonts w:hint="eastAsia" w:ascii="宋体" w:hAnsi="宋体"/>
          <w:sz w:val="24"/>
        </w:rPr>
        <w:t>场地属珠江三角区剥蚀残丘和山前冲积地貌单元；本场下伏基岩为震旦系混合花岗岩。拟建场地下部岩土大体可分10层，自地面向下各层情况如下所述：</w:t>
      </w:r>
    </w:p>
    <w:p w14:paraId="2949C7BE">
      <w:pPr>
        <w:spacing w:line="360" w:lineRule="auto"/>
        <w:ind w:firstLine="480" w:firstLineChars="200"/>
        <w:rPr>
          <w:rFonts w:ascii="宋体" w:hAnsi="宋体"/>
          <w:sz w:val="24"/>
        </w:rPr>
      </w:pPr>
      <w:r>
        <w:rPr>
          <w:rFonts w:hint="eastAsia" w:ascii="宋体" w:hAnsi="宋体"/>
          <w:sz w:val="24"/>
        </w:rPr>
        <w:t>1.人工填土：</w:t>
      </w:r>
    </w:p>
    <w:p w14:paraId="0E809493">
      <w:pPr>
        <w:spacing w:line="360" w:lineRule="auto"/>
        <w:ind w:firstLine="480" w:firstLineChars="200"/>
        <w:rPr>
          <w:rFonts w:ascii="宋体" w:hAnsi="宋体"/>
          <w:sz w:val="24"/>
        </w:rPr>
      </w:pPr>
      <w:r>
        <w:rPr>
          <w:rFonts w:hint="eastAsia" w:ascii="宋体" w:hAnsi="宋体"/>
          <w:sz w:val="24"/>
        </w:rPr>
        <w:t>杂填土，灰褐色，稍湿，松散，主要由粉质粘土和少量建筑垃圾组成，结构较松散。平均厚度为4.84米。</w:t>
      </w:r>
    </w:p>
    <w:p w14:paraId="75D088FE">
      <w:pPr>
        <w:spacing w:line="360" w:lineRule="auto"/>
        <w:ind w:firstLine="480" w:firstLineChars="200"/>
        <w:rPr>
          <w:rFonts w:ascii="宋体" w:hAnsi="宋体"/>
          <w:sz w:val="24"/>
        </w:rPr>
      </w:pPr>
      <w:r>
        <w:rPr>
          <w:rFonts w:hint="eastAsia" w:ascii="宋体" w:hAnsi="宋体"/>
          <w:sz w:val="24"/>
        </w:rPr>
        <w:t>2.第四系坡积层：</w:t>
      </w:r>
    </w:p>
    <w:p w14:paraId="5C245DF3">
      <w:pPr>
        <w:spacing w:line="360" w:lineRule="auto"/>
        <w:ind w:firstLine="480" w:firstLineChars="200"/>
        <w:rPr>
          <w:rFonts w:ascii="宋体" w:hAnsi="宋体"/>
          <w:sz w:val="24"/>
        </w:rPr>
      </w:pPr>
      <w:r>
        <w:rPr>
          <w:rFonts w:hint="eastAsia" w:ascii="宋体" w:hAnsi="宋体"/>
          <w:sz w:val="24"/>
        </w:rPr>
        <w:t>粉质粘土，黄褐色，稍湿，硬可塑，含少量砂粒，为坡积土。平均厚度为3.85米。</w:t>
      </w:r>
    </w:p>
    <w:p w14:paraId="7A351FD8">
      <w:pPr>
        <w:spacing w:line="360" w:lineRule="auto"/>
        <w:ind w:firstLine="480" w:firstLineChars="200"/>
        <w:rPr>
          <w:rFonts w:ascii="宋体" w:hAnsi="宋体"/>
          <w:sz w:val="24"/>
        </w:rPr>
      </w:pPr>
      <w:r>
        <w:rPr>
          <w:rFonts w:hint="eastAsia" w:ascii="宋体" w:hAnsi="宋体"/>
          <w:sz w:val="24"/>
        </w:rPr>
        <w:t>3.第四系冲积层：</w:t>
      </w:r>
    </w:p>
    <w:p w14:paraId="6313A93D">
      <w:pPr>
        <w:spacing w:line="360" w:lineRule="auto"/>
        <w:ind w:firstLine="480" w:firstLineChars="200"/>
        <w:rPr>
          <w:rFonts w:ascii="宋体" w:hAnsi="宋体"/>
          <w:sz w:val="24"/>
        </w:rPr>
      </w:pPr>
      <w:r>
        <w:rPr>
          <w:rFonts w:hint="eastAsia" w:ascii="宋体" w:hAnsi="宋体"/>
          <w:sz w:val="24"/>
        </w:rPr>
        <w:t>（1）淤泥质土，灰黑色，饱和，流塑-软塑，局部夹少量有机质，有腥臭味，局部夹薄层粉细砂。平均厚度为3.33米。</w:t>
      </w:r>
    </w:p>
    <w:p w14:paraId="04506819">
      <w:pPr>
        <w:spacing w:line="360" w:lineRule="auto"/>
        <w:ind w:firstLine="480" w:firstLineChars="200"/>
        <w:rPr>
          <w:rFonts w:ascii="宋体" w:hAnsi="宋体"/>
          <w:sz w:val="24"/>
        </w:rPr>
      </w:pPr>
      <w:r>
        <w:rPr>
          <w:rFonts w:hint="eastAsia" w:ascii="宋体" w:hAnsi="宋体"/>
          <w:sz w:val="24"/>
        </w:rPr>
        <w:t>（2）中砂，灰黄色，饱和，稍密。含少量粘粒。局部夹薄层可塑粉质粘土。平均厚度为2.50米。</w:t>
      </w:r>
    </w:p>
    <w:p w14:paraId="1BB63FE1">
      <w:pPr>
        <w:spacing w:line="360" w:lineRule="auto"/>
        <w:ind w:firstLine="480" w:firstLineChars="200"/>
        <w:rPr>
          <w:rFonts w:ascii="宋体" w:hAnsi="宋体"/>
          <w:sz w:val="24"/>
        </w:rPr>
      </w:pPr>
      <w:r>
        <w:rPr>
          <w:rFonts w:hint="eastAsia" w:ascii="宋体" w:hAnsi="宋体"/>
          <w:sz w:val="24"/>
        </w:rPr>
        <w:t>（3）粉质粘土，灰色，稍湿，可塑。粘性一般。局部夹薄层粉细砂。平均厚度为2.93米。</w:t>
      </w:r>
    </w:p>
    <w:p w14:paraId="39BD6871">
      <w:pPr>
        <w:spacing w:line="360" w:lineRule="auto"/>
        <w:ind w:firstLine="480" w:firstLineChars="200"/>
        <w:rPr>
          <w:rFonts w:ascii="宋体" w:hAnsi="宋体"/>
          <w:sz w:val="24"/>
        </w:rPr>
      </w:pPr>
      <w:r>
        <w:rPr>
          <w:rFonts w:hint="eastAsia" w:ascii="宋体" w:hAnsi="宋体"/>
          <w:sz w:val="24"/>
        </w:rPr>
        <w:t>4.第四系残积层：</w:t>
      </w:r>
    </w:p>
    <w:p w14:paraId="325C7864">
      <w:pPr>
        <w:spacing w:line="360" w:lineRule="auto"/>
        <w:ind w:firstLine="480" w:firstLineChars="200"/>
        <w:rPr>
          <w:rFonts w:ascii="宋体" w:hAnsi="宋体"/>
          <w:sz w:val="24"/>
        </w:rPr>
      </w:pPr>
      <w:r>
        <w:rPr>
          <w:rFonts w:hint="eastAsia" w:ascii="宋体" w:hAnsi="宋体"/>
          <w:sz w:val="24"/>
        </w:rPr>
        <w:t>（1）砂质粘性土，黄褐色，稍湿，硬可塑，为混合花岗岩风化残积土。平均厚度为5.37米。</w:t>
      </w:r>
    </w:p>
    <w:p w14:paraId="208356CB">
      <w:pPr>
        <w:spacing w:line="360" w:lineRule="auto"/>
        <w:ind w:firstLine="480" w:firstLineChars="200"/>
        <w:rPr>
          <w:rFonts w:ascii="宋体" w:hAnsi="宋体"/>
          <w:sz w:val="24"/>
        </w:rPr>
      </w:pPr>
      <w:r>
        <w:rPr>
          <w:rFonts w:hint="eastAsia" w:ascii="宋体" w:hAnsi="宋体"/>
          <w:sz w:val="24"/>
        </w:rPr>
        <w:t>（2）砂质粘性土，黄褐色，稍湿，硬塑，为混合花岗岩风化残积土。平均厚度为7.57米。</w:t>
      </w:r>
    </w:p>
    <w:p w14:paraId="69A561A4">
      <w:pPr>
        <w:spacing w:line="360" w:lineRule="auto"/>
        <w:ind w:firstLine="480" w:firstLineChars="200"/>
        <w:rPr>
          <w:rFonts w:ascii="宋体" w:hAnsi="宋体"/>
          <w:sz w:val="24"/>
        </w:rPr>
      </w:pPr>
      <w:r>
        <w:rPr>
          <w:rFonts w:hint="eastAsia" w:ascii="宋体" w:hAnsi="宋体"/>
          <w:sz w:val="24"/>
        </w:rPr>
        <w:t>5.震旦系基岩：</w:t>
      </w:r>
    </w:p>
    <w:p w14:paraId="089FBDC1">
      <w:pPr>
        <w:spacing w:line="360" w:lineRule="auto"/>
        <w:ind w:firstLine="480" w:firstLineChars="200"/>
        <w:rPr>
          <w:rFonts w:ascii="宋体" w:hAnsi="宋体"/>
          <w:sz w:val="24"/>
        </w:rPr>
      </w:pPr>
      <w:r>
        <w:rPr>
          <w:rFonts w:hint="eastAsia" w:ascii="宋体" w:hAnsi="宋体"/>
          <w:sz w:val="24"/>
        </w:rPr>
        <w:t>（1）全风化混合花岗岩，灰褐色-灰黄色，风化剧烈，散体状结构，裂隙极发育，岩芯呈坚硬土状，遇水易软化、崩解，平均厚度为7.23米。全风化混合花岗岩为极软岩，岩体为极破碎，岩体基本质量等级为Ⅴ级。</w:t>
      </w:r>
    </w:p>
    <w:p w14:paraId="733F3B2D">
      <w:pPr>
        <w:spacing w:line="360" w:lineRule="auto"/>
        <w:ind w:firstLine="480" w:firstLineChars="200"/>
        <w:rPr>
          <w:rFonts w:ascii="宋体" w:hAnsi="宋体"/>
          <w:sz w:val="24"/>
        </w:rPr>
      </w:pPr>
      <w:r>
        <w:rPr>
          <w:rFonts w:hint="eastAsia" w:ascii="宋体" w:hAnsi="宋体"/>
          <w:sz w:val="24"/>
        </w:rPr>
        <w:t>（2）强风化混合花岗岩，灰褐色-灰黄色，风化强烈，散体状-碎裂状结构，裂隙很发育，岩芯多呈半岩半土状，遇水易软化。平均厚度为6.80米。强风化混合花岗岩石为软岩，岩体为极破碎～破碎，岩体基本质量等级为Ⅴ～Ⅳ级。</w:t>
      </w:r>
    </w:p>
    <w:p w14:paraId="5BCE11AD">
      <w:pPr>
        <w:spacing w:line="360" w:lineRule="auto"/>
        <w:ind w:firstLine="480" w:firstLineChars="200"/>
        <w:rPr>
          <w:rFonts w:ascii="宋体" w:hAnsi="宋体"/>
          <w:sz w:val="24"/>
        </w:rPr>
      </w:pPr>
      <w:r>
        <w:rPr>
          <w:rFonts w:hint="eastAsia" w:ascii="宋体" w:hAnsi="宋体"/>
          <w:sz w:val="24"/>
        </w:rPr>
        <w:t>（3）中风化混合花岗岩，风化较弱。中粗粒结构、块状构造；裂隙较发育，岩芯呈块状、短柱状。岩质较硬，锤击声不清脆。平均厚度为1.65米。中等风化混合花岗岩石为较软岩～较硬岩，岩体较破碎～较完整，岩体基本质量等级为Ⅳ～Ⅲ级。</w:t>
      </w:r>
    </w:p>
    <w:p w14:paraId="0B88FC15">
      <w:pPr>
        <w:spacing w:line="360" w:lineRule="auto"/>
        <w:ind w:firstLine="480" w:firstLineChars="200"/>
        <w:rPr>
          <w:rFonts w:ascii="宋体" w:hAnsi="宋体"/>
          <w:sz w:val="24"/>
        </w:rPr>
      </w:pPr>
      <w:r>
        <w:rPr>
          <w:rFonts w:hint="eastAsia" w:ascii="宋体" w:hAnsi="宋体"/>
          <w:sz w:val="24"/>
        </w:rPr>
        <w:t>根据拟建场地地形地质条件，拟建建筑拟采用桩基础(预制桩和灌注桩)或天然地基浅基础形式。</w:t>
      </w:r>
    </w:p>
    <w:p w14:paraId="213B6A21">
      <w:pPr>
        <w:keepNext/>
        <w:keepLines/>
        <w:spacing w:before="260" w:after="260" w:line="415" w:lineRule="auto"/>
        <w:outlineLvl w:val="3"/>
        <w:rPr>
          <w:rFonts w:ascii="宋体" w:hAnsi="宋体" w:eastAsia="黑体" w:cs="Times New Roman"/>
          <w:bCs/>
          <w:kern w:val="0"/>
          <w:sz w:val="28"/>
          <w:szCs w:val="32"/>
        </w:rPr>
      </w:pPr>
      <w:r>
        <w:rPr>
          <w:rFonts w:hint="eastAsia" w:ascii="宋体" w:hAnsi="宋体" w:eastAsia="黑体" w:cs="Times New Roman"/>
          <w:bCs/>
          <w:kern w:val="0"/>
          <w:sz w:val="28"/>
          <w:szCs w:val="32"/>
        </w:rPr>
        <w:t>1.3.6市政条件</w:t>
      </w:r>
      <w:bookmarkEnd w:id="47"/>
      <w:bookmarkEnd w:id="48"/>
      <w:bookmarkEnd w:id="49"/>
    </w:p>
    <w:p w14:paraId="7F6325D0">
      <w:pPr>
        <w:spacing w:line="360" w:lineRule="auto"/>
        <w:ind w:firstLine="480" w:firstLineChars="200"/>
        <w:rPr>
          <w:rFonts w:ascii="宋体" w:hAnsi="宋体"/>
          <w:sz w:val="24"/>
        </w:rPr>
      </w:pPr>
      <w:r>
        <w:rPr>
          <w:rFonts w:hint="eastAsia" w:ascii="宋体" w:hAnsi="宋体"/>
          <w:sz w:val="24"/>
        </w:rPr>
        <w:t>华南理工大学大学城校区地理位置优越，交通运输便捷，电信通讯方便，道路、供水、排水、供热等市政基础设施能够满足上下水、交通、消防及人流疏散的要求。</w:t>
      </w:r>
    </w:p>
    <w:p w14:paraId="19AE94C0">
      <w:pPr>
        <w:keepNext/>
        <w:keepLines/>
        <w:spacing w:before="260" w:after="260" w:line="415" w:lineRule="auto"/>
        <w:outlineLvl w:val="3"/>
        <w:rPr>
          <w:rFonts w:ascii="宋体" w:hAnsi="宋体" w:eastAsia="黑体" w:cs="Times New Roman"/>
          <w:bCs/>
          <w:kern w:val="0"/>
          <w:sz w:val="28"/>
          <w:szCs w:val="32"/>
        </w:rPr>
      </w:pPr>
      <w:bookmarkStart w:id="50" w:name="_Toc452973696"/>
      <w:r>
        <w:rPr>
          <w:rFonts w:hint="eastAsia" w:ascii="宋体" w:hAnsi="宋体" w:eastAsia="黑体" w:cs="Times New Roman"/>
          <w:bCs/>
          <w:kern w:val="0"/>
          <w:sz w:val="28"/>
          <w:szCs w:val="32"/>
        </w:rPr>
        <w:t>1.3.6.1给排水</w:t>
      </w:r>
      <w:bookmarkEnd w:id="50"/>
    </w:p>
    <w:p w14:paraId="598D4AB6">
      <w:pPr>
        <w:spacing w:line="360" w:lineRule="auto"/>
        <w:ind w:firstLine="480" w:firstLineChars="200"/>
        <w:rPr>
          <w:rFonts w:ascii="宋体" w:hAnsi="宋体"/>
          <w:sz w:val="24"/>
        </w:rPr>
      </w:pPr>
      <w:r>
        <w:rPr>
          <w:rFonts w:hint="eastAsia" w:ascii="宋体" w:hAnsi="宋体"/>
          <w:sz w:val="24"/>
        </w:rPr>
        <w:t>拟建场址校园给水管网通达，水量及水质可满足项目使用；市政排水管网管道排水承载量及标高可满足项目排水接入。</w:t>
      </w:r>
    </w:p>
    <w:p w14:paraId="1C781477">
      <w:pPr>
        <w:keepNext/>
        <w:keepLines/>
        <w:spacing w:before="260" w:after="260" w:line="415" w:lineRule="auto"/>
        <w:outlineLvl w:val="3"/>
        <w:rPr>
          <w:rFonts w:ascii="宋体" w:hAnsi="宋体" w:eastAsia="黑体" w:cs="Times New Roman"/>
          <w:bCs/>
          <w:color w:val="FF0000"/>
          <w:kern w:val="0"/>
          <w:sz w:val="28"/>
          <w:szCs w:val="32"/>
        </w:rPr>
      </w:pPr>
      <w:r>
        <w:rPr>
          <w:rFonts w:hint="eastAsia" w:ascii="宋体" w:hAnsi="宋体" w:eastAsia="黑体" w:cs="Times New Roman"/>
          <w:bCs/>
          <w:kern w:val="0"/>
          <w:sz w:val="28"/>
          <w:szCs w:val="32"/>
        </w:rPr>
        <w:t>1.3.6.2供电</w:t>
      </w:r>
    </w:p>
    <w:p w14:paraId="45B5E5BB">
      <w:pPr>
        <w:spacing w:line="360" w:lineRule="auto"/>
        <w:ind w:firstLine="480" w:firstLineChars="200"/>
        <w:rPr>
          <w:rFonts w:ascii="宋体" w:hAnsi="宋体"/>
          <w:sz w:val="24"/>
        </w:rPr>
      </w:pPr>
      <w:r>
        <w:rPr>
          <w:rFonts w:hint="eastAsia" w:ascii="宋体" w:hAnsi="宋体"/>
          <w:sz w:val="24"/>
        </w:rPr>
        <w:t>本工程高压电源来自上级校园开闭所馈出的两路10kV电源，两路电源需满足双重电源要求。校园供电设施经过扩容能够满足本项目的建设要求。</w:t>
      </w:r>
    </w:p>
    <w:p w14:paraId="3D6746EF">
      <w:pPr>
        <w:keepNext/>
        <w:keepLines/>
        <w:spacing w:before="260" w:after="260" w:line="415" w:lineRule="auto"/>
        <w:outlineLvl w:val="3"/>
        <w:rPr>
          <w:rFonts w:ascii="宋体" w:hAnsi="宋体" w:eastAsia="黑体" w:cs="Times New Roman"/>
          <w:bCs/>
          <w:kern w:val="0"/>
          <w:sz w:val="28"/>
          <w:szCs w:val="32"/>
        </w:rPr>
      </w:pPr>
      <w:r>
        <w:rPr>
          <w:rFonts w:hint="eastAsia" w:ascii="宋体" w:hAnsi="宋体" w:eastAsia="黑体" w:cs="Times New Roman"/>
          <w:bCs/>
          <w:kern w:val="0"/>
          <w:sz w:val="28"/>
          <w:szCs w:val="32"/>
        </w:rPr>
        <w:t>1.3.6.</w:t>
      </w:r>
      <w:r>
        <w:rPr>
          <w:rFonts w:ascii="宋体" w:hAnsi="宋体" w:eastAsia="黑体" w:cs="Times New Roman"/>
          <w:bCs/>
          <w:kern w:val="0"/>
          <w:sz w:val="28"/>
          <w:szCs w:val="32"/>
        </w:rPr>
        <w:t>3</w:t>
      </w:r>
      <w:r>
        <w:rPr>
          <w:rFonts w:hint="eastAsia" w:ascii="宋体" w:hAnsi="宋体" w:eastAsia="黑体" w:cs="Times New Roman"/>
          <w:bCs/>
          <w:kern w:val="0"/>
          <w:sz w:val="28"/>
          <w:szCs w:val="32"/>
        </w:rPr>
        <w:t>电信条件</w:t>
      </w:r>
    </w:p>
    <w:p w14:paraId="3E191EA8">
      <w:pPr>
        <w:spacing w:line="360" w:lineRule="auto"/>
        <w:ind w:firstLine="480" w:firstLineChars="200"/>
        <w:rPr>
          <w:rFonts w:ascii="宋体" w:hAnsi="宋体"/>
          <w:sz w:val="24"/>
        </w:rPr>
      </w:pPr>
      <w:r>
        <w:rPr>
          <w:rFonts w:hint="eastAsia" w:ascii="宋体" w:hAnsi="宋体"/>
          <w:sz w:val="24"/>
        </w:rPr>
        <w:t>本项目网络引自校园计算机网络主机房，消防及安防信号引至校园消防安防控制中心。</w:t>
      </w:r>
    </w:p>
    <w:p w14:paraId="64B9F915">
      <w:pPr>
        <w:keepNext/>
        <w:keepLines/>
        <w:spacing w:before="260" w:after="260" w:line="415" w:lineRule="auto"/>
        <w:outlineLvl w:val="3"/>
        <w:rPr>
          <w:rFonts w:ascii="宋体" w:hAnsi="宋体" w:eastAsia="黑体" w:cs="Times New Roman"/>
          <w:bCs/>
          <w:kern w:val="0"/>
          <w:sz w:val="28"/>
          <w:szCs w:val="32"/>
        </w:rPr>
      </w:pPr>
      <w:r>
        <w:rPr>
          <w:rFonts w:hint="eastAsia" w:ascii="宋体" w:hAnsi="宋体" w:eastAsia="黑体" w:cs="Times New Roman"/>
          <w:bCs/>
          <w:kern w:val="0"/>
          <w:sz w:val="28"/>
          <w:szCs w:val="32"/>
        </w:rPr>
        <w:t>1.3.6.</w:t>
      </w:r>
      <w:r>
        <w:rPr>
          <w:rFonts w:ascii="宋体" w:hAnsi="宋体" w:eastAsia="黑体" w:cs="Times New Roman"/>
          <w:bCs/>
          <w:kern w:val="0"/>
          <w:sz w:val="28"/>
          <w:szCs w:val="32"/>
        </w:rPr>
        <w:t>4</w:t>
      </w:r>
      <w:r>
        <w:rPr>
          <w:rFonts w:hint="eastAsia" w:ascii="宋体" w:hAnsi="宋体" w:eastAsia="黑体" w:cs="Times New Roman"/>
          <w:bCs/>
          <w:kern w:val="0"/>
          <w:sz w:val="28"/>
          <w:szCs w:val="32"/>
        </w:rPr>
        <w:t>消防条件</w:t>
      </w:r>
    </w:p>
    <w:p w14:paraId="4D95839A">
      <w:pPr>
        <w:spacing w:line="360" w:lineRule="auto"/>
        <w:ind w:firstLine="480" w:firstLineChars="200"/>
        <w:rPr>
          <w:rFonts w:ascii="宋体" w:hAnsi="宋体"/>
          <w:sz w:val="24"/>
        </w:rPr>
      </w:pPr>
      <w:r>
        <w:rPr>
          <w:rFonts w:hint="eastAsia" w:ascii="宋体" w:hAnsi="宋体"/>
          <w:sz w:val="24"/>
        </w:rPr>
        <w:t>拟建场地位于校区内，消防设施齐全，场地周边有室外消防与杂用水合用管网，水量及水压满足本项目使用需求。</w:t>
      </w:r>
    </w:p>
    <w:p w14:paraId="7BE69723">
      <w:pPr>
        <w:keepNext/>
        <w:keepLines/>
        <w:spacing w:before="260" w:after="260" w:line="415" w:lineRule="auto"/>
        <w:outlineLvl w:val="3"/>
        <w:rPr>
          <w:rFonts w:ascii="宋体" w:hAnsi="宋体" w:eastAsia="黑体" w:cs="Times New Roman"/>
          <w:bCs/>
          <w:kern w:val="0"/>
          <w:sz w:val="28"/>
          <w:szCs w:val="32"/>
        </w:rPr>
      </w:pPr>
      <w:bookmarkStart w:id="51" w:name="_Toc35857343"/>
      <w:r>
        <w:rPr>
          <w:rFonts w:hint="eastAsia" w:ascii="宋体" w:hAnsi="宋体" w:eastAsia="黑体" w:cs="Times New Roman"/>
          <w:bCs/>
          <w:kern w:val="0"/>
          <w:sz w:val="28"/>
          <w:szCs w:val="32"/>
        </w:rPr>
        <w:t>1.3.7</w:t>
      </w:r>
      <w:r>
        <w:rPr>
          <w:rFonts w:ascii="宋体" w:hAnsi="宋体" w:eastAsia="黑体" w:cs="Times New Roman"/>
          <w:bCs/>
          <w:kern w:val="0"/>
          <w:sz w:val="28"/>
          <w:szCs w:val="32"/>
        </w:rPr>
        <w:t>建设条件评价</w:t>
      </w:r>
      <w:bookmarkEnd w:id="51"/>
    </w:p>
    <w:p w14:paraId="58412501">
      <w:pPr>
        <w:spacing w:line="360" w:lineRule="auto"/>
        <w:ind w:firstLine="480" w:firstLineChars="200"/>
        <w:rPr>
          <w:rFonts w:ascii="宋体" w:hAnsi="宋体"/>
          <w:sz w:val="24"/>
        </w:rPr>
      </w:pPr>
      <w:r>
        <w:rPr>
          <w:rFonts w:hint="eastAsia" w:ascii="宋体" w:hAnsi="宋体"/>
          <w:sz w:val="24"/>
        </w:rPr>
        <w:t>综上所述，本项目建设用地符合广州市及华南理工大学大学城校区规划用地要求，选址所在地区周围环境条件较好，水、电、通信等市政配套条件完善，交通条件良好，符合本项目的要求，有利于项目建设和建成后投入使用。</w:t>
      </w:r>
    </w:p>
    <w:p w14:paraId="56358AFA">
      <w:pPr>
        <w:spacing w:line="360" w:lineRule="auto"/>
        <w:jc w:val="center"/>
        <w:rPr>
          <w:rFonts w:ascii="Times New Roman" w:hAnsi="Times New Roman" w:eastAsia="华文中宋" w:cs="Times New Roman"/>
          <w:b/>
          <w:bCs/>
          <w:color w:val="000000"/>
          <w:kern w:val="44"/>
          <w:sz w:val="44"/>
          <w:szCs w:val="44"/>
        </w:rPr>
      </w:pPr>
      <w:r>
        <w:rPr>
          <w:rFonts w:ascii="Times New Roman" w:hAnsi="Times New Roman" w:eastAsia="华文中宋" w:cs="Times New Roman"/>
          <w:b/>
          <w:bCs/>
          <w:color w:val="000000"/>
          <w:kern w:val="44"/>
          <w:sz w:val="44"/>
          <w:szCs w:val="44"/>
        </w:rPr>
        <w:br w:type="page"/>
      </w:r>
      <w:r>
        <w:rPr>
          <w:rFonts w:hint="eastAsia" w:ascii="Times New Roman" w:hAnsi="Times New Roman" w:eastAsia="华文中宋" w:cs="Times New Roman"/>
          <w:b/>
          <w:bCs/>
          <w:color w:val="000000"/>
          <w:kern w:val="44"/>
          <w:sz w:val="44"/>
          <w:szCs w:val="44"/>
        </w:rPr>
        <w:t>第二章设计原则及设计内容</w:t>
      </w:r>
    </w:p>
    <w:p w14:paraId="5F217D13">
      <w:pPr>
        <w:spacing w:line="360" w:lineRule="auto"/>
        <w:ind w:firstLine="480" w:firstLineChars="200"/>
        <w:rPr>
          <w:rFonts w:ascii="宋体" w:hAnsi="宋体"/>
          <w:color w:val="000000"/>
          <w:sz w:val="24"/>
        </w:rPr>
      </w:pPr>
      <w:r>
        <w:rPr>
          <w:rFonts w:ascii="宋体" w:hAnsi="宋体"/>
          <w:color w:val="000000"/>
          <w:sz w:val="24"/>
        </w:rPr>
        <w:t>勘察设计单位应当按照《广东省建设工程勘察设计管理条例》和相关标准开展勘察设计工作，应当建立和健全勘察设计质量保证体系，建立完善的勘察报告和设计文件的内部审查制度，加强勘察设计全过程的质量控制，明确各阶段的责任人。</w:t>
      </w:r>
    </w:p>
    <w:p w14:paraId="22C81D18">
      <w:pPr>
        <w:keepNext/>
        <w:keepLines/>
        <w:spacing w:before="120" w:beforeLines="50" w:after="120" w:afterLines="50"/>
        <w:contextualSpacing/>
        <w:outlineLvl w:val="1"/>
        <w:rPr>
          <w:rFonts w:ascii="Arial" w:hAnsi="Arial" w:eastAsia="黑体" w:cs="Times New Roman"/>
          <w:bCs/>
          <w:color w:val="000000"/>
          <w:kern w:val="0"/>
          <w:sz w:val="30"/>
          <w:szCs w:val="32"/>
        </w:rPr>
      </w:pPr>
      <w:bookmarkStart w:id="52" w:name="_Toc452558098"/>
      <w:bookmarkStart w:id="53" w:name="_Toc452973701"/>
      <w:bookmarkStart w:id="54" w:name="_Toc452558314"/>
      <w:bookmarkStart w:id="55" w:name="_Toc168047419"/>
      <w:r>
        <w:rPr>
          <w:rFonts w:hint="eastAsia" w:ascii="Arial" w:hAnsi="Arial" w:eastAsia="黑体" w:cs="Times New Roman"/>
          <w:bCs/>
          <w:color w:val="000000"/>
          <w:kern w:val="0"/>
          <w:sz w:val="30"/>
          <w:szCs w:val="32"/>
        </w:rPr>
        <w:t>2.1设计原则</w:t>
      </w:r>
      <w:bookmarkEnd w:id="52"/>
      <w:bookmarkEnd w:id="53"/>
      <w:bookmarkEnd w:id="54"/>
      <w:bookmarkEnd w:id="55"/>
      <w:bookmarkStart w:id="56" w:name="_Toc399430872"/>
      <w:bookmarkStart w:id="57" w:name="_Toc330375408"/>
      <w:bookmarkStart w:id="58" w:name="_Toc329351504"/>
    </w:p>
    <w:bookmarkEnd w:id="56"/>
    <w:bookmarkEnd w:id="57"/>
    <w:bookmarkEnd w:id="58"/>
    <w:p w14:paraId="7210D75D">
      <w:pPr>
        <w:keepNext/>
        <w:keepLines/>
        <w:spacing w:before="260" w:after="260" w:line="415" w:lineRule="auto"/>
        <w:outlineLvl w:val="3"/>
        <w:rPr>
          <w:rFonts w:ascii="宋体" w:hAnsi="宋体" w:eastAsia="黑体" w:cs="Times New Roman"/>
          <w:bCs/>
          <w:kern w:val="0"/>
          <w:sz w:val="28"/>
          <w:szCs w:val="32"/>
        </w:rPr>
      </w:pPr>
      <w:bookmarkStart w:id="59" w:name="_Toc452973702"/>
      <w:bookmarkStart w:id="60" w:name="_Toc452558315"/>
      <w:r>
        <w:rPr>
          <w:rFonts w:hint="eastAsia" w:ascii="宋体" w:hAnsi="宋体" w:eastAsia="黑体" w:cs="Times New Roman"/>
          <w:bCs/>
          <w:kern w:val="0"/>
          <w:sz w:val="28"/>
          <w:szCs w:val="32"/>
        </w:rPr>
        <w:t>2.1.1限额设计原则</w:t>
      </w:r>
    </w:p>
    <w:p w14:paraId="0B230D17">
      <w:pPr>
        <w:spacing w:line="360" w:lineRule="auto"/>
        <w:ind w:firstLine="480" w:firstLineChars="200"/>
        <w:rPr>
          <w:rFonts w:ascii="宋体" w:hAnsi="宋体"/>
          <w:color w:val="000000"/>
          <w:sz w:val="24"/>
        </w:rPr>
      </w:pPr>
      <w:r>
        <w:rPr>
          <w:rFonts w:hint="eastAsia" w:ascii="宋体" w:hAnsi="宋体"/>
          <w:color w:val="000000"/>
          <w:sz w:val="24"/>
        </w:rPr>
        <w:t>设计单位</w:t>
      </w:r>
      <w:r>
        <w:rPr>
          <w:rFonts w:ascii="宋体" w:hAnsi="宋体"/>
          <w:color w:val="000000"/>
          <w:sz w:val="24"/>
        </w:rPr>
        <w:t>应按照政府固定资产投资应当坚持估算控制概算，概算控制预算，预算控制决算的原则，执行《广州市政府投资管理条例》做好限额设计。</w:t>
      </w:r>
    </w:p>
    <w:p w14:paraId="5AB9DA09">
      <w:pPr>
        <w:spacing w:line="360" w:lineRule="auto"/>
        <w:ind w:firstLine="480" w:firstLineChars="200"/>
        <w:rPr>
          <w:rFonts w:ascii="宋体" w:hAnsi="宋体"/>
          <w:color w:val="000000"/>
          <w:sz w:val="24"/>
        </w:rPr>
      </w:pPr>
      <w:r>
        <w:rPr>
          <w:rFonts w:hint="eastAsia" w:ascii="宋体" w:hAnsi="宋体"/>
          <w:color w:val="000000"/>
          <w:sz w:val="24"/>
        </w:rPr>
        <w:t>应</w:t>
      </w:r>
      <w:r>
        <w:rPr>
          <w:rFonts w:ascii="宋体" w:hAnsi="宋体"/>
          <w:color w:val="000000"/>
          <w:sz w:val="24"/>
        </w:rPr>
        <w:t>做到初步设计成果的编制提交要与初步设计概算的编制提交同步进行，施工图设计成果的编制提交要与施工图预算的编制提交同步进行，做到项目立项和可行性研究报告批复的建设事项与勘察设计成果及项目概（预）算编制事项应相互统一。</w:t>
      </w:r>
    </w:p>
    <w:p w14:paraId="26EE6B54">
      <w:pPr>
        <w:keepNext/>
        <w:keepLines/>
        <w:spacing w:before="260" w:after="260" w:line="415" w:lineRule="auto"/>
        <w:outlineLvl w:val="3"/>
        <w:rPr>
          <w:rFonts w:ascii="宋体" w:hAnsi="宋体" w:eastAsia="黑体" w:cs="Times New Roman"/>
          <w:bCs/>
          <w:kern w:val="0"/>
          <w:sz w:val="28"/>
          <w:szCs w:val="32"/>
        </w:rPr>
      </w:pPr>
      <w:r>
        <w:rPr>
          <w:rFonts w:hint="eastAsia" w:ascii="宋体" w:hAnsi="宋体" w:eastAsia="黑体" w:cs="Times New Roman"/>
          <w:bCs/>
          <w:kern w:val="0"/>
          <w:sz w:val="28"/>
          <w:szCs w:val="32"/>
        </w:rPr>
        <w:t>2.1.2满足规范标准原则</w:t>
      </w:r>
      <w:bookmarkEnd w:id="59"/>
      <w:bookmarkEnd w:id="60"/>
    </w:p>
    <w:p w14:paraId="23984A1D">
      <w:pPr>
        <w:spacing w:line="360" w:lineRule="auto"/>
        <w:ind w:firstLine="480" w:firstLineChars="200"/>
        <w:rPr>
          <w:rFonts w:ascii="宋体" w:hAnsi="宋体"/>
          <w:color w:val="000000"/>
          <w:sz w:val="24"/>
        </w:rPr>
      </w:pPr>
      <w:r>
        <w:rPr>
          <w:color w:val="000000"/>
          <w:sz w:val="24"/>
        </w:rPr>
        <w:t>应参考相关规范的要求</w:t>
      </w:r>
      <w:r>
        <w:rPr>
          <w:rFonts w:hint="eastAsia"/>
          <w:color w:val="000000"/>
          <w:sz w:val="24"/>
        </w:rPr>
        <w:t>，并</w:t>
      </w:r>
      <w:r>
        <w:rPr>
          <w:rFonts w:hint="eastAsia" w:ascii="宋体" w:hAnsi="宋体"/>
          <w:color w:val="000000"/>
          <w:sz w:val="24"/>
        </w:rPr>
        <w:t>满足国家现行相关设计的规范标准的要求及设计行业相关技术规范条文的要求，严格执行国家工程建设标准强制性条文</w:t>
      </w:r>
      <w:r>
        <w:rPr>
          <w:color w:val="000000"/>
          <w:sz w:val="24"/>
        </w:rPr>
        <w:t>。</w:t>
      </w:r>
    </w:p>
    <w:p w14:paraId="245FF0C9">
      <w:pPr>
        <w:keepNext/>
        <w:keepLines/>
        <w:spacing w:before="260" w:after="260" w:line="415" w:lineRule="auto"/>
        <w:outlineLvl w:val="3"/>
        <w:rPr>
          <w:rFonts w:ascii="宋体" w:hAnsi="宋体" w:eastAsia="黑体" w:cs="Times New Roman"/>
          <w:bCs/>
          <w:kern w:val="0"/>
          <w:sz w:val="28"/>
          <w:szCs w:val="32"/>
        </w:rPr>
      </w:pPr>
      <w:bookmarkStart w:id="61" w:name="_Toc452558316"/>
      <w:bookmarkStart w:id="62" w:name="_Toc452973703"/>
      <w:r>
        <w:rPr>
          <w:rFonts w:hint="eastAsia" w:ascii="宋体" w:hAnsi="宋体" w:eastAsia="黑体" w:cs="Times New Roman"/>
          <w:bCs/>
          <w:kern w:val="0"/>
          <w:sz w:val="28"/>
          <w:szCs w:val="32"/>
        </w:rPr>
        <w:t>2.1.3绿色生态原则</w:t>
      </w:r>
    </w:p>
    <w:p w14:paraId="0FA515FB">
      <w:pPr>
        <w:spacing w:line="360" w:lineRule="auto"/>
        <w:ind w:firstLine="480" w:firstLineChars="200"/>
        <w:rPr>
          <w:rFonts w:ascii="宋体" w:hAnsi="宋体"/>
          <w:color w:val="000000"/>
          <w:sz w:val="24"/>
        </w:rPr>
      </w:pPr>
      <w:r>
        <w:rPr>
          <w:rFonts w:hint="eastAsia" w:ascii="宋体" w:hAnsi="宋体"/>
          <w:color w:val="000000"/>
          <w:sz w:val="24"/>
        </w:rPr>
        <w:t>广州市属亚热带季风气候。规划与建筑设计应充分考虑广州市的气候特征，充分利用自然通风，合理控制直接照射室内的阳光，体现生态思想和节能观念。同时设计要体现可持续发展的理念。</w:t>
      </w:r>
    </w:p>
    <w:p w14:paraId="4B48F22F">
      <w:pPr>
        <w:keepNext/>
        <w:keepLines/>
        <w:spacing w:before="260" w:after="260" w:line="415" w:lineRule="auto"/>
        <w:outlineLvl w:val="3"/>
        <w:rPr>
          <w:rFonts w:ascii="宋体" w:hAnsi="宋体" w:eastAsia="黑体" w:cs="Times New Roman"/>
          <w:bCs/>
          <w:kern w:val="0"/>
          <w:sz w:val="28"/>
          <w:szCs w:val="32"/>
        </w:rPr>
      </w:pPr>
      <w:r>
        <w:rPr>
          <w:rFonts w:hint="eastAsia" w:ascii="宋体" w:hAnsi="宋体" w:eastAsia="黑体" w:cs="Times New Roman"/>
          <w:bCs/>
          <w:kern w:val="0"/>
          <w:sz w:val="28"/>
          <w:szCs w:val="32"/>
        </w:rPr>
        <w:t>2.1.4经济合理美观原则</w:t>
      </w:r>
    </w:p>
    <w:p w14:paraId="487FD129">
      <w:pPr>
        <w:spacing w:line="360" w:lineRule="auto"/>
        <w:ind w:firstLine="480" w:firstLineChars="200"/>
      </w:pPr>
      <w:r>
        <w:rPr>
          <w:rFonts w:hint="eastAsia" w:ascii="宋体" w:hAnsi="宋体"/>
          <w:color w:val="000000"/>
          <w:sz w:val="24"/>
        </w:rPr>
        <w:t>在保证方案的可实施和可操作性前提下，设计中需要定量分析的设计内容，应通过计算，用数据说明其技术经济的合理性。同时应提供各阶段技术经济分析资料，以力求各阶段设计成果能充分体现设计优化的原则。</w:t>
      </w:r>
    </w:p>
    <w:p w14:paraId="6A87F4CC">
      <w:pPr>
        <w:keepNext/>
        <w:keepLines/>
        <w:spacing w:before="260" w:after="260" w:line="415" w:lineRule="auto"/>
        <w:outlineLvl w:val="3"/>
        <w:rPr>
          <w:rFonts w:ascii="宋体" w:hAnsi="宋体" w:eastAsia="黑体" w:cs="Times New Roman"/>
          <w:bCs/>
          <w:kern w:val="0"/>
          <w:sz w:val="28"/>
          <w:szCs w:val="32"/>
        </w:rPr>
      </w:pPr>
      <w:r>
        <w:rPr>
          <w:rFonts w:hint="eastAsia" w:ascii="宋体" w:hAnsi="宋体" w:eastAsia="黑体" w:cs="Times New Roman"/>
          <w:bCs/>
          <w:kern w:val="0"/>
          <w:sz w:val="28"/>
          <w:szCs w:val="32"/>
        </w:rPr>
        <w:t>2.1.5因地适宜原则</w:t>
      </w:r>
      <w:bookmarkEnd w:id="61"/>
      <w:bookmarkEnd w:id="62"/>
    </w:p>
    <w:p w14:paraId="7CC72D51">
      <w:pPr>
        <w:spacing w:line="360" w:lineRule="auto"/>
        <w:ind w:firstLine="480" w:firstLineChars="200"/>
        <w:rPr>
          <w:rFonts w:ascii="宋体" w:hAnsi="宋体"/>
          <w:color w:val="000000"/>
          <w:sz w:val="24"/>
        </w:rPr>
      </w:pPr>
      <w:r>
        <w:rPr>
          <w:rFonts w:hint="eastAsia" w:ascii="宋体" w:hAnsi="宋体"/>
          <w:color w:val="000000"/>
          <w:sz w:val="24"/>
        </w:rPr>
        <w:t>本项目位于广东省广州市番禺区广州大学城外环东路382号华南理工大学大学城校区，用地性质为高等院校用地，</w:t>
      </w:r>
      <w:r>
        <w:rPr>
          <w:rFonts w:hint="eastAsia" w:ascii="宋体" w:hAnsi="宋体" w:cs="TTF46827ACtCID-WinCharSetFFFF-H"/>
          <w:sz w:val="24"/>
          <w:szCs w:val="24"/>
        </w:rPr>
        <w:t>东侧为紧临大学城穗石大道，西侧和南侧为校园道路，北侧为研究生宿舍（一期）</w:t>
      </w:r>
      <w:r>
        <w:rPr>
          <w:rFonts w:hint="eastAsia" w:ascii="宋体" w:hAnsi="宋体"/>
          <w:color w:val="000000"/>
          <w:sz w:val="24"/>
        </w:rPr>
        <w:t>。</w:t>
      </w:r>
      <w:r>
        <w:rPr>
          <w:rFonts w:ascii="宋体" w:hAnsi="宋体"/>
          <w:color w:val="000000"/>
          <w:sz w:val="24"/>
        </w:rPr>
        <w:t>现</w:t>
      </w:r>
      <w:r>
        <w:rPr>
          <w:rFonts w:hint="eastAsia" w:ascii="宋体" w:hAnsi="宋体"/>
          <w:color w:val="000000"/>
          <w:sz w:val="24"/>
        </w:rPr>
        <w:t>场小</w:t>
      </w:r>
      <w:r>
        <w:rPr>
          <w:rFonts w:ascii="宋体" w:hAnsi="宋体"/>
          <w:color w:val="000000"/>
          <w:sz w:val="24"/>
        </w:rPr>
        <w:t>树</w:t>
      </w:r>
      <w:r>
        <w:rPr>
          <w:rFonts w:hint="eastAsia" w:ascii="宋体" w:hAnsi="宋体"/>
          <w:color w:val="000000"/>
          <w:sz w:val="24"/>
        </w:rPr>
        <w:t>和杂树</w:t>
      </w:r>
      <w:r>
        <w:rPr>
          <w:rFonts w:ascii="宋体" w:hAnsi="宋体"/>
          <w:color w:val="000000"/>
          <w:sz w:val="24"/>
        </w:rPr>
        <w:t>较多，且地形为坡地。</w:t>
      </w:r>
      <w:r>
        <w:rPr>
          <w:rFonts w:hint="eastAsia" w:ascii="宋体" w:hAnsi="宋体"/>
          <w:color w:val="000000"/>
          <w:sz w:val="24"/>
        </w:rPr>
        <w:t>设计应充分考虑周边建筑及环境协调，基坑支护、土石方开挖及场地竖向设计均应结合地形，优化设计并进行方案比选，合理布置设计及交通流线。外立面选材要考虑与周边建筑协调及耐久性等问题。</w:t>
      </w:r>
    </w:p>
    <w:p w14:paraId="00227C42"/>
    <w:p w14:paraId="46059EF5">
      <w:pPr>
        <w:keepNext/>
        <w:keepLines/>
        <w:spacing w:before="120" w:beforeLines="50" w:after="120" w:afterLines="50"/>
        <w:contextualSpacing/>
        <w:outlineLvl w:val="1"/>
        <w:rPr>
          <w:rFonts w:ascii="Arial" w:hAnsi="Arial" w:eastAsia="黑体" w:cs="Times New Roman"/>
          <w:bCs/>
          <w:color w:val="000000"/>
          <w:kern w:val="0"/>
          <w:sz w:val="30"/>
          <w:szCs w:val="32"/>
        </w:rPr>
      </w:pPr>
      <w:bookmarkStart w:id="63" w:name="_Toc168047420"/>
      <w:bookmarkStart w:id="64" w:name="_Toc447612864"/>
      <w:bookmarkStart w:id="65" w:name="_Toc452973685"/>
      <w:bookmarkStart w:id="66" w:name="_Toc447612385"/>
      <w:bookmarkStart w:id="67" w:name="_Toc452558305"/>
      <w:r>
        <w:rPr>
          <w:rFonts w:hint="eastAsia" w:ascii="Arial" w:hAnsi="Arial" w:eastAsia="黑体" w:cs="Times New Roman"/>
          <w:bCs/>
          <w:color w:val="000000"/>
          <w:kern w:val="0"/>
          <w:sz w:val="30"/>
          <w:szCs w:val="32"/>
        </w:rPr>
        <w:t>2.2勘察设计内容</w:t>
      </w:r>
      <w:bookmarkEnd w:id="63"/>
      <w:bookmarkEnd w:id="64"/>
      <w:bookmarkEnd w:id="65"/>
      <w:bookmarkEnd w:id="66"/>
      <w:bookmarkEnd w:id="67"/>
    </w:p>
    <w:p w14:paraId="60AFF292">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此部分内容设选项按标准化模式设置，标注“√”的选项即为本项目采用，标注“×”的选项为本项目不采用。</w:t>
      </w:r>
      <w:r>
        <w:rPr>
          <w:rFonts w:hint="eastAsia" w:ascii="宋体" w:hAnsi="宋体"/>
          <w:snapToGrid w:val="0"/>
          <w:color w:val="000000"/>
          <w:kern w:val="0"/>
          <w:sz w:val="24"/>
        </w:rPr>
        <w:t>包括但不限于以下内容：</w:t>
      </w:r>
    </w:p>
    <w:p w14:paraId="58F9C3E6">
      <w:pPr>
        <w:adjustRightInd w:val="0"/>
        <w:snapToGrid w:val="0"/>
        <w:spacing w:line="360" w:lineRule="auto"/>
        <w:ind w:firstLine="360" w:firstLineChars="200"/>
        <w:rPr>
          <w:rFonts w:ascii="宋体" w:hAnsi="宋体"/>
          <w:bCs/>
          <w:snapToGrid w:val="0"/>
          <w:color w:val="000000"/>
          <w:kern w:val="0"/>
          <w:sz w:val="18"/>
          <w:szCs w:val="18"/>
          <w:bdr w:val="single" w:color="auto" w:sz="4" w:space="0"/>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1）规划用地红线内（含代征用地）及红线外（管线）所涉及建设内容的全部勘察：根据地下、地上物探成果报告，收集周边地下、地上管线、建筑物、构筑物相关资料，编制项目前期摸查报告；进行初步勘察、详细勘察和初测、定测实施工作，编制勘探、测量技术文件，编制勘探、土洞溶洞探测等相关总图，</w:t>
      </w:r>
      <w:r>
        <w:rPr>
          <w:rFonts w:hint="eastAsia" w:ascii="宋体" w:hAnsi="宋体"/>
          <w:snapToGrid w:val="0"/>
          <w:kern w:val="0"/>
          <w:sz w:val="24"/>
        </w:rPr>
        <w:t>如有必要进行的超前钻勘察工作（超前钻在桩基施工阶段进行，超前费用不包含在本次招标的初步、详细勘察设计费中）；负责协调和配合相关主管部门对相关工作成果进行审批，直至获得批复。</w:t>
      </w:r>
    </w:p>
    <w:p w14:paraId="00DD27E0">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（2）</w:t>
      </w:r>
      <w:r>
        <w:rPr>
          <w:rFonts w:ascii="宋体" w:hAnsi="宋体"/>
          <w:snapToGrid w:val="0"/>
          <w:color w:val="000000"/>
          <w:kern w:val="0"/>
          <w:sz w:val="24"/>
        </w:rPr>
        <w:t>方案修改</w:t>
      </w:r>
      <w:r>
        <w:rPr>
          <w:rFonts w:hint="eastAsia" w:ascii="宋体" w:hAnsi="宋体"/>
          <w:snapToGrid w:val="0"/>
          <w:color w:val="000000"/>
          <w:kern w:val="0"/>
          <w:sz w:val="24"/>
        </w:rPr>
        <w:t>及</w:t>
      </w:r>
      <w:r>
        <w:rPr>
          <w:rFonts w:ascii="宋体" w:hAnsi="宋体"/>
          <w:snapToGrid w:val="0"/>
          <w:color w:val="000000"/>
          <w:kern w:val="0"/>
          <w:sz w:val="24"/>
        </w:rPr>
        <w:t>完善：根据</w:t>
      </w:r>
      <w:r>
        <w:rPr>
          <w:rFonts w:hint="eastAsia" w:ascii="宋体" w:hAnsi="宋体"/>
          <w:snapToGrid w:val="0"/>
          <w:color w:val="000000"/>
          <w:kern w:val="0"/>
          <w:sz w:val="24"/>
        </w:rPr>
        <w:t>现行</w:t>
      </w:r>
      <w:r>
        <w:rPr>
          <w:rFonts w:ascii="宋体" w:hAnsi="宋体"/>
          <w:snapToGrid w:val="0"/>
          <w:color w:val="000000"/>
          <w:kern w:val="0"/>
          <w:sz w:val="24"/>
        </w:rPr>
        <w:t>《建筑工程设计文件编制深度规定》</w:t>
      </w:r>
      <w:r>
        <w:rPr>
          <w:rFonts w:hint="eastAsia" w:ascii="宋体" w:hAnsi="宋体"/>
          <w:snapToGrid w:val="0"/>
          <w:color w:val="000000"/>
          <w:kern w:val="0"/>
          <w:sz w:val="24"/>
          <w:u w:val="single"/>
        </w:rPr>
        <w:t>、《市政公用工程设计文件编制深度规定》</w:t>
      </w:r>
      <w:r>
        <w:rPr>
          <w:rFonts w:ascii="宋体" w:hAnsi="宋体"/>
          <w:snapToGrid w:val="0"/>
          <w:color w:val="000000"/>
          <w:kern w:val="0"/>
          <w:sz w:val="24"/>
        </w:rPr>
        <w:t>中关于方案设计应达到的设计深度要求，同时根据专家评审意见及</w:t>
      </w:r>
      <w:r>
        <w:rPr>
          <w:rFonts w:hint="eastAsia" w:ascii="宋体" w:hAnsi="宋体"/>
          <w:snapToGrid w:val="0"/>
          <w:color w:val="000000"/>
          <w:kern w:val="0"/>
          <w:sz w:val="24"/>
        </w:rPr>
        <w:t>有关</w:t>
      </w:r>
      <w:r>
        <w:rPr>
          <w:rFonts w:ascii="宋体" w:hAnsi="宋体"/>
          <w:snapToGrid w:val="0"/>
          <w:color w:val="000000"/>
          <w:kern w:val="0"/>
          <w:sz w:val="24"/>
        </w:rPr>
        <w:t>职能部门提出的修改意见，对</w:t>
      </w:r>
      <w:r>
        <w:rPr>
          <w:rFonts w:hint="eastAsia" w:ascii="宋体" w:hAnsi="宋体"/>
          <w:snapToGrid w:val="0"/>
          <w:color w:val="000000"/>
          <w:kern w:val="0"/>
          <w:sz w:val="24"/>
        </w:rPr>
        <w:t>甲方选定的</w:t>
      </w:r>
      <w:r>
        <w:rPr>
          <w:rFonts w:ascii="宋体" w:hAnsi="宋体"/>
          <w:snapToGrid w:val="0"/>
          <w:color w:val="000000"/>
          <w:kern w:val="0"/>
          <w:sz w:val="24"/>
        </w:rPr>
        <w:t>设计方案进行修改和完善。</w:t>
      </w:r>
    </w:p>
    <w:p w14:paraId="3F4F5D45">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（3）设计方案审查所需的资料</w:t>
      </w:r>
      <w:r>
        <w:rPr>
          <w:rFonts w:ascii="宋体" w:hAnsi="宋体"/>
          <w:snapToGrid w:val="0"/>
          <w:color w:val="000000"/>
          <w:kern w:val="0"/>
          <w:sz w:val="24"/>
        </w:rPr>
        <w:t>：</w:t>
      </w:r>
      <w:r>
        <w:rPr>
          <w:rFonts w:hint="eastAsia" w:ascii="宋体" w:hAnsi="宋体"/>
          <w:bCs/>
          <w:snapToGrid w:val="0"/>
          <w:color w:val="000000"/>
          <w:kern w:val="0"/>
          <w:sz w:val="24"/>
          <w:u w:val="single"/>
        </w:rPr>
        <w:t>项目</w:t>
      </w:r>
      <w:r>
        <w:rPr>
          <w:rFonts w:ascii="宋体" w:hAnsi="宋体"/>
          <w:snapToGrid w:val="0"/>
          <w:color w:val="000000"/>
          <w:kern w:val="0"/>
          <w:sz w:val="24"/>
        </w:rPr>
        <w:t>范围内</w:t>
      </w:r>
      <w:r>
        <w:rPr>
          <w:rFonts w:hint="eastAsia" w:ascii="宋体" w:hAnsi="宋体"/>
          <w:b/>
          <w:snapToGrid w:val="0"/>
          <w:color w:val="000000"/>
          <w:kern w:val="0"/>
          <w:sz w:val="24"/>
          <w:u w:val="single"/>
        </w:rPr>
        <w:t>（具体以甲方书面要求为准）</w:t>
      </w:r>
      <w:r>
        <w:rPr>
          <w:rFonts w:ascii="宋体" w:hAnsi="宋体"/>
          <w:snapToGrid w:val="0"/>
          <w:color w:val="000000"/>
          <w:kern w:val="0"/>
          <w:sz w:val="24"/>
        </w:rPr>
        <w:t>总平面及竖向规划设计、</w:t>
      </w:r>
      <w:r>
        <w:rPr>
          <w:rFonts w:hint="eastAsia" w:ascii="宋体" w:hAnsi="宋体"/>
          <w:snapToGrid w:val="0"/>
          <w:color w:val="000000"/>
          <w:kern w:val="0"/>
          <w:sz w:val="24"/>
        </w:rPr>
        <w:t>管线综合设计、</w:t>
      </w:r>
      <w:r>
        <w:rPr>
          <w:rFonts w:ascii="宋体" w:hAnsi="宋体"/>
          <w:snapToGrid w:val="0"/>
          <w:color w:val="000000"/>
          <w:kern w:val="0"/>
          <w:sz w:val="24"/>
        </w:rPr>
        <w:t>建筑</w:t>
      </w:r>
      <w:r>
        <w:rPr>
          <w:rFonts w:hint="eastAsia" w:ascii="宋体" w:hAnsi="宋体"/>
          <w:snapToGrid w:val="0"/>
          <w:color w:val="000000"/>
          <w:kern w:val="0"/>
          <w:sz w:val="24"/>
        </w:rPr>
        <w:t>布局、</w:t>
      </w:r>
      <w:r>
        <w:rPr>
          <w:rFonts w:ascii="宋体" w:hAnsi="宋体"/>
          <w:snapToGrid w:val="0"/>
          <w:color w:val="000000"/>
          <w:kern w:val="0"/>
          <w:sz w:val="24"/>
        </w:rPr>
        <w:t>交通组织、景观绿化、</w:t>
      </w:r>
      <w:r>
        <w:rPr>
          <w:rFonts w:hint="eastAsia" w:ascii="宋体" w:hAnsi="宋体"/>
          <w:snapToGrid w:val="0"/>
          <w:color w:val="000000"/>
          <w:kern w:val="0"/>
          <w:sz w:val="24"/>
        </w:rPr>
        <w:t>建筑立面、</w:t>
      </w:r>
      <w:r>
        <w:rPr>
          <w:rFonts w:ascii="宋体" w:hAnsi="宋体"/>
          <w:snapToGrid w:val="0"/>
          <w:color w:val="000000"/>
          <w:kern w:val="0"/>
          <w:sz w:val="24"/>
        </w:rPr>
        <w:t>环境</w:t>
      </w:r>
      <w:r>
        <w:rPr>
          <w:rFonts w:hint="eastAsia" w:ascii="宋体" w:hAnsi="宋体"/>
          <w:snapToGrid w:val="0"/>
          <w:color w:val="000000"/>
          <w:kern w:val="0"/>
          <w:sz w:val="24"/>
        </w:rPr>
        <w:t>节能</w:t>
      </w:r>
      <w:r>
        <w:rPr>
          <w:rFonts w:ascii="宋体" w:hAnsi="宋体"/>
          <w:snapToGrid w:val="0"/>
          <w:color w:val="000000"/>
          <w:kern w:val="0"/>
          <w:sz w:val="24"/>
        </w:rPr>
        <w:t>保护等。</w:t>
      </w:r>
    </w:p>
    <w:p w14:paraId="62B9EFF0">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（4）</w:t>
      </w:r>
      <w:r>
        <w:rPr>
          <w:rFonts w:ascii="宋体" w:hAnsi="宋体"/>
          <w:snapToGrid w:val="0"/>
          <w:color w:val="000000"/>
          <w:kern w:val="0"/>
          <w:sz w:val="24"/>
        </w:rPr>
        <w:t>室外</w:t>
      </w:r>
      <w:r>
        <w:rPr>
          <w:rFonts w:hint="eastAsia" w:ascii="宋体" w:hAnsi="宋体"/>
          <w:snapToGrid w:val="0"/>
          <w:color w:val="000000"/>
          <w:kern w:val="0"/>
          <w:sz w:val="24"/>
        </w:rPr>
        <w:t>市政、园林</w:t>
      </w:r>
      <w:r>
        <w:rPr>
          <w:rFonts w:ascii="宋体" w:hAnsi="宋体"/>
          <w:snapToGrid w:val="0"/>
          <w:color w:val="000000"/>
          <w:kern w:val="0"/>
          <w:sz w:val="24"/>
        </w:rPr>
        <w:t>工程设计</w:t>
      </w:r>
      <w:r>
        <w:rPr>
          <w:rFonts w:hint="eastAsia" w:ascii="宋体" w:hAnsi="宋体"/>
          <w:bCs/>
          <w:snapToGrid w:val="0"/>
          <w:color w:val="000000"/>
          <w:kern w:val="0"/>
          <w:sz w:val="24"/>
          <w:u w:val="single"/>
        </w:rPr>
        <w:t>项目</w:t>
      </w:r>
      <w:r>
        <w:rPr>
          <w:rFonts w:ascii="宋体" w:hAnsi="宋体"/>
          <w:snapToGrid w:val="0"/>
          <w:color w:val="000000"/>
          <w:kern w:val="0"/>
          <w:sz w:val="24"/>
        </w:rPr>
        <w:t>范围内的道路、</w:t>
      </w:r>
      <w:r>
        <w:rPr>
          <w:rFonts w:hint="eastAsia" w:ascii="宋体" w:hAnsi="宋体"/>
          <w:snapToGrid w:val="0"/>
          <w:color w:val="000000"/>
          <w:kern w:val="0"/>
          <w:sz w:val="24"/>
        </w:rPr>
        <w:t>园林景观</w:t>
      </w:r>
      <w:r>
        <w:rPr>
          <w:rFonts w:ascii="宋体" w:hAnsi="宋体"/>
          <w:snapToGrid w:val="0"/>
          <w:color w:val="000000"/>
          <w:kern w:val="0"/>
          <w:sz w:val="24"/>
        </w:rPr>
        <w:t>绿化</w:t>
      </w:r>
      <w:r>
        <w:rPr>
          <w:rFonts w:hint="eastAsia" w:ascii="宋体" w:hAnsi="宋体"/>
          <w:snapToGrid w:val="0"/>
          <w:color w:val="000000"/>
          <w:kern w:val="0"/>
          <w:sz w:val="24"/>
        </w:rPr>
        <w:t>、</w:t>
      </w:r>
      <w:r>
        <w:rPr>
          <w:rFonts w:ascii="宋体" w:hAnsi="宋体"/>
          <w:snapToGrid w:val="0"/>
          <w:color w:val="000000"/>
          <w:kern w:val="0"/>
          <w:sz w:val="24"/>
        </w:rPr>
        <w:t>停车场、供电系统</w:t>
      </w:r>
      <w:r>
        <w:rPr>
          <w:rFonts w:hint="eastAsia" w:ascii="宋体" w:hAnsi="宋体"/>
          <w:snapToGrid w:val="0"/>
          <w:color w:val="000000"/>
          <w:kern w:val="0"/>
          <w:sz w:val="24"/>
        </w:rPr>
        <w:t>（</w:t>
      </w:r>
      <w:r>
        <w:rPr>
          <w:rFonts w:hint="eastAsia" w:ascii="宋体" w:hAnsi="宋体"/>
          <w:snapToGrid w:val="0"/>
          <w:kern w:val="0"/>
          <w:sz w:val="24"/>
        </w:rPr>
        <w:t>包括供电部门提供的供电点接驳及红线外路由到配电间的外电工程高低压配电，以及其他供配电系统的室外管线设备等</w:t>
      </w:r>
      <w:r>
        <w:rPr>
          <w:rFonts w:hint="eastAsia" w:ascii="宋体" w:hAnsi="宋体"/>
          <w:snapToGrid w:val="0"/>
          <w:color w:val="000000"/>
          <w:kern w:val="0"/>
          <w:sz w:val="24"/>
        </w:rPr>
        <w:t>）</w:t>
      </w:r>
      <w:r>
        <w:rPr>
          <w:rFonts w:ascii="宋体" w:hAnsi="宋体"/>
          <w:snapToGrid w:val="0"/>
          <w:color w:val="000000"/>
          <w:kern w:val="0"/>
          <w:sz w:val="24"/>
        </w:rPr>
        <w:t>、照明系统、广播音响系统、安全防范监视系统、大屏幕显示系统、标识系统、室外给排水系统、自动喷淋系统、消防系统</w:t>
      </w:r>
      <w:r>
        <w:rPr>
          <w:rFonts w:hint="eastAsia" w:ascii="宋体" w:hAnsi="宋体"/>
          <w:snapToGrid w:val="0"/>
          <w:color w:val="000000"/>
          <w:kern w:val="0"/>
          <w:sz w:val="24"/>
        </w:rPr>
        <w:t>等的设计</w:t>
      </w:r>
      <w:r>
        <w:rPr>
          <w:rFonts w:ascii="宋体" w:hAnsi="宋体"/>
          <w:snapToGrid w:val="0"/>
          <w:color w:val="000000"/>
          <w:kern w:val="0"/>
          <w:sz w:val="24"/>
        </w:rPr>
        <w:t>，以及</w:t>
      </w:r>
      <w:r>
        <w:rPr>
          <w:rFonts w:hint="eastAsia" w:ascii="宋体" w:hAnsi="宋体"/>
          <w:snapToGrid w:val="0"/>
          <w:color w:val="000000"/>
          <w:kern w:val="0"/>
          <w:sz w:val="24"/>
        </w:rPr>
        <w:t>室外各种管线</w:t>
      </w:r>
      <w:r>
        <w:rPr>
          <w:rFonts w:ascii="宋体" w:hAnsi="宋体"/>
          <w:snapToGrid w:val="0"/>
          <w:color w:val="000000"/>
          <w:kern w:val="0"/>
          <w:sz w:val="24"/>
        </w:rPr>
        <w:t>综合</w:t>
      </w:r>
      <w:r>
        <w:rPr>
          <w:rFonts w:hint="eastAsia" w:ascii="宋体" w:hAnsi="宋体"/>
          <w:snapToGrid w:val="0"/>
          <w:color w:val="000000"/>
          <w:kern w:val="0"/>
          <w:sz w:val="24"/>
        </w:rPr>
        <w:t>平衡</w:t>
      </w:r>
      <w:r>
        <w:rPr>
          <w:rFonts w:ascii="宋体" w:hAnsi="宋体"/>
          <w:snapToGrid w:val="0"/>
          <w:color w:val="000000"/>
          <w:kern w:val="0"/>
          <w:sz w:val="24"/>
        </w:rPr>
        <w:t>设计。</w:t>
      </w:r>
    </w:p>
    <w:p w14:paraId="1236C79F">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（5）</w:t>
      </w:r>
      <w:r>
        <w:rPr>
          <w:rFonts w:ascii="宋体" w:hAnsi="宋体"/>
          <w:snapToGrid w:val="0"/>
          <w:color w:val="000000"/>
          <w:kern w:val="0"/>
          <w:sz w:val="24"/>
        </w:rPr>
        <w:t>建筑设计：本</w:t>
      </w:r>
      <w:r>
        <w:rPr>
          <w:rFonts w:hint="eastAsia" w:ascii="宋体" w:hAnsi="宋体"/>
          <w:snapToGrid w:val="0"/>
          <w:color w:val="000000"/>
          <w:kern w:val="0"/>
          <w:sz w:val="24"/>
        </w:rPr>
        <w:t>项目范围内的</w:t>
      </w:r>
      <w:r>
        <w:rPr>
          <w:rFonts w:ascii="宋体" w:hAnsi="宋体"/>
          <w:snapToGrid w:val="0"/>
          <w:color w:val="000000"/>
          <w:kern w:val="0"/>
          <w:sz w:val="24"/>
        </w:rPr>
        <w:t>建筑</w:t>
      </w:r>
      <w:r>
        <w:rPr>
          <w:rFonts w:hint="eastAsia" w:ascii="宋体" w:hAnsi="宋体"/>
          <w:snapToGrid w:val="0"/>
          <w:color w:val="000000"/>
          <w:kern w:val="0"/>
          <w:sz w:val="24"/>
        </w:rPr>
        <w:t>设计、室内装修设计（含标识系统）。</w:t>
      </w:r>
    </w:p>
    <w:p w14:paraId="5A94D4C9">
      <w:pPr>
        <w:adjustRightInd w:val="0"/>
        <w:snapToGrid w:val="0"/>
        <w:spacing w:line="360" w:lineRule="auto"/>
        <w:ind w:firstLine="360" w:firstLineChars="200"/>
        <w:rPr>
          <w:rFonts w:ascii="宋体" w:hAnsi="宋体"/>
          <w:snapToGrid w:val="0"/>
          <w:color w:val="000000"/>
          <w:kern w:val="0"/>
          <w:sz w:val="24"/>
          <w:shd w:val="clear" w:color="auto" w:fill="FF0000"/>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（6）</w:t>
      </w:r>
      <w:r>
        <w:rPr>
          <w:rFonts w:ascii="宋体" w:hAnsi="宋体"/>
          <w:snapToGrid w:val="0"/>
          <w:color w:val="000000"/>
          <w:kern w:val="0"/>
          <w:sz w:val="24"/>
        </w:rPr>
        <w:t>结构设计：本</w:t>
      </w:r>
      <w:r>
        <w:rPr>
          <w:rFonts w:hint="eastAsia" w:ascii="宋体" w:hAnsi="宋体"/>
          <w:snapToGrid w:val="0"/>
          <w:color w:val="000000"/>
          <w:kern w:val="0"/>
          <w:sz w:val="24"/>
        </w:rPr>
        <w:t>项目范围内建筑体的结构设计、基坑支护设计、幕墙等装修工程的结构设计等</w:t>
      </w:r>
      <w:r>
        <w:rPr>
          <w:rFonts w:ascii="宋体" w:hAnsi="宋体"/>
          <w:snapToGrid w:val="0"/>
          <w:color w:val="000000"/>
          <w:kern w:val="0"/>
          <w:sz w:val="24"/>
        </w:rPr>
        <w:t>。</w:t>
      </w:r>
    </w:p>
    <w:p w14:paraId="1AB3FB70">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（7）电气</w:t>
      </w:r>
      <w:r>
        <w:rPr>
          <w:rFonts w:ascii="宋体" w:hAnsi="宋体"/>
          <w:snapToGrid w:val="0"/>
          <w:color w:val="000000"/>
          <w:kern w:val="0"/>
          <w:sz w:val="24"/>
        </w:rPr>
        <w:t>设计：</w:t>
      </w:r>
      <w:r>
        <w:rPr>
          <w:rFonts w:hint="eastAsia" w:ascii="宋体" w:hAnsi="宋体"/>
          <w:snapToGrid w:val="0"/>
          <w:color w:val="000000"/>
          <w:kern w:val="0"/>
          <w:sz w:val="24"/>
        </w:rPr>
        <w:t>建筑内部高低压变配电系统、动力、照明配电、消防应急照明和疏散指示系统采用智能消防应急照明疏散指示逃生系统、防雷及接地等，室外配套工程配电和照明工程（含泛光照明），红线内电力等管线平衡等</w:t>
      </w:r>
      <w:r>
        <w:rPr>
          <w:rFonts w:ascii="宋体" w:hAnsi="宋体"/>
          <w:snapToGrid w:val="0"/>
          <w:color w:val="000000"/>
          <w:kern w:val="0"/>
          <w:sz w:val="24"/>
        </w:rPr>
        <w:t>。</w:t>
      </w:r>
    </w:p>
    <w:p w14:paraId="05C1B80E">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（8）建筑</w:t>
      </w:r>
      <w:r>
        <w:rPr>
          <w:rFonts w:ascii="宋体" w:hAnsi="宋体"/>
          <w:snapToGrid w:val="0"/>
          <w:color w:val="000000"/>
          <w:kern w:val="0"/>
          <w:sz w:val="24"/>
        </w:rPr>
        <w:t>智能化</w:t>
      </w:r>
      <w:r>
        <w:rPr>
          <w:rFonts w:hint="eastAsia" w:ascii="宋体" w:hAnsi="宋体"/>
          <w:snapToGrid w:val="0"/>
          <w:color w:val="000000"/>
          <w:kern w:val="0"/>
          <w:sz w:val="24"/>
        </w:rPr>
        <w:t>系统</w:t>
      </w:r>
      <w:r>
        <w:rPr>
          <w:rFonts w:ascii="宋体" w:hAnsi="宋体"/>
          <w:snapToGrid w:val="0"/>
          <w:color w:val="000000"/>
          <w:kern w:val="0"/>
          <w:sz w:val="24"/>
        </w:rPr>
        <w:t>设计</w:t>
      </w:r>
      <w:r>
        <w:rPr>
          <w:rFonts w:hint="eastAsia" w:ascii="宋体" w:hAnsi="宋体"/>
          <w:snapToGrid w:val="0"/>
          <w:color w:val="000000"/>
          <w:kern w:val="0"/>
          <w:sz w:val="24"/>
        </w:rPr>
        <w:t>：</w:t>
      </w:r>
    </w:p>
    <w:p w14:paraId="73BEA5AF">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 xml:space="preserve">  1）通信网络系统：包括计算机网络系统、电话（语音）网络系统、综合布线系统、有线电视及卫星电视接收系统、公共广播及消防广播系统、信息发布（含大屏幕电子公告）、引导系统、手机信号覆盖系统、室内手机信号屏蔽系统、无线上网系统等；</w:t>
      </w:r>
    </w:p>
    <w:p w14:paraId="73E7180B">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 xml:space="preserve">  2）电子会议系统； </w:t>
      </w:r>
    </w:p>
    <w:p w14:paraId="03924660">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 xml:space="preserve">  3）</w:t>
      </w:r>
      <w:r>
        <w:rPr>
          <w:rFonts w:hint="eastAsia" w:ascii="宋体" w:hAnsi="宋体"/>
          <w:snapToGrid w:val="0"/>
          <w:kern w:val="0"/>
          <w:sz w:val="24"/>
        </w:rPr>
        <w:t>新闻</w:t>
      </w:r>
      <w:r>
        <w:rPr>
          <w:rFonts w:hint="eastAsia" w:ascii="宋体" w:hAnsi="宋体"/>
          <w:snapToGrid w:val="0"/>
          <w:color w:val="000000"/>
          <w:kern w:val="0"/>
          <w:sz w:val="24"/>
        </w:rPr>
        <w:t>发布系统；</w:t>
      </w:r>
    </w:p>
    <w:p w14:paraId="1DA28567">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 xml:space="preserve">  4）建筑设备监控系统、综合能源管理系统；</w:t>
      </w:r>
    </w:p>
    <w:p w14:paraId="7EE4808E">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 xml:space="preserve">  5）安全防范系统：包括入侵报警系统、视频监控系统、出入口控制系统、电子巡更系统、停车场管理系统、智能卡系统、安全防范系统集成（设计范围内的所有建筑、公众区域、停车场、出入口通道等区域的安保设计）等；</w:t>
      </w:r>
    </w:p>
    <w:p w14:paraId="1F24B402">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 xml:space="preserve">  6）智能化系统集成；</w:t>
      </w:r>
    </w:p>
    <w:p w14:paraId="5E1A8445">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 xml:space="preserve">  7）弱电防雷系统；</w:t>
      </w:r>
    </w:p>
    <w:p w14:paraId="3A513936">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 xml:space="preserve">  8）机房工程；</w:t>
      </w:r>
    </w:p>
    <w:p w14:paraId="590CA6E8">
      <w:pPr>
        <w:adjustRightInd w:val="0"/>
        <w:snapToGrid w:val="0"/>
        <w:spacing w:line="360" w:lineRule="auto"/>
        <w:ind w:firstLine="360" w:firstLineChars="200"/>
        <w:rPr>
          <w:rFonts w:ascii="宋体" w:hAnsi="宋体"/>
          <w:bCs/>
          <w:snapToGrid w:val="0"/>
          <w:color w:val="000000"/>
          <w:kern w:val="0"/>
          <w:sz w:val="18"/>
          <w:szCs w:val="18"/>
          <w:bdr w:val="single" w:color="auto" w:sz="4" w:space="0"/>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 xml:space="preserve">  9）监控中心。</w:t>
      </w:r>
    </w:p>
    <w:p w14:paraId="556BE766">
      <w:pPr>
        <w:adjustRightInd w:val="0"/>
        <w:snapToGrid w:val="0"/>
        <w:spacing w:line="360" w:lineRule="auto"/>
        <w:ind w:firstLine="360" w:firstLineChars="200"/>
        <w:rPr>
          <w:rFonts w:ascii="宋体" w:hAnsi="宋体"/>
          <w:snapToGrid w:val="0"/>
          <w:kern w:val="0"/>
          <w:sz w:val="24"/>
          <w:u w:val="single"/>
        </w:rPr>
      </w:pPr>
      <w:r>
        <w:rPr>
          <w:rFonts w:hint="eastAsia" w:ascii="宋体" w:hAnsi="宋体"/>
          <w:bCs/>
          <w:snapToGrid w:val="0"/>
          <w:kern w:val="0"/>
          <w:sz w:val="18"/>
          <w:szCs w:val="18"/>
          <w:bdr w:val="single" w:color="auto" w:sz="4" w:space="0"/>
        </w:rPr>
        <w:t>√</w:t>
      </w:r>
      <w:r>
        <w:rPr>
          <w:rFonts w:hint="eastAsia" w:ascii="宋体" w:hAnsi="宋体"/>
          <w:snapToGrid w:val="0"/>
          <w:kern w:val="0"/>
          <w:sz w:val="24"/>
        </w:rPr>
        <w:t>（9）给排水设计（含外水接入、接出部分，需设计接至主管部门指定接口）：建筑给水、排水系统设计（包含直饮水供水系统）、用地内外与市政管线接驳等设计</w:t>
      </w:r>
      <w:r>
        <w:rPr>
          <w:rFonts w:ascii="宋体" w:hAnsi="宋体"/>
          <w:snapToGrid w:val="0"/>
          <w:kern w:val="0"/>
          <w:sz w:val="24"/>
        </w:rPr>
        <w:t>。</w:t>
      </w:r>
    </w:p>
    <w:p w14:paraId="27991B15">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（10）</w:t>
      </w:r>
      <w:r>
        <w:rPr>
          <w:rFonts w:ascii="宋体" w:hAnsi="宋体"/>
          <w:snapToGrid w:val="0"/>
          <w:color w:val="000000"/>
          <w:kern w:val="0"/>
          <w:sz w:val="24"/>
        </w:rPr>
        <w:t>空调</w:t>
      </w:r>
      <w:r>
        <w:rPr>
          <w:rFonts w:hint="eastAsia" w:ascii="宋体" w:hAnsi="宋体"/>
          <w:snapToGrid w:val="0"/>
          <w:color w:val="000000"/>
          <w:kern w:val="0"/>
          <w:sz w:val="24"/>
        </w:rPr>
        <w:t>通风</w:t>
      </w:r>
      <w:r>
        <w:rPr>
          <w:rFonts w:ascii="宋体" w:hAnsi="宋体"/>
          <w:snapToGrid w:val="0"/>
          <w:color w:val="000000"/>
          <w:kern w:val="0"/>
          <w:sz w:val="24"/>
        </w:rPr>
        <w:t>设计：</w:t>
      </w:r>
      <w:r>
        <w:rPr>
          <w:rFonts w:hint="eastAsia" w:ascii="宋体" w:hAnsi="宋体"/>
          <w:snapToGrid w:val="0"/>
          <w:color w:val="000000"/>
          <w:kern w:val="0"/>
          <w:sz w:val="24"/>
        </w:rPr>
        <w:t>包括不限于</w:t>
      </w:r>
      <w:r>
        <w:rPr>
          <w:rFonts w:ascii="宋体" w:hAnsi="宋体"/>
          <w:snapToGrid w:val="0"/>
          <w:color w:val="000000"/>
          <w:kern w:val="0"/>
          <w:sz w:val="24"/>
        </w:rPr>
        <w:t>建筑物内部通风系统、建筑物内部空气调节系统、中央洗尘系统、</w:t>
      </w:r>
      <w:r>
        <w:rPr>
          <w:rFonts w:hint="eastAsia" w:ascii="宋体" w:hAnsi="宋体"/>
          <w:snapToGrid w:val="0"/>
          <w:color w:val="000000"/>
          <w:kern w:val="0"/>
          <w:sz w:val="24"/>
        </w:rPr>
        <w:t>集中供冷</w:t>
      </w:r>
      <w:r>
        <w:rPr>
          <w:rFonts w:ascii="宋体" w:hAnsi="宋体"/>
          <w:snapToGrid w:val="0"/>
          <w:color w:val="000000"/>
          <w:kern w:val="0"/>
          <w:sz w:val="24"/>
        </w:rPr>
        <w:t>供热系统等</w:t>
      </w:r>
      <w:r>
        <w:rPr>
          <w:rFonts w:hint="eastAsia" w:ascii="宋体" w:hAnsi="宋体"/>
          <w:snapToGrid w:val="0"/>
          <w:color w:val="000000"/>
          <w:kern w:val="0"/>
          <w:sz w:val="24"/>
        </w:rPr>
        <w:t>的</w:t>
      </w:r>
      <w:r>
        <w:rPr>
          <w:rFonts w:ascii="宋体" w:hAnsi="宋体"/>
          <w:snapToGrid w:val="0"/>
          <w:color w:val="000000"/>
          <w:kern w:val="0"/>
          <w:sz w:val="24"/>
        </w:rPr>
        <w:t>设计。</w:t>
      </w:r>
    </w:p>
    <w:p w14:paraId="37B0C51A">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（11）</w:t>
      </w:r>
      <w:r>
        <w:rPr>
          <w:rFonts w:ascii="宋体" w:hAnsi="宋体"/>
          <w:snapToGrid w:val="0"/>
          <w:color w:val="000000"/>
          <w:kern w:val="0"/>
          <w:sz w:val="24"/>
        </w:rPr>
        <w:t>消防设计：消火栓系统、自动喷淋系统、气体灭火系统、防排烟系统、火灾自动报警及联动控制系统。</w:t>
      </w:r>
    </w:p>
    <w:p w14:paraId="1386536F">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（12）人防工程设计。</w:t>
      </w:r>
    </w:p>
    <w:p w14:paraId="233B8CC3">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（13）</w:t>
      </w:r>
      <w:r>
        <w:rPr>
          <w:rFonts w:ascii="宋体" w:hAnsi="宋体"/>
          <w:snapToGrid w:val="0"/>
          <w:color w:val="000000"/>
          <w:kern w:val="0"/>
          <w:sz w:val="24"/>
        </w:rPr>
        <w:t>电梯工程</w:t>
      </w:r>
      <w:r>
        <w:rPr>
          <w:rFonts w:hint="eastAsia" w:ascii="宋体" w:hAnsi="宋体"/>
          <w:snapToGrid w:val="0"/>
          <w:color w:val="000000"/>
          <w:kern w:val="0"/>
          <w:sz w:val="24"/>
        </w:rPr>
        <w:t>设计与相关配合</w:t>
      </w:r>
      <w:r>
        <w:rPr>
          <w:rFonts w:ascii="宋体" w:hAnsi="宋体"/>
          <w:snapToGrid w:val="0"/>
          <w:color w:val="000000"/>
          <w:kern w:val="0"/>
          <w:sz w:val="24"/>
        </w:rPr>
        <w:t>。</w:t>
      </w:r>
    </w:p>
    <w:p w14:paraId="3E93DA99">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（14）市政道路专业设计</w:t>
      </w:r>
      <w:r>
        <w:rPr>
          <w:rFonts w:ascii="宋体" w:hAnsi="宋体"/>
          <w:snapToGrid w:val="0"/>
          <w:color w:val="000000"/>
          <w:kern w:val="0"/>
          <w:sz w:val="24"/>
        </w:rPr>
        <w:t>。</w:t>
      </w:r>
    </w:p>
    <w:p w14:paraId="4935FD8B">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（15）市政管线专业设计</w:t>
      </w:r>
      <w:r>
        <w:rPr>
          <w:rFonts w:ascii="宋体" w:hAnsi="宋体"/>
          <w:snapToGrid w:val="0"/>
          <w:color w:val="000000"/>
          <w:kern w:val="0"/>
          <w:sz w:val="24"/>
        </w:rPr>
        <w:t>。</w:t>
      </w:r>
    </w:p>
    <w:p w14:paraId="374C8ECB">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（16）</w:t>
      </w:r>
      <w:r>
        <w:rPr>
          <w:rFonts w:ascii="宋体" w:hAnsi="宋体"/>
          <w:snapToGrid w:val="0"/>
          <w:color w:val="000000"/>
          <w:kern w:val="0"/>
          <w:sz w:val="24"/>
        </w:rPr>
        <w:t>按</w:t>
      </w:r>
      <w:r>
        <w:rPr>
          <w:rFonts w:hint="eastAsia" w:ascii="宋体" w:hAnsi="宋体"/>
          <w:snapToGrid w:val="0"/>
          <w:color w:val="000000"/>
          <w:kern w:val="0"/>
          <w:sz w:val="24"/>
        </w:rPr>
        <w:t>照项目的</w:t>
      </w:r>
      <w:r>
        <w:rPr>
          <w:rFonts w:ascii="宋体" w:hAnsi="宋体"/>
          <w:snapToGrid w:val="0"/>
          <w:color w:val="000000"/>
          <w:kern w:val="0"/>
          <w:sz w:val="24"/>
        </w:rPr>
        <w:t>灯光、声学等特殊工艺设计要求进行建筑、结构及其配套设备专业的设计与相关配合。</w:t>
      </w:r>
    </w:p>
    <w:p w14:paraId="0F0EDEA9">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（17）</w:t>
      </w:r>
      <w:r>
        <w:rPr>
          <w:rFonts w:ascii="宋体" w:hAnsi="宋体"/>
          <w:snapToGrid w:val="0"/>
          <w:color w:val="000000"/>
          <w:kern w:val="0"/>
          <w:sz w:val="24"/>
        </w:rPr>
        <w:t>管线综合平衡设计：各种专业设备、系统的管线在建筑物内</w:t>
      </w:r>
      <w:r>
        <w:rPr>
          <w:rFonts w:hint="eastAsia" w:ascii="宋体" w:hAnsi="宋体"/>
          <w:snapToGrid w:val="0"/>
          <w:color w:val="000000"/>
          <w:kern w:val="0"/>
          <w:sz w:val="24"/>
        </w:rPr>
        <w:t>、外的路由</w:t>
      </w:r>
      <w:r>
        <w:rPr>
          <w:rFonts w:ascii="宋体" w:hAnsi="宋体"/>
          <w:snapToGrid w:val="0"/>
          <w:color w:val="000000"/>
          <w:kern w:val="0"/>
          <w:sz w:val="24"/>
        </w:rPr>
        <w:t>平衡设计。建筑物内</w:t>
      </w:r>
      <w:r>
        <w:rPr>
          <w:rFonts w:hint="eastAsia" w:ascii="宋体" w:hAnsi="宋体"/>
          <w:snapToGrid w:val="0"/>
          <w:color w:val="000000"/>
          <w:kern w:val="0"/>
          <w:sz w:val="24"/>
        </w:rPr>
        <w:t>、外的</w:t>
      </w:r>
      <w:r>
        <w:rPr>
          <w:rFonts w:ascii="宋体" w:hAnsi="宋体"/>
          <w:snapToGrid w:val="0"/>
          <w:color w:val="000000"/>
          <w:kern w:val="0"/>
          <w:sz w:val="24"/>
        </w:rPr>
        <w:t>管线综合平衡设计</w:t>
      </w:r>
      <w:r>
        <w:rPr>
          <w:rFonts w:hint="eastAsia" w:ascii="宋体" w:hAnsi="宋体"/>
          <w:snapToGrid w:val="0"/>
          <w:color w:val="000000"/>
          <w:kern w:val="0"/>
          <w:sz w:val="24"/>
        </w:rPr>
        <w:t>以专篇形式提交。</w:t>
      </w:r>
    </w:p>
    <w:p w14:paraId="4880B5DD">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（18）</w:t>
      </w:r>
      <w:r>
        <w:rPr>
          <w:rFonts w:ascii="宋体" w:hAnsi="宋体"/>
          <w:snapToGrid w:val="0"/>
          <w:color w:val="000000"/>
          <w:kern w:val="0"/>
          <w:sz w:val="24"/>
        </w:rPr>
        <w:t>设备选型意见：</w:t>
      </w:r>
      <w:r>
        <w:rPr>
          <w:rFonts w:hint="eastAsia" w:ascii="宋体" w:hAnsi="宋体"/>
          <w:snapToGrid w:val="0"/>
          <w:color w:val="000000"/>
          <w:kern w:val="0"/>
          <w:sz w:val="24"/>
        </w:rPr>
        <w:t>就</w:t>
      </w:r>
      <w:r>
        <w:rPr>
          <w:rFonts w:ascii="宋体" w:hAnsi="宋体"/>
          <w:snapToGrid w:val="0"/>
          <w:color w:val="000000"/>
          <w:kern w:val="0"/>
          <w:sz w:val="24"/>
        </w:rPr>
        <w:t>拟采用的专用机电设备、专用电子设备（如大屏幕显示系统、广播音响系统等）的选型于施工图设计开始前向甲方提出书面意见</w:t>
      </w:r>
      <w:r>
        <w:rPr>
          <w:rFonts w:hint="eastAsia" w:ascii="宋体" w:hAnsi="宋体"/>
          <w:snapToGrid w:val="0"/>
          <w:color w:val="000000"/>
          <w:kern w:val="0"/>
          <w:sz w:val="24"/>
        </w:rPr>
        <w:t>并提供相关设备的技术参数规格书</w:t>
      </w:r>
      <w:r>
        <w:rPr>
          <w:rFonts w:ascii="宋体" w:hAnsi="宋体"/>
          <w:snapToGrid w:val="0"/>
          <w:color w:val="000000"/>
          <w:kern w:val="0"/>
          <w:sz w:val="24"/>
        </w:rPr>
        <w:t>，但不设计专用设备。</w:t>
      </w:r>
    </w:p>
    <w:p w14:paraId="0CCDA92B">
      <w:pPr>
        <w:adjustRightInd w:val="0"/>
        <w:snapToGrid w:val="0"/>
        <w:spacing w:line="360" w:lineRule="auto"/>
        <w:ind w:firstLine="360" w:firstLineChars="200"/>
        <w:rPr>
          <w:rFonts w:ascii="宋体" w:hAnsi="宋体"/>
          <w:snapToGrid w:val="0"/>
          <w:kern w:val="0"/>
          <w:sz w:val="24"/>
        </w:rPr>
      </w:pPr>
      <w:r>
        <w:rPr>
          <w:rFonts w:hint="eastAsia" w:ascii="宋体" w:hAnsi="宋体"/>
          <w:bCs/>
          <w:snapToGrid w:val="0"/>
          <w:kern w:val="0"/>
          <w:sz w:val="18"/>
          <w:szCs w:val="18"/>
          <w:bdr w:val="single" w:color="auto" w:sz="4" w:space="0"/>
        </w:rPr>
        <w:t>√</w:t>
      </w:r>
      <w:r>
        <w:rPr>
          <w:rFonts w:hint="eastAsia" w:ascii="宋体" w:hAnsi="宋体"/>
          <w:snapToGrid w:val="0"/>
          <w:kern w:val="0"/>
          <w:sz w:val="24"/>
        </w:rPr>
        <w:t>（19）建筑节能、绿色建筑设计、验收，以及新技术应用的研究和设计</w:t>
      </w:r>
      <w:r>
        <w:rPr>
          <w:rFonts w:ascii="宋体" w:hAnsi="宋体"/>
          <w:snapToGrid w:val="0"/>
          <w:kern w:val="0"/>
          <w:sz w:val="24"/>
        </w:rPr>
        <w:t>。</w:t>
      </w:r>
    </w:p>
    <w:p w14:paraId="48DF8DD8">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（20）</w:t>
      </w:r>
      <w:r>
        <w:rPr>
          <w:rFonts w:ascii="宋体" w:hAnsi="宋体"/>
          <w:snapToGrid w:val="0"/>
          <w:color w:val="000000"/>
          <w:kern w:val="0"/>
          <w:sz w:val="24"/>
        </w:rPr>
        <w:t>编制方案设计投资估算</w:t>
      </w:r>
      <w:r>
        <w:rPr>
          <w:rFonts w:hint="eastAsia" w:ascii="宋体" w:hAnsi="宋体"/>
          <w:snapToGrid w:val="0"/>
          <w:color w:val="000000"/>
          <w:kern w:val="0"/>
          <w:sz w:val="24"/>
        </w:rPr>
        <w:t>。</w:t>
      </w:r>
    </w:p>
    <w:p w14:paraId="43516C4A">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（21）</w:t>
      </w:r>
      <w:r>
        <w:rPr>
          <w:rFonts w:ascii="宋体" w:hAnsi="宋体"/>
          <w:snapToGrid w:val="0"/>
          <w:color w:val="000000"/>
          <w:kern w:val="0"/>
          <w:sz w:val="24"/>
        </w:rPr>
        <w:t>编制初步设计概算。</w:t>
      </w:r>
    </w:p>
    <w:p w14:paraId="25B41E0A">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（22）</w:t>
      </w:r>
      <w:r>
        <w:rPr>
          <w:rFonts w:ascii="宋体" w:hAnsi="宋体"/>
          <w:snapToGrid w:val="0"/>
          <w:color w:val="000000"/>
          <w:kern w:val="0"/>
          <w:sz w:val="24"/>
        </w:rPr>
        <w:t>编制</w:t>
      </w:r>
      <w:r>
        <w:rPr>
          <w:rFonts w:hint="eastAsia" w:ascii="宋体" w:hAnsi="宋体"/>
          <w:snapToGrid w:val="0"/>
          <w:color w:val="000000"/>
          <w:kern w:val="0"/>
          <w:sz w:val="24"/>
        </w:rPr>
        <w:t>设计变更预算</w:t>
      </w:r>
      <w:r>
        <w:rPr>
          <w:rFonts w:ascii="宋体" w:hAnsi="宋体"/>
          <w:snapToGrid w:val="0"/>
          <w:color w:val="000000"/>
          <w:kern w:val="0"/>
          <w:sz w:val="24"/>
        </w:rPr>
        <w:t>。</w:t>
      </w:r>
    </w:p>
    <w:p w14:paraId="09F1203B">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（23）</w:t>
      </w:r>
      <w:r>
        <w:rPr>
          <w:rFonts w:ascii="宋体" w:hAnsi="宋体"/>
          <w:snapToGrid w:val="0"/>
          <w:color w:val="000000"/>
          <w:kern w:val="0"/>
          <w:sz w:val="24"/>
        </w:rPr>
        <w:t>编制施工图预算。</w:t>
      </w:r>
      <w:r>
        <w:rPr>
          <w:rFonts w:hint="eastAsia" w:ascii="宋体" w:hAnsi="宋体"/>
          <w:snapToGrid w:val="0"/>
          <w:color w:val="000000"/>
          <w:kern w:val="0"/>
          <w:sz w:val="24"/>
        </w:rPr>
        <w:t>编制完整版施工图（含电子版及纸质版）。</w:t>
      </w:r>
    </w:p>
    <w:p w14:paraId="026E2C90">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（24）</w:t>
      </w:r>
      <w:r>
        <w:rPr>
          <w:rFonts w:ascii="宋体" w:hAnsi="宋体"/>
          <w:snapToGrid w:val="0"/>
          <w:color w:val="000000"/>
          <w:kern w:val="0"/>
          <w:sz w:val="24"/>
        </w:rPr>
        <w:t>在规划红线范围内，乙方应保证按规划及建筑功能要求、配套设施要求完成本合同工程造价中包含的全部项目的专业专项勘察、设计</w:t>
      </w:r>
      <w:r>
        <w:rPr>
          <w:rFonts w:hint="eastAsia" w:ascii="宋体" w:hAnsi="宋体"/>
          <w:snapToGrid w:val="0"/>
          <w:color w:val="000000"/>
          <w:kern w:val="0"/>
          <w:sz w:val="24"/>
        </w:rPr>
        <w:t>。</w:t>
      </w:r>
    </w:p>
    <w:p w14:paraId="57B03B78">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（25）对于</w:t>
      </w:r>
      <w:r>
        <w:rPr>
          <w:rFonts w:ascii="宋体" w:hAnsi="宋体"/>
          <w:snapToGrid w:val="0"/>
          <w:color w:val="000000"/>
          <w:kern w:val="0"/>
          <w:sz w:val="24"/>
        </w:rPr>
        <w:t>专项分包勘察、设计文件，</w:t>
      </w:r>
      <w:r>
        <w:rPr>
          <w:rFonts w:hint="eastAsia" w:ascii="宋体" w:hAnsi="宋体"/>
          <w:snapToGrid w:val="0"/>
          <w:color w:val="000000"/>
          <w:kern w:val="0"/>
          <w:sz w:val="24"/>
        </w:rPr>
        <w:t>须</w:t>
      </w:r>
      <w:r>
        <w:rPr>
          <w:rFonts w:ascii="宋体" w:hAnsi="宋体"/>
          <w:snapToGrid w:val="0"/>
          <w:color w:val="000000"/>
          <w:kern w:val="0"/>
          <w:sz w:val="24"/>
        </w:rPr>
        <w:t>由乙方及专项分包</w:t>
      </w:r>
      <w:r>
        <w:rPr>
          <w:rFonts w:hint="eastAsia" w:ascii="宋体" w:hAnsi="宋体"/>
          <w:snapToGrid w:val="0"/>
          <w:color w:val="000000"/>
          <w:kern w:val="0"/>
          <w:sz w:val="24"/>
        </w:rPr>
        <w:t>单位</w:t>
      </w:r>
      <w:r>
        <w:rPr>
          <w:rFonts w:ascii="宋体" w:hAnsi="宋体"/>
          <w:snapToGrid w:val="0"/>
          <w:color w:val="000000"/>
          <w:kern w:val="0"/>
          <w:sz w:val="24"/>
        </w:rPr>
        <w:t>人员校核</w:t>
      </w:r>
      <w:r>
        <w:rPr>
          <w:rFonts w:hint="eastAsia" w:ascii="宋体" w:hAnsi="宋体"/>
          <w:snapToGrid w:val="0"/>
          <w:color w:val="000000"/>
          <w:kern w:val="0"/>
          <w:sz w:val="24"/>
        </w:rPr>
        <w:t>并</w:t>
      </w:r>
      <w:r>
        <w:rPr>
          <w:rFonts w:ascii="宋体" w:hAnsi="宋体"/>
          <w:snapToGrid w:val="0"/>
          <w:color w:val="000000"/>
          <w:kern w:val="0"/>
          <w:sz w:val="24"/>
        </w:rPr>
        <w:t>会签盖章确认。</w:t>
      </w:r>
    </w:p>
    <w:p w14:paraId="1EE65C6A">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（26）提供主要设备材料表及技术要求书，配合甲方的招标工作。</w:t>
      </w:r>
    </w:p>
    <w:p w14:paraId="0674159E">
      <w:pPr>
        <w:adjustRightInd w:val="0"/>
        <w:snapToGrid w:val="0"/>
        <w:spacing w:line="360" w:lineRule="auto"/>
        <w:ind w:firstLine="480" w:firstLineChars="200"/>
        <w:rPr>
          <w:rFonts w:ascii="宋体" w:hAnsi="宋体"/>
          <w:snapToGrid w:val="0"/>
          <w:color w:val="000000"/>
          <w:kern w:val="0"/>
          <w:sz w:val="24"/>
        </w:rPr>
      </w:pPr>
      <w:r>
        <w:rPr>
          <w:rFonts w:ascii="宋体" w:hAnsi="宋体"/>
          <w:snapToGrid w:val="0"/>
          <w:color w:val="000000"/>
          <w:kern w:val="0"/>
          <w:sz w:val="24"/>
        </w:rPr>
        <w:t>地震评估、环境评估、防雷评估、</w:t>
      </w:r>
      <w:r>
        <w:rPr>
          <w:rFonts w:hint="eastAsia" w:ascii="宋体" w:hAnsi="宋体"/>
          <w:snapToGrid w:val="0"/>
          <w:color w:val="000000"/>
          <w:kern w:val="0"/>
          <w:sz w:val="24"/>
        </w:rPr>
        <w:t>风洞试验、振动台试验、</w:t>
      </w:r>
      <w:r>
        <w:rPr>
          <w:rFonts w:ascii="宋体" w:hAnsi="宋体"/>
          <w:snapToGrid w:val="0"/>
          <w:color w:val="000000"/>
          <w:kern w:val="0"/>
          <w:sz w:val="24"/>
        </w:rPr>
        <w:t>点试验、消防性能化分析及有关专项试验、研究与论证不在</w:t>
      </w:r>
      <w:r>
        <w:rPr>
          <w:rFonts w:hint="eastAsia" w:ascii="宋体" w:hAnsi="宋体"/>
          <w:snapToGrid w:val="0"/>
          <w:color w:val="000000"/>
          <w:kern w:val="0"/>
          <w:sz w:val="24"/>
        </w:rPr>
        <w:t>乙方</w:t>
      </w:r>
      <w:r>
        <w:rPr>
          <w:rFonts w:ascii="宋体" w:hAnsi="宋体"/>
          <w:snapToGrid w:val="0"/>
          <w:color w:val="000000"/>
          <w:kern w:val="0"/>
          <w:sz w:val="24"/>
        </w:rPr>
        <w:t>设计范畴内，但乙方应配合甲方</w:t>
      </w:r>
      <w:r>
        <w:rPr>
          <w:rFonts w:hint="eastAsia" w:ascii="宋体" w:hAnsi="宋体"/>
          <w:snapToGrid w:val="0"/>
          <w:color w:val="000000"/>
          <w:kern w:val="0"/>
          <w:sz w:val="24"/>
        </w:rPr>
        <w:t>工作。</w:t>
      </w:r>
    </w:p>
    <w:p w14:paraId="2E6E1056">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（27）幕墙工程。</w:t>
      </w:r>
    </w:p>
    <w:p w14:paraId="4F758716">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（28）</w:t>
      </w:r>
      <w:r>
        <w:rPr>
          <w:rFonts w:hint="eastAsia" w:ascii="宋体" w:hAnsi="宋体"/>
          <w:color w:val="000000"/>
          <w:sz w:val="24"/>
        </w:rPr>
        <w:t>环保工程设计。</w:t>
      </w:r>
    </w:p>
    <w:p w14:paraId="6ACC3AA5">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（29）防雷设计。</w:t>
      </w:r>
    </w:p>
    <w:p w14:paraId="37F2BC1C">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（30）</w:t>
      </w:r>
      <w:r>
        <w:rPr>
          <w:rFonts w:hint="eastAsia" w:ascii="宋体" w:hAnsi="宋体"/>
          <w:color w:val="000000"/>
          <w:sz w:val="24"/>
        </w:rPr>
        <w:t>标识导引系统设计</w:t>
      </w:r>
      <w:r>
        <w:rPr>
          <w:rFonts w:hint="eastAsia" w:ascii="宋体" w:hAnsi="宋体"/>
          <w:snapToGrid w:val="0"/>
          <w:color w:val="000000"/>
          <w:kern w:val="0"/>
          <w:sz w:val="24"/>
        </w:rPr>
        <w:t>。</w:t>
      </w:r>
    </w:p>
    <w:p w14:paraId="762754DC">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（31）擦窗机设计（如有）。</w:t>
      </w:r>
    </w:p>
    <w:p w14:paraId="5DEF8231">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（32）施工围墙、施工便道、施工总平面等工程设计。本项目外水工程、燃气工程、临水、临电的红线外接入部分由专业单位设计的，乙方须审核并盖章确认。</w:t>
      </w:r>
    </w:p>
    <w:p w14:paraId="48627ED2">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（33）建设单位的驻地办公场所设计（临时板房、景观绿化、旗杆等）。</w:t>
      </w:r>
    </w:p>
    <w:p w14:paraId="05A82325">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（34）本项目实施过程中所涉及的现有设施拆除、管线迁改等内容的设计。</w:t>
      </w:r>
    </w:p>
    <w:p w14:paraId="1E5908A7">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（35）机械停车设计。</w:t>
      </w:r>
    </w:p>
    <w:p w14:paraId="58ADA9B6">
      <w:pPr>
        <w:adjustRightInd w:val="0"/>
        <w:snapToGrid w:val="0"/>
        <w:spacing w:line="360" w:lineRule="auto"/>
        <w:ind w:firstLine="360" w:firstLineChars="200"/>
        <w:rPr>
          <w:rFonts w:ascii="宋体" w:hAnsi="宋体"/>
          <w:snapToGrid w:val="0"/>
          <w:kern w:val="0"/>
          <w:sz w:val="24"/>
        </w:rPr>
      </w:pPr>
      <w:r>
        <w:rPr>
          <w:rFonts w:hint="eastAsia" w:ascii="宋体" w:hAnsi="宋体"/>
          <w:bCs/>
          <w:snapToGrid w:val="0"/>
          <w:kern w:val="0"/>
          <w:sz w:val="18"/>
          <w:szCs w:val="18"/>
          <w:bdr w:val="single" w:color="auto" w:sz="4" w:space="0"/>
        </w:rPr>
        <w:t>√</w:t>
      </w:r>
      <w:r>
        <w:rPr>
          <w:rFonts w:hint="eastAsia" w:ascii="宋体" w:hAnsi="宋体"/>
          <w:snapToGrid w:val="0"/>
          <w:kern w:val="0"/>
          <w:sz w:val="24"/>
        </w:rPr>
        <w:t>（36）厨房设计（如有）。</w:t>
      </w:r>
    </w:p>
    <w:p w14:paraId="5BC44280">
      <w:pPr>
        <w:adjustRightInd w:val="0"/>
        <w:snapToGrid w:val="0"/>
        <w:spacing w:line="360" w:lineRule="auto"/>
        <w:ind w:firstLine="360" w:firstLineChars="200"/>
        <w:rPr>
          <w:rFonts w:ascii="宋体" w:hAnsi="宋体"/>
          <w:snapToGrid w:val="0"/>
          <w:kern w:val="0"/>
          <w:sz w:val="24"/>
        </w:rPr>
      </w:pPr>
      <w:r>
        <w:rPr>
          <w:rFonts w:hint="eastAsia" w:ascii="宋体" w:hAnsi="宋体"/>
          <w:bCs/>
          <w:snapToGrid w:val="0"/>
          <w:kern w:val="0"/>
          <w:sz w:val="18"/>
          <w:szCs w:val="18"/>
          <w:bdr w:val="single" w:color="auto" w:sz="4" w:space="0"/>
        </w:rPr>
        <w:t>√</w:t>
      </w:r>
      <w:r>
        <w:rPr>
          <w:rFonts w:hint="eastAsia" w:ascii="宋体" w:hAnsi="宋体"/>
          <w:snapToGrid w:val="0"/>
          <w:kern w:val="0"/>
          <w:sz w:val="24"/>
        </w:rPr>
        <w:t>（3</w:t>
      </w:r>
      <w:r>
        <w:rPr>
          <w:rFonts w:ascii="宋体" w:hAnsi="宋体"/>
          <w:snapToGrid w:val="0"/>
          <w:kern w:val="0"/>
          <w:sz w:val="24"/>
        </w:rPr>
        <w:t>7</w:t>
      </w:r>
      <w:r>
        <w:rPr>
          <w:rFonts w:hint="eastAsia" w:ascii="宋体" w:hAnsi="宋体"/>
          <w:snapToGrid w:val="0"/>
          <w:kern w:val="0"/>
          <w:sz w:val="24"/>
        </w:rPr>
        <w:t>）设计阶段BIM技术运用。根据《广州市重点公共建设项目管理中心BIM协同项目管理平台操作指引》（2020年V1.0版）、《广州市重点公共建设项目设计阶段BIM技术应用任务书》（2020年）开展设计阶段BIM技术运用，满足项目实施期间对于BIM运用的政策要求及报批报建要求，负责牵头设计阶段BIM协同管理平台的操作。</w:t>
      </w:r>
    </w:p>
    <w:p w14:paraId="19548A0E">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（3</w:t>
      </w:r>
      <w:r>
        <w:rPr>
          <w:rFonts w:ascii="宋体" w:hAnsi="宋体"/>
          <w:snapToGrid w:val="0"/>
          <w:color w:val="000000"/>
          <w:kern w:val="0"/>
          <w:sz w:val="24"/>
        </w:rPr>
        <w:t>8</w:t>
      </w:r>
      <w:r>
        <w:rPr>
          <w:rFonts w:hint="eastAsia" w:ascii="宋体" w:hAnsi="宋体"/>
          <w:snapToGrid w:val="0"/>
          <w:color w:val="000000"/>
          <w:kern w:val="0"/>
          <w:sz w:val="24"/>
        </w:rPr>
        <w:t>）项目前期摸查报告编制</w:t>
      </w:r>
      <w:r>
        <w:rPr>
          <w:rFonts w:hint="eastAsia" w:ascii="宋体" w:hAnsi="宋体"/>
          <w:snapToGrid w:val="0"/>
          <w:kern w:val="0"/>
          <w:sz w:val="24"/>
        </w:rPr>
        <w:t>（</w:t>
      </w:r>
      <w:r>
        <w:rPr>
          <w:rFonts w:hint="eastAsia" w:ascii="宋体" w:hAnsi="宋体"/>
          <w:sz w:val="24"/>
        </w:rPr>
        <w:t>项目建设范围内及周边管线、地上建（构）筑物、交通、市政配套、地形地貌等前期摸查</w:t>
      </w:r>
      <w:r>
        <w:rPr>
          <w:rFonts w:hint="eastAsia" w:ascii="宋体" w:hAnsi="宋体"/>
          <w:snapToGrid w:val="0"/>
          <w:kern w:val="0"/>
          <w:sz w:val="24"/>
        </w:rPr>
        <w:t>）</w:t>
      </w:r>
      <w:r>
        <w:rPr>
          <w:rFonts w:hint="eastAsia" w:ascii="宋体" w:hAnsi="宋体"/>
          <w:snapToGrid w:val="0"/>
          <w:color w:val="000000"/>
          <w:kern w:val="0"/>
          <w:sz w:val="24"/>
        </w:rPr>
        <w:t>，项目各阶段设计重点、难点分析报告。</w:t>
      </w:r>
    </w:p>
    <w:p w14:paraId="5B40F3E1">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（3</w:t>
      </w:r>
      <w:r>
        <w:rPr>
          <w:rFonts w:ascii="宋体" w:hAnsi="宋体"/>
          <w:snapToGrid w:val="0"/>
          <w:color w:val="000000"/>
          <w:kern w:val="0"/>
          <w:sz w:val="24"/>
        </w:rPr>
        <w:t>9</w:t>
      </w:r>
      <w:r>
        <w:rPr>
          <w:rFonts w:hint="eastAsia" w:ascii="宋体" w:hAnsi="宋体"/>
          <w:snapToGrid w:val="0"/>
          <w:color w:val="000000"/>
          <w:kern w:val="0"/>
          <w:sz w:val="24"/>
        </w:rPr>
        <w:t>）项目用地红线范围内的物探及管线摸查工作。</w:t>
      </w:r>
    </w:p>
    <w:p w14:paraId="65D8F2CD">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w:t>
      </w:r>
      <w:r>
        <w:rPr>
          <w:rFonts w:ascii="宋体" w:hAnsi="宋体"/>
          <w:snapToGrid w:val="0"/>
          <w:color w:val="000000"/>
          <w:kern w:val="0"/>
          <w:sz w:val="24"/>
        </w:rPr>
        <w:t>40</w:t>
      </w:r>
      <w:r>
        <w:rPr>
          <w:rFonts w:hint="eastAsia" w:ascii="宋体" w:hAnsi="宋体"/>
          <w:snapToGrid w:val="0"/>
          <w:color w:val="000000"/>
          <w:kern w:val="0"/>
          <w:sz w:val="24"/>
        </w:rPr>
        <w:t>）基坑支护工程实施全过程中，周边房屋安全鉴定工作。（如有）</w:t>
      </w:r>
    </w:p>
    <w:p w14:paraId="4EE78A2C">
      <w:pPr>
        <w:adjustRightInd w:val="0"/>
        <w:snapToGrid w:val="0"/>
        <w:spacing w:line="360" w:lineRule="auto"/>
        <w:ind w:firstLine="360" w:firstLineChars="200"/>
        <w:rPr>
          <w:rFonts w:ascii="宋体" w:hAnsi="宋体"/>
          <w:snapToGrid w:val="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kern w:val="0"/>
          <w:sz w:val="24"/>
        </w:rPr>
        <w:t>（</w:t>
      </w:r>
      <w:r>
        <w:rPr>
          <w:rFonts w:ascii="宋体" w:hAnsi="宋体"/>
          <w:snapToGrid w:val="0"/>
          <w:kern w:val="0"/>
          <w:sz w:val="24"/>
        </w:rPr>
        <w:t>41</w:t>
      </w:r>
      <w:r>
        <w:rPr>
          <w:rFonts w:hint="eastAsia" w:ascii="宋体" w:hAnsi="宋体"/>
          <w:snapToGrid w:val="0"/>
          <w:kern w:val="0"/>
          <w:sz w:val="24"/>
        </w:rPr>
        <w:t>）厨房排油烟工程（满足环保要求）、厨房以及燃气工程（含燃气接驳）等设计。（如有）</w:t>
      </w:r>
    </w:p>
    <w:p w14:paraId="23ACA2D0">
      <w:pPr>
        <w:adjustRightInd w:val="0"/>
        <w:snapToGrid w:val="0"/>
        <w:spacing w:line="360" w:lineRule="auto"/>
        <w:ind w:firstLine="360" w:firstLineChars="200"/>
        <w:rPr>
          <w:rFonts w:ascii="宋体" w:hAnsi="宋体"/>
          <w:snapToGrid w:val="0"/>
          <w:kern w:val="0"/>
          <w:sz w:val="24"/>
        </w:rPr>
      </w:pPr>
      <w:bookmarkStart w:id="68" w:name="_Hlk168044735"/>
      <w:r>
        <w:rPr>
          <w:rFonts w:hint="eastAsia" w:ascii="宋体" w:hAnsi="宋体"/>
          <w:bCs/>
          <w:snapToGrid w:val="0"/>
          <w:color w:val="000000"/>
          <w:kern w:val="0"/>
          <w:sz w:val="18"/>
          <w:szCs w:val="18"/>
          <w:bdr w:val="single" w:color="auto" w:sz="4" w:space="0"/>
        </w:rPr>
        <w:t>√</w:t>
      </w:r>
      <w:bookmarkEnd w:id="68"/>
      <w:r>
        <w:rPr>
          <w:rFonts w:hint="eastAsia" w:ascii="宋体" w:hAnsi="宋体"/>
          <w:snapToGrid w:val="0"/>
          <w:kern w:val="0"/>
          <w:sz w:val="24"/>
        </w:rPr>
        <w:t>（</w:t>
      </w:r>
      <w:r>
        <w:rPr>
          <w:rFonts w:ascii="宋体" w:hAnsi="宋体"/>
          <w:snapToGrid w:val="0"/>
          <w:kern w:val="0"/>
          <w:sz w:val="24"/>
        </w:rPr>
        <w:t>42</w:t>
      </w:r>
      <w:r>
        <w:rPr>
          <w:rFonts w:hint="eastAsia" w:ascii="宋体" w:hAnsi="宋体"/>
          <w:snapToGrid w:val="0"/>
          <w:kern w:val="0"/>
          <w:sz w:val="24"/>
        </w:rPr>
        <w:t>）室内外装修工程及标识系统设计，含精装修、特殊固定家具、地下室车库划线及地面机动车位划线。</w:t>
      </w:r>
    </w:p>
    <w:p w14:paraId="30EEBD76">
      <w:pPr>
        <w:adjustRightInd w:val="0"/>
        <w:snapToGrid w:val="0"/>
        <w:spacing w:line="360" w:lineRule="auto"/>
        <w:ind w:firstLine="360" w:firstLineChars="200"/>
        <w:rPr>
          <w:rFonts w:ascii="宋体" w:hAnsi="宋体"/>
          <w:snapToGrid w:val="0"/>
          <w:color w:val="00000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color w:val="000000"/>
          <w:kern w:val="0"/>
          <w:sz w:val="24"/>
        </w:rPr>
        <w:t>（</w:t>
      </w:r>
      <w:r>
        <w:rPr>
          <w:rFonts w:ascii="宋体" w:hAnsi="宋体"/>
          <w:snapToGrid w:val="0"/>
          <w:color w:val="000000"/>
          <w:kern w:val="0"/>
          <w:sz w:val="24"/>
        </w:rPr>
        <w:t>43</w:t>
      </w:r>
      <w:r>
        <w:rPr>
          <w:rFonts w:hint="eastAsia" w:ascii="宋体" w:hAnsi="宋体"/>
          <w:snapToGrid w:val="0"/>
          <w:color w:val="000000"/>
          <w:kern w:val="0"/>
          <w:sz w:val="24"/>
        </w:rPr>
        <w:t>）其他（如有需要）：</w:t>
      </w:r>
    </w:p>
    <w:p w14:paraId="51E71EAC">
      <w:pPr>
        <w:adjustRightInd w:val="0"/>
        <w:snapToGrid w:val="0"/>
        <w:spacing w:line="360" w:lineRule="auto"/>
        <w:ind w:firstLine="424" w:firstLineChars="236"/>
        <w:rPr>
          <w:rFonts w:ascii="宋体" w:hAnsi="宋体"/>
          <w:snapToGrid w:val="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kern w:val="0"/>
          <w:sz w:val="24"/>
        </w:rPr>
        <w:t xml:space="preserve"> </w:t>
      </w:r>
      <w:r>
        <w:rPr>
          <w:rFonts w:ascii="宋体" w:hAnsi="宋体"/>
          <w:snapToGrid w:val="0"/>
          <w:kern w:val="0"/>
          <w:sz w:val="24"/>
        </w:rPr>
        <w:t>A.</w:t>
      </w:r>
      <w:r>
        <w:rPr>
          <w:rFonts w:hint="eastAsia" w:ascii="宋体" w:hAnsi="宋体"/>
          <w:snapToGrid w:val="0"/>
          <w:kern w:val="0"/>
          <w:sz w:val="24"/>
        </w:rPr>
        <w:t>装配式建筑设计，装配率需满足广州市住房和城乡建设局相关规定的要求；</w:t>
      </w:r>
    </w:p>
    <w:p w14:paraId="2A909F47">
      <w:pPr>
        <w:adjustRightInd w:val="0"/>
        <w:snapToGrid w:val="0"/>
        <w:spacing w:line="360" w:lineRule="auto"/>
        <w:ind w:firstLine="424" w:firstLineChars="236"/>
        <w:rPr>
          <w:rFonts w:ascii="宋体" w:hAnsi="宋体"/>
          <w:snapToGrid w:val="0"/>
          <w:kern w:val="0"/>
          <w:sz w:val="24"/>
        </w:rPr>
      </w:pPr>
      <w:r>
        <w:rPr>
          <w:rFonts w:hint="eastAsia" w:ascii="宋体" w:hAnsi="宋体"/>
          <w:bCs/>
          <w:snapToGrid w:val="0"/>
          <w:color w:val="000000"/>
          <w:kern w:val="0"/>
          <w:sz w:val="18"/>
          <w:szCs w:val="18"/>
          <w:bdr w:val="single" w:color="auto" w:sz="4" w:space="0"/>
        </w:rPr>
        <w:t>√</w:t>
      </w:r>
      <w:r>
        <w:rPr>
          <w:rFonts w:ascii="宋体" w:hAnsi="宋体"/>
          <w:snapToGrid w:val="0"/>
          <w:kern w:val="0"/>
          <w:sz w:val="24"/>
        </w:rPr>
        <w:t xml:space="preserve"> B.</w:t>
      </w:r>
      <w:r>
        <w:rPr>
          <w:rFonts w:hint="eastAsia" w:ascii="宋体" w:hAnsi="宋体"/>
          <w:snapToGrid w:val="0"/>
          <w:kern w:val="0"/>
          <w:sz w:val="24"/>
        </w:rPr>
        <w:t>进行BIM设计，并在BIM模型的基础上导出全部图纸，并需无偿向招标方提供相应格式的电子文件；</w:t>
      </w:r>
    </w:p>
    <w:p w14:paraId="093B24C3">
      <w:pPr>
        <w:adjustRightInd w:val="0"/>
        <w:snapToGrid w:val="0"/>
        <w:spacing w:line="360" w:lineRule="auto"/>
        <w:ind w:firstLine="424" w:firstLineChars="236"/>
        <w:rPr>
          <w:rFonts w:ascii="宋体" w:hAnsi="宋体"/>
          <w:snapToGrid w:val="0"/>
          <w:kern w:val="0"/>
          <w:sz w:val="24"/>
        </w:rPr>
      </w:pPr>
      <w:r>
        <w:rPr>
          <w:rFonts w:hint="eastAsia" w:ascii="宋体" w:hAnsi="宋体"/>
          <w:bCs/>
          <w:snapToGrid w:val="0"/>
          <w:color w:val="000000"/>
          <w:kern w:val="0"/>
          <w:sz w:val="18"/>
          <w:szCs w:val="18"/>
          <w:bdr w:val="single" w:color="auto" w:sz="4" w:space="0"/>
        </w:rPr>
        <w:t>√</w:t>
      </w:r>
      <w:r>
        <w:rPr>
          <w:rFonts w:hint="eastAsia" w:ascii="宋体" w:hAnsi="宋体"/>
          <w:snapToGrid w:val="0"/>
          <w:kern w:val="0"/>
          <w:sz w:val="24"/>
        </w:rPr>
        <w:t xml:space="preserve"> </w:t>
      </w:r>
      <w:r>
        <w:rPr>
          <w:rFonts w:ascii="宋体" w:hAnsi="宋体"/>
          <w:snapToGrid w:val="0"/>
          <w:kern w:val="0"/>
          <w:sz w:val="24"/>
        </w:rPr>
        <w:t>C.</w:t>
      </w:r>
      <w:r>
        <w:rPr>
          <w:rFonts w:hint="eastAsia" w:ascii="宋体" w:hAnsi="宋体"/>
          <w:snapToGrid w:val="0"/>
          <w:kern w:val="0"/>
          <w:sz w:val="24"/>
        </w:rPr>
        <w:t>负责网上填报各阶段报建相关资料，并负责纸质报送材料的整理组卷盖章工作。</w:t>
      </w:r>
    </w:p>
    <w:p w14:paraId="3CFE08A2">
      <w:pPr>
        <w:adjustRightInd w:val="0"/>
        <w:snapToGrid w:val="0"/>
        <w:spacing w:line="360" w:lineRule="auto"/>
        <w:ind w:firstLine="424" w:firstLineChars="236"/>
        <w:rPr>
          <w:rFonts w:ascii="宋体" w:hAnsi="宋体"/>
          <w:snapToGrid w:val="0"/>
          <w:kern w:val="0"/>
          <w:sz w:val="24"/>
        </w:rPr>
      </w:pPr>
      <w:r>
        <w:rPr>
          <w:rFonts w:hint="eastAsia" w:ascii="宋体" w:hAnsi="宋体"/>
          <w:bCs/>
          <w:snapToGrid w:val="0"/>
          <w:color w:val="000000"/>
          <w:kern w:val="0"/>
          <w:sz w:val="18"/>
          <w:szCs w:val="18"/>
          <w:bdr w:val="single" w:color="auto" w:sz="4" w:space="0"/>
        </w:rPr>
        <w:t>√</w:t>
      </w:r>
      <w:r>
        <w:rPr>
          <w:rFonts w:ascii="宋体" w:hAnsi="宋体"/>
          <w:snapToGrid w:val="0"/>
          <w:kern w:val="0"/>
          <w:sz w:val="24"/>
        </w:rPr>
        <w:t xml:space="preserve"> D.</w:t>
      </w:r>
      <w:r>
        <w:rPr>
          <w:rFonts w:hint="eastAsia" w:ascii="宋体" w:hAnsi="宋体"/>
          <w:snapToGrid w:val="0"/>
          <w:kern w:val="0"/>
          <w:sz w:val="24"/>
        </w:rPr>
        <w:t>声学分析与设计、充电桩设计、抗震支架设计、外电工程（含红线外接入工程）设计。</w:t>
      </w:r>
    </w:p>
    <w:p w14:paraId="789E06BD">
      <w:pPr>
        <w:adjustRightInd w:val="0"/>
        <w:snapToGrid w:val="0"/>
        <w:spacing w:line="360" w:lineRule="auto"/>
        <w:ind w:firstLine="376" w:firstLineChars="157"/>
        <w:rPr>
          <w:rFonts w:ascii="宋体" w:hAnsi="宋体"/>
          <w:snapToGrid w:val="0"/>
          <w:kern w:val="0"/>
          <w:sz w:val="24"/>
        </w:rPr>
      </w:pPr>
    </w:p>
    <w:p w14:paraId="61758355">
      <w:pPr>
        <w:adjustRightInd w:val="0"/>
        <w:snapToGrid w:val="0"/>
        <w:spacing w:line="360" w:lineRule="auto"/>
        <w:ind w:firstLine="482" w:firstLineChars="200"/>
        <w:rPr>
          <w:rFonts w:ascii="宋体" w:hAnsi="宋体"/>
          <w:b/>
          <w:snapToGrid w:val="0"/>
          <w:color w:val="000000"/>
          <w:kern w:val="0"/>
          <w:sz w:val="24"/>
        </w:rPr>
      </w:pPr>
      <w:r>
        <w:rPr>
          <w:rFonts w:hint="eastAsia" w:ascii="宋体" w:hAnsi="宋体"/>
          <w:b/>
          <w:snapToGrid w:val="0"/>
          <w:color w:val="000000"/>
          <w:kern w:val="0"/>
          <w:sz w:val="24"/>
        </w:rPr>
        <w:t>勘察设计全过程的勘察、方案设计、修建性详细规划设计、初步设计、施工图设计、深化设计、设计变更各阶段各专业的具体设计内容和界面划分以及报批报审配合等服务工作按勘察设计合同执行。</w:t>
      </w:r>
    </w:p>
    <w:p w14:paraId="743C4BB0">
      <w:pPr>
        <w:adjustRightInd w:val="0"/>
        <w:snapToGrid w:val="0"/>
        <w:spacing w:line="360" w:lineRule="auto"/>
        <w:ind w:firstLine="480" w:firstLineChars="200"/>
        <w:rPr>
          <w:rFonts w:ascii="宋体" w:hAnsi="宋体"/>
          <w:snapToGrid w:val="0"/>
          <w:color w:val="000000"/>
          <w:kern w:val="0"/>
          <w:sz w:val="24"/>
        </w:rPr>
      </w:pPr>
    </w:p>
    <w:p w14:paraId="483089C9">
      <w:pPr>
        <w:pStyle w:val="2"/>
        <w:rPr>
          <w:color w:val="000000"/>
          <w:szCs w:val="30"/>
        </w:rPr>
      </w:pPr>
      <w:r>
        <w:rPr>
          <w:color w:val="000000"/>
        </w:rPr>
        <w:br w:type="page"/>
      </w:r>
      <w:bookmarkStart w:id="69" w:name="_Toc168047421"/>
      <w:r>
        <w:rPr>
          <w:rFonts w:hint="eastAsia"/>
          <w:color w:val="000000"/>
        </w:rPr>
        <w:t>第三章勘察设计要求</w:t>
      </w:r>
      <w:bookmarkEnd w:id="69"/>
    </w:p>
    <w:p w14:paraId="0922BEC3">
      <w:pPr>
        <w:pStyle w:val="3"/>
        <w:spacing w:before="120" w:after="120"/>
        <w:rPr>
          <w:color w:val="000000"/>
        </w:rPr>
      </w:pPr>
      <w:bookmarkStart w:id="70" w:name="_Toc452558323"/>
      <w:bookmarkStart w:id="71" w:name="_Toc452558102"/>
      <w:bookmarkStart w:id="72" w:name="_Toc11212"/>
      <w:bookmarkStart w:id="73" w:name="_Toc452973710"/>
      <w:bookmarkStart w:id="74" w:name="_Toc447612395"/>
      <w:bookmarkStart w:id="75" w:name="_Toc447612874"/>
      <w:bookmarkStart w:id="76" w:name="_Toc168047422"/>
      <w:r>
        <w:rPr>
          <w:rFonts w:hint="eastAsia"/>
          <w:color w:val="000000"/>
        </w:rPr>
        <w:t xml:space="preserve">3.1 </w:t>
      </w:r>
      <w:bookmarkEnd w:id="70"/>
      <w:bookmarkEnd w:id="71"/>
      <w:bookmarkEnd w:id="72"/>
      <w:bookmarkEnd w:id="73"/>
      <w:bookmarkEnd w:id="74"/>
      <w:bookmarkEnd w:id="75"/>
      <w:r>
        <w:rPr>
          <w:rFonts w:hint="eastAsia"/>
          <w:color w:val="000000"/>
        </w:rPr>
        <w:t>勘察设计总体要求</w:t>
      </w:r>
      <w:bookmarkEnd w:id="76"/>
    </w:p>
    <w:p w14:paraId="14FCF10B">
      <w:pPr>
        <w:spacing w:line="360" w:lineRule="auto"/>
        <w:ind w:firstLine="480" w:firstLineChars="200"/>
        <w:rPr>
          <w:rFonts w:ascii="宋体" w:cs="宋体"/>
          <w:color w:val="000000"/>
          <w:kern w:val="0"/>
          <w:sz w:val="24"/>
        </w:rPr>
      </w:pPr>
      <w:r>
        <w:rPr>
          <w:rFonts w:hint="eastAsia" w:ascii="宋体" w:cs="宋体"/>
          <w:color w:val="000000"/>
          <w:kern w:val="0"/>
          <w:sz w:val="24"/>
        </w:rPr>
        <w:t>勘察设计单位遵循现行法律法规和规范标准，根据项目建议书和业主需求书，按照市重点办的设计管理要求进行勘察设计工作。项目立项及可行性研究报告批复的建设事项、内容、标准和要求，应与初步设计成果、施工图设计成果以及概（预）算编制的事项、内容等要相统一。初步设计与概算、施工图设计（含技术需求书）与预算要同步完成、同步提交。</w:t>
      </w:r>
    </w:p>
    <w:p w14:paraId="46B8014C">
      <w:pPr>
        <w:spacing w:line="360" w:lineRule="auto"/>
        <w:ind w:firstLine="480" w:firstLineChars="200"/>
        <w:rPr>
          <w:rFonts w:ascii="宋体" w:cs="宋体"/>
          <w:color w:val="000000"/>
          <w:kern w:val="0"/>
          <w:sz w:val="24"/>
        </w:rPr>
      </w:pPr>
      <w:r>
        <w:rPr>
          <w:rFonts w:hint="eastAsia" w:ascii="宋体" w:cs="宋体"/>
          <w:color w:val="000000"/>
          <w:kern w:val="0"/>
          <w:sz w:val="24"/>
        </w:rPr>
        <w:t>设计单位除了落实项目建议书和业主需求文件中的业主需求外，还需要落实以下3.2-3.4的勘察设计及造价各专业要求。</w:t>
      </w:r>
    </w:p>
    <w:p w14:paraId="1C169355">
      <w:pPr>
        <w:pStyle w:val="3"/>
        <w:spacing w:before="120" w:after="120"/>
        <w:rPr>
          <w:color w:val="000000"/>
        </w:rPr>
      </w:pPr>
      <w:bookmarkStart w:id="77" w:name="_Toc452973711"/>
      <w:bookmarkStart w:id="78" w:name="_Toc168047423"/>
      <w:bookmarkStart w:id="79" w:name="_Toc452558324"/>
      <w:bookmarkStart w:id="80" w:name="_Toc452558103"/>
      <w:r>
        <w:rPr>
          <w:rFonts w:hint="eastAsia"/>
          <w:color w:val="000000"/>
        </w:rPr>
        <w:t>3.2 勘察工作要求</w:t>
      </w:r>
      <w:bookmarkEnd w:id="77"/>
      <w:bookmarkEnd w:id="78"/>
      <w:bookmarkEnd w:id="79"/>
      <w:bookmarkEnd w:id="80"/>
    </w:p>
    <w:p w14:paraId="291EEBBD">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1．地质勘察阶段包括初勘、详勘、施工勘察三阶段，各阶段地质勘察内容与要求执行现行的《岩土工程勘察规范》及国家现行有关标准、规范、《市重点办建设工程前期勘察管理要求》（详见附件）的规定。</w:t>
      </w:r>
    </w:p>
    <w:p w14:paraId="22466C8E">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2．设计单位需对勘察成果予以分析，提出是否需要验证的建议和意见。</w:t>
      </w:r>
    </w:p>
    <w:p w14:paraId="02BF5496">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3．设计和施工配合时，应当参与施工验槽，及时解决工程设计和施工中与勘察工作有关的问题；应当参与建设工程质量事故的分析，并对因勘察原因造成的质量事故，提出相应的技术处理方案。</w:t>
      </w:r>
    </w:p>
    <w:p w14:paraId="011CBF89">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4．针对项目场地采用的勘察技术方案（包括勘察手段、方法、工艺及原位测试、土工试验等），提出本次勘察工作的难点及建议。</w:t>
      </w:r>
    </w:p>
    <w:p w14:paraId="46EC915C">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5．满足设计工期要求，如果延误工期，严格按照合同专用条款的约定承担违约责任。</w:t>
      </w:r>
    </w:p>
    <w:p w14:paraId="7C9155CC">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6．原始资料记录应当在勘察过程中及时整理、核对，确保取样、记录的真实、准确和完整，严禁离开现场追记或者补记。记录员对记录数据的真实性负责，并承担相应的法律责任，记录员不在现场不得开钻施工。原始记录按《市重点办建设工程前期勘察管理要求》中的《岩土工程勘察（钻 探）原始记录表》表格要求填写，钻孔结束后当天提交原始记录表格。记录员在开钻时、终孔时对现场进行拍照记录，每采集4米土样时，对岩(土)装样箱做好拍照记录，拍照记录按《市重点办建设工程前期勘察管理要求》中的《岩土工程勘察（钻探）现场以及土样采集情况表》表格要求填写。</w:t>
      </w:r>
    </w:p>
    <w:p w14:paraId="6E9568F8">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7．勘察设计单位应当按照《广东省建设工程勘察设计管理条例》和相关标准开展勘察设计工作，应当建立和健全勘察设计质量保证体系，建立完善的勘察报告和设计文件的内部审查制度，加强勘察设计全过程的质量控制，明确各阶段的责任人。</w:t>
      </w:r>
      <w:bookmarkStart w:id="81" w:name="_Toc447612396"/>
      <w:bookmarkStart w:id="82" w:name="_Toc447612875"/>
      <w:bookmarkStart w:id="83" w:name="_Toc20864"/>
    </w:p>
    <w:p w14:paraId="74E8E7A7">
      <w:pPr>
        <w:pStyle w:val="3"/>
        <w:spacing w:before="120" w:after="120"/>
        <w:rPr>
          <w:color w:val="000000"/>
        </w:rPr>
      </w:pPr>
      <w:bookmarkStart w:id="84" w:name="_Toc168047424"/>
      <w:bookmarkStart w:id="85" w:name="_Toc452558104"/>
      <w:bookmarkStart w:id="86" w:name="_Toc452973712"/>
      <w:bookmarkStart w:id="87" w:name="_Toc452558325"/>
      <w:r>
        <w:rPr>
          <w:rFonts w:hint="eastAsia"/>
          <w:color w:val="000000"/>
        </w:rPr>
        <w:t>3.3 设计工作要求</w:t>
      </w:r>
      <w:bookmarkEnd w:id="84"/>
      <w:bookmarkEnd w:id="85"/>
      <w:bookmarkEnd w:id="86"/>
      <w:bookmarkEnd w:id="87"/>
    </w:p>
    <w:p w14:paraId="260BF1B9">
      <w:pPr>
        <w:spacing w:line="360" w:lineRule="auto"/>
        <w:ind w:firstLine="480" w:firstLineChars="200"/>
        <w:rPr>
          <w:rFonts w:ascii="宋体" w:hAnsi="宋体"/>
          <w:color w:val="000000"/>
          <w:sz w:val="24"/>
        </w:rPr>
      </w:pPr>
      <w:r>
        <w:rPr>
          <w:rFonts w:hint="eastAsia" w:ascii="宋体" w:hAnsi="宋体"/>
          <w:color w:val="000000"/>
          <w:sz w:val="24"/>
        </w:rPr>
        <w:t>各阶段的设计工作除遵照勘察设计合同、项目建议书、业主需求书、现行法律法规和规范标准、政府有关部门的规定和审批意见、市重点项目管理中心的有关规定等外，还需要做到招标人提出的下列设计要求（包括并不限于）。</w:t>
      </w:r>
    </w:p>
    <w:bookmarkEnd w:id="81"/>
    <w:bookmarkEnd w:id="82"/>
    <w:bookmarkEnd w:id="83"/>
    <w:p w14:paraId="33450A05">
      <w:pPr>
        <w:pStyle w:val="5"/>
      </w:pPr>
      <w:bookmarkStart w:id="88" w:name="_Toc452558326"/>
      <w:bookmarkStart w:id="89" w:name="_Toc452973713"/>
      <w:r>
        <w:rPr>
          <w:rFonts w:hint="eastAsia"/>
        </w:rPr>
        <w:t>3.3.1规划设计要求</w:t>
      </w:r>
      <w:bookmarkEnd w:id="88"/>
      <w:bookmarkEnd w:id="89"/>
    </w:p>
    <w:p w14:paraId="7A9E240D">
      <w:pPr>
        <w:spacing w:line="360" w:lineRule="auto"/>
        <w:ind w:firstLine="480" w:firstLineChars="200"/>
        <w:rPr>
          <w:rFonts w:ascii="宋体" w:hAnsi="宋体"/>
          <w:color w:val="000000"/>
          <w:sz w:val="24"/>
        </w:rPr>
      </w:pPr>
      <w:r>
        <w:rPr>
          <w:rFonts w:hint="eastAsia" w:ascii="宋体" w:hAnsi="宋体"/>
          <w:color w:val="000000"/>
          <w:sz w:val="24"/>
        </w:rPr>
        <w:t>落实广州市委十届九次全会《进一步加强城市规划建设管理工作的实施意见》，提高规划的科学性和前瞻性，整体提升空间立体性、平面协调性、风貌整体性和文脉延续性。要求设计单位把竖向设计和管线规划平衡设计落实在方案深化设计阶段。</w:t>
      </w:r>
    </w:p>
    <w:p w14:paraId="1FD9F671">
      <w:pPr>
        <w:spacing w:line="360" w:lineRule="auto"/>
        <w:ind w:firstLine="480" w:firstLineChars="200"/>
        <w:rPr>
          <w:rFonts w:ascii="宋体" w:hAnsi="宋体"/>
          <w:sz w:val="24"/>
        </w:rPr>
      </w:pPr>
      <w:r>
        <w:rPr>
          <w:rFonts w:hint="eastAsia" w:ascii="宋体" w:hAnsi="宋体"/>
          <w:color w:val="000000"/>
          <w:sz w:val="24"/>
        </w:rPr>
        <w:t>停车场应按广州市有关部门的规定比例建设充电设施或预留充电设施接口。</w:t>
      </w:r>
      <w:r>
        <w:rPr>
          <w:rFonts w:hint="eastAsia" w:ascii="宋体" w:hAnsi="宋体"/>
          <w:sz w:val="24"/>
        </w:rPr>
        <w:t>认真执行广州市工业和信息化委印发的《广州市电动汽车充电基础设施建设专项规划（2016-2020年）》。</w:t>
      </w:r>
    </w:p>
    <w:p w14:paraId="07D0204D">
      <w:pPr>
        <w:spacing w:line="360" w:lineRule="auto"/>
        <w:ind w:firstLine="480" w:firstLineChars="200"/>
        <w:rPr>
          <w:rFonts w:ascii="宋体" w:hAnsi="宋体"/>
          <w:sz w:val="24"/>
        </w:rPr>
      </w:pPr>
      <w:r>
        <w:rPr>
          <w:rFonts w:hint="eastAsia" w:ascii="宋体" w:hAnsi="宋体"/>
          <w:sz w:val="24"/>
        </w:rPr>
        <w:t>依据《广州市海绵城市专项规划》和《海绵城市建设评价标准》，落实各项指标，按政府有关部门要求提交下垫面分类布局图、海绵设施分布总图、场地竖向及径流设计图、海绵城市目标取值计算表、海绵城市专项设计方案自评表等方案审查和规划备案资料。</w:t>
      </w:r>
    </w:p>
    <w:p w14:paraId="5673D5E1">
      <w:pPr>
        <w:pStyle w:val="5"/>
      </w:pPr>
      <w:bookmarkStart w:id="90" w:name="_Toc452973716"/>
      <w:bookmarkStart w:id="91" w:name="_Toc452558328"/>
      <w:bookmarkStart w:id="92" w:name="_Toc447612879"/>
      <w:bookmarkStart w:id="93" w:name="_Toc447612400"/>
      <w:r>
        <w:rPr>
          <w:rFonts w:hint="eastAsia"/>
        </w:rPr>
        <w:t>3.3.2建筑与室内装修设计要求</w:t>
      </w:r>
      <w:bookmarkEnd w:id="90"/>
      <w:bookmarkEnd w:id="91"/>
    </w:p>
    <w:bookmarkEnd w:id="92"/>
    <w:bookmarkEnd w:id="93"/>
    <w:p w14:paraId="34E10383">
      <w:pPr>
        <w:spacing w:line="360" w:lineRule="auto"/>
        <w:ind w:firstLine="480" w:firstLineChars="200"/>
        <w:rPr>
          <w:rFonts w:ascii="宋体" w:hAnsi="宋体"/>
          <w:color w:val="000000"/>
          <w:sz w:val="24"/>
        </w:rPr>
      </w:pPr>
      <w:r>
        <w:rPr>
          <w:rFonts w:hint="eastAsia" w:ascii="宋体" w:hAnsi="宋体"/>
          <w:sz w:val="24"/>
        </w:rPr>
        <w:t>1.采用绿色建筑</w:t>
      </w:r>
      <w:r>
        <w:rPr>
          <w:rFonts w:hint="eastAsia" w:ascii="宋体" w:hAnsi="宋体"/>
          <w:sz w:val="24"/>
          <w:u w:val="single"/>
        </w:rPr>
        <w:t xml:space="preserve"> 二 </w:t>
      </w:r>
      <w:r>
        <w:rPr>
          <w:rFonts w:hint="eastAsia" w:ascii="宋体" w:hAnsi="宋体"/>
          <w:sz w:val="24"/>
        </w:rPr>
        <w:t>星级设计（按政府有关主管部门的要求调整并执行），</w:t>
      </w:r>
      <w:r>
        <w:rPr>
          <w:rFonts w:hint="eastAsia" w:ascii="宋体" w:hAnsi="宋体"/>
          <w:color w:val="000000"/>
          <w:sz w:val="24"/>
        </w:rPr>
        <w:t>满足《绿色建筑评价标准》（GB/T 50378-2019）的相关规定。</w:t>
      </w:r>
    </w:p>
    <w:p w14:paraId="37508C36">
      <w:pPr>
        <w:spacing w:line="360" w:lineRule="auto"/>
        <w:ind w:firstLine="480" w:firstLineChars="200"/>
        <w:rPr>
          <w:rFonts w:ascii="宋体" w:hAnsi="宋体"/>
          <w:color w:val="000000"/>
          <w:sz w:val="24"/>
        </w:rPr>
      </w:pPr>
      <w:r>
        <w:rPr>
          <w:rFonts w:hint="eastAsia" w:ascii="宋体" w:hAnsi="宋体"/>
          <w:color w:val="000000"/>
          <w:sz w:val="24"/>
        </w:rPr>
        <w:t>2.提倡使用永久性天然材料，不得使用影响安全的挂板作为装饰面板。走廊、过道、楼梯等与室外直接连通的部位，地面不应采用抛光砖等不适合岭南地区返潮、湿滑气候特点的材料。</w:t>
      </w:r>
    </w:p>
    <w:p w14:paraId="281FC25E">
      <w:pPr>
        <w:spacing w:line="360" w:lineRule="auto"/>
        <w:ind w:firstLine="360" w:firstLineChars="150"/>
        <w:rPr>
          <w:rFonts w:ascii="宋体" w:hAnsi="宋体"/>
          <w:color w:val="000000"/>
          <w:sz w:val="24"/>
        </w:rPr>
      </w:pPr>
      <w:r>
        <w:rPr>
          <w:rFonts w:hint="eastAsia" w:ascii="宋体" w:hAnsi="宋体"/>
          <w:color w:val="000000"/>
          <w:sz w:val="24"/>
        </w:rPr>
        <w:t>3.建筑设计说明中要求标明所有门均为成品门进场，不采用施工现场制作门。</w:t>
      </w:r>
    </w:p>
    <w:p w14:paraId="65706650">
      <w:pPr>
        <w:spacing w:line="360" w:lineRule="auto"/>
        <w:ind w:firstLine="360" w:firstLineChars="150"/>
        <w:rPr>
          <w:rFonts w:ascii="宋体" w:hAnsi="宋体"/>
          <w:sz w:val="24"/>
        </w:rPr>
      </w:pPr>
      <w:r>
        <w:rPr>
          <w:rFonts w:hint="eastAsia" w:ascii="宋体" w:hAnsi="宋体"/>
          <w:color w:val="000000"/>
          <w:sz w:val="24"/>
        </w:rPr>
        <w:t>4.重要的建筑、装修</w:t>
      </w:r>
      <w:r>
        <w:rPr>
          <w:rFonts w:hint="eastAsia" w:ascii="宋体" w:hAnsi="宋体"/>
          <w:sz w:val="24"/>
        </w:rPr>
        <w:t>材料以及影响室内外重要外观的材料，甲方要求设计方提供实物样板，由设计单位在施工招标前提供，实物样板所需费用由设计单位负责。</w:t>
      </w:r>
    </w:p>
    <w:p w14:paraId="241206EC">
      <w:pPr>
        <w:spacing w:line="360" w:lineRule="auto"/>
        <w:ind w:firstLine="360" w:firstLineChars="150"/>
        <w:rPr>
          <w:rFonts w:ascii="宋体" w:hAnsi="宋体"/>
          <w:sz w:val="24"/>
        </w:rPr>
      </w:pPr>
      <w:r>
        <w:rPr>
          <w:rFonts w:hint="eastAsia" w:ascii="宋体" w:hAnsi="宋体"/>
          <w:sz w:val="24"/>
        </w:rPr>
        <w:t>5.方案设计阶段应提供分析与周边环境关系的专篇，要有周边的实景融入图。</w:t>
      </w:r>
    </w:p>
    <w:p w14:paraId="62A048E0">
      <w:pPr>
        <w:pStyle w:val="5"/>
      </w:pPr>
      <w:bookmarkStart w:id="94" w:name="_Toc452973720"/>
      <w:r>
        <w:rPr>
          <w:rFonts w:hint="eastAsia"/>
        </w:rPr>
        <w:t>3.3.3结构</w:t>
      </w:r>
      <w:bookmarkEnd w:id="94"/>
      <w:r>
        <w:rPr>
          <w:rFonts w:hint="eastAsia"/>
        </w:rPr>
        <w:t>设计要求</w:t>
      </w:r>
    </w:p>
    <w:p w14:paraId="3A189B9B">
      <w:pPr>
        <w:spacing w:line="360" w:lineRule="auto"/>
        <w:ind w:firstLine="480" w:firstLineChars="200"/>
        <w:rPr>
          <w:color w:val="000000"/>
        </w:rPr>
      </w:pPr>
      <w:r>
        <w:rPr>
          <w:rFonts w:hint="eastAsia" w:ascii="宋体" w:hAnsi="宋体" w:cs="宋体"/>
          <w:color w:val="000000"/>
          <w:sz w:val="24"/>
        </w:rPr>
        <w:t>包括设计范围内建筑体的结构设计、基坑支护设计、幕墙等室内外装修工程的结构设计与验算、室外景观与道路广场工程、构筑物的结构设计。</w:t>
      </w:r>
    </w:p>
    <w:p w14:paraId="5D16682B">
      <w:pPr>
        <w:pStyle w:val="5"/>
      </w:pPr>
      <w:bookmarkStart w:id="95" w:name="_Toc452973721"/>
      <w:r>
        <w:rPr>
          <w:rFonts w:hint="eastAsia"/>
        </w:rPr>
        <w:t>3.3.4室外工程</w:t>
      </w:r>
      <w:bookmarkEnd w:id="95"/>
      <w:r>
        <w:rPr>
          <w:rFonts w:hint="eastAsia"/>
        </w:rPr>
        <w:t>设计要求</w:t>
      </w:r>
    </w:p>
    <w:p w14:paraId="3FA711D0">
      <w:pPr>
        <w:numPr>
          <w:ilvl w:val="0"/>
          <w:numId w:val="1"/>
        </w:numPr>
        <w:adjustRightInd w:val="0"/>
        <w:snapToGrid w:val="0"/>
        <w:spacing w:line="360" w:lineRule="auto"/>
        <w:ind w:left="0" w:firstLine="480" w:firstLineChars="200"/>
        <w:rPr>
          <w:rFonts w:ascii="宋体" w:hAnsi="宋体" w:cs="宋体"/>
          <w:color w:val="000000"/>
          <w:sz w:val="24"/>
        </w:rPr>
      </w:pPr>
      <w:r>
        <w:rPr>
          <w:rFonts w:hint="eastAsia" w:ascii="宋体" w:hAnsi="宋体" w:cs="宋体"/>
          <w:color w:val="000000"/>
          <w:sz w:val="24"/>
        </w:rPr>
        <w:t>室外广场</w:t>
      </w:r>
    </w:p>
    <w:p w14:paraId="07632A63">
      <w:pPr>
        <w:adjustRightInd w:val="0"/>
        <w:snapToGrid w:val="0"/>
        <w:spacing w:line="360" w:lineRule="auto"/>
        <w:ind w:firstLine="480" w:firstLineChars="200"/>
        <w:rPr>
          <w:rFonts w:ascii="宋体" w:hAnsi="宋体" w:cs="宋体"/>
          <w:sz w:val="32"/>
          <w:szCs w:val="32"/>
        </w:rPr>
      </w:pPr>
      <w:r>
        <w:rPr>
          <w:rFonts w:hint="eastAsia" w:ascii="宋体" w:hAnsi="宋体" w:cs="Courier New"/>
          <w:snapToGrid w:val="0"/>
          <w:color w:val="000000"/>
          <w:sz w:val="24"/>
          <w:szCs w:val="21"/>
        </w:rPr>
        <w:t>室外广场石与侧平石等采用石材，按《广州市政府投资项目天然石材应用指引》和《广州市重点公共建设项目风景园林工程技术指引（铺装篇）》</w:t>
      </w:r>
      <w:r>
        <w:rPr>
          <w:rFonts w:hint="eastAsia" w:ascii="宋体" w:hAnsi="宋体" w:cs="Courier New"/>
          <w:color w:val="000000"/>
          <w:sz w:val="24"/>
          <w:szCs w:val="21"/>
        </w:rPr>
        <w:t>（详见附件）</w:t>
      </w:r>
      <w:r>
        <w:rPr>
          <w:rFonts w:hint="eastAsia" w:ascii="宋体" w:hAnsi="宋体" w:cs="Courier New"/>
          <w:snapToGrid w:val="0"/>
          <w:color w:val="000000"/>
          <w:sz w:val="24"/>
          <w:szCs w:val="21"/>
        </w:rPr>
        <w:t>要求设计施工。广场石材铺贴方案要求大方、整体性强，不宜采用拼花形式；若采用非石材或采用拼花形式，应专题报招标人同意</w:t>
      </w:r>
      <w:r>
        <w:rPr>
          <w:rFonts w:hint="eastAsia" w:ascii="宋体" w:hAnsi="宋体" w:cs="Courier New"/>
          <w:snapToGrid w:val="0"/>
          <w:sz w:val="24"/>
          <w:szCs w:val="21"/>
        </w:rPr>
        <w:t>。石材铺装厚度：车行的采用10cm，人行的采用5cm。室外铺装不宜采用密缝铺贴方式，设计单位应根据功能和材料具体情况设计铺装缝尺寸，出具详细完整的铺装图，室外铺装详细方案图须单独报招标人确认。</w:t>
      </w:r>
    </w:p>
    <w:p w14:paraId="025DD8EF">
      <w:pPr>
        <w:numPr>
          <w:ilvl w:val="0"/>
          <w:numId w:val="1"/>
        </w:numPr>
        <w:adjustRightInd w:val="0"/>
        <w:snapToGrid w:val="0"/>
        <w:spacing w:line="360" w:lineRule="auto"/>
        <w:ind w:left="0" w:firstLine="480" w:firstLineChars="200"/>
        <w:rPr>
          <w:rFonts w:ascii="宋体" w:hAnsi="宋体" w:cs="宋体"/>
          <w:color w:val="000000"/>
          <w:sz w:val="24"/>
        </w:rPr>
      </w:pPr>
      <w:r>
        <w:rPr>
          <w:rFonts w:hint="eastAsia" w:ascii="宋体" w:hAnsi="宋体" w:cs="宋体"/>
          <w:color w:val="000000"/>
          <w:sz w:val="24"/>
        </w:rPr>
        <w:t>室外管网</w:t>
      </w:r>
    </w:p>
    <w:p w14:paraId="6557E871">
      <w:pPr>
        <w:adjustRightInd w:val="0"/>
        <w:snapToGrid w:val="0"/>
        <w:spacing w:line="360" w:lineRule="auto"/>
        <w:ind w:firstLine="480" w:firstLineChars="200"/>
        <w:rPr>
          <w:rFonts w:ascii="宋体" w:hAnsi="宋体" w:cs="宋体"/>
          <w:i/>
          <w:color w:val="000000"/>
          <w:sz w:val="24"/>
        </w:rPr>
      </w:pPr>
      <w:r>
        <w:rPr>
          <w:rFonts w:hint="eastAsia" w:ascii="宋体" w:hAnsi="宋体" w:cs="宋体"/>
          <w:color w:val="000000"/>
          <w:sz w:val="24"/>
        </w:rPr>
        <w:t>红线内室外管网新建工程及管线迁移工程，包括水、电、燃气等的接入与迁移工程。</w:t>
      </w:r>
    </w:p>
    <w:p w14:paraId="787D29EA">
      <w:pPr>
        <w:adjustRightInd w:val="0"/>
        <w:snapToGrid w:val="0"/>
        <w:spacing w:line="360" w:lineRule="auto"/>
        <w:ind w:firstLine="480" w:firstLineChars="200"/>
        <w:rPr>
          <w:rFonts w:ascii="宋体" w:hAnsi="宋体" w:cs="宋体"/>
          <w:color w:val="000000"/>
          <w:sz w:val="24"/>
        </w:rPr>
      </w:pPr>
      <w:r>
        <w:rPr>
          <w:rFonts w:hint="eastAsia" w:ascii="宋体" w:hAnsi="宋体" w:cs="宋体"/>
          <w:color w:val="000000"/>
          <w:sz w:val="24"/>
        </w:rPr>
        <w:t>道路照明按《广州市城市道路照明设施移交管理办法》和《广州市照明建设管理中心关于拟移交中心管养道路的照明项目有关要求的函(穗照明函[2015]44号)》的要求进行设计。</w:t>
      </w:r>
    </w:p>
    <w:p w14:paraId="74BDF84E">
      <w:pPr>
        <w:adjustRightInd w:val="0"/>
        <w:snapToGrid w:val="0"/>
        <w:spacing w:line="360" w:lineRule="auto"/>
        <w:ind w:firstLine="480" w:firstLineChars="200"/>
        <w:rPr>
          <w:rFonts w:ascii="宋体" w:hAnsi="宋体" w:cs="宋体"/>
          <w:sz w:val="24"/>
        </w:rPr>
      </w:pPr>
      <w:r>
        <w:rPr>
          <w:rFonts w:hint="eastAsia" w:ascii="宋体" w:hAnsi="宋体" w:cs="宋体"/>
          <w:sz w:val="24"/>
        </w:rPr>
        <w:t>井盖设施的设计应当执行国家、省、市技术标准和规范，并满足《广州市井盖设施管理试行办法》、《广州城市道路井盖建设实施指引》的要求。井盖和井壁应当标明井盖设施权属单位名称和报修电话。</w:t>
      </w:r>
    </w:p>
    <w:p w14:paraId="36EBC3BE">
      <w:pPr>
        <w:numPr>
          <w:ilvl w:val="0"/>
          <w:numId w:val="1"/>
        </w:numPr>
        <w:adjustRightInd w:val="0"/>
        <w:snapToGrid w:val="0"/>
        <w:spacing w:line="360" w:lineRule="auto"/>
        <w:ind w:left="0" w:firstLine="480" w:firstLineChars="200"/>
        <w:rPr>
          <w:rFonts w:ascii="宋体" w:hAnsi="宋体" w:cs="宋体"/>
          <w:color w:val="000000"/>
          <w:sz w:val="24"/>
        </w:rPr>
      </w:pPr>
      <w:r>
        <w:rPr>
          <w:rFonts w:hint="eastAsia" w:ascii="宋体" w:hAnsi="宋体" w:cs="宋体"/>
          <w:color w:val="000000"/>
          <w:sz w:val="24"/>
        </w:rPr>
        <w:t>室外绿化及绿化迁移</w:t>
      </w:r>
    </w:p>
    <w:p w14:paraId="0DC13029">
      <w:pPr>
        <w:adjustRightInd w:val="0"/>
        <w:snapToGrid w:val="0"/>
        <w:spacing w:line="360" w:lineRule="auto"/>
        <w:ind w:firstLine="480" w:firstLineChars="200"/>
        <w:rPr>
          <w:rFonts w:ascii="宋体" w:hAnsi="宋体" w:cs="宋体"/>
          <w:i/>
          <w:color w:val="000000"/>
          <w:sz w:val="24"/>
        </w:rPr>
      </w:pPr>
      <w:r>
        <w:rPr>
          <w:rFonts w:hint="eastAsia" w:ascii="宋体" w:hAnsi="宋体" w:cs="宋体"/>
          <w:sz w:val="24"/>
        </w:rPr>
        <w:t>拟建地块内现状树木，需移除或项目建成后少数回植。最终以与市林园局沟通确定要移植方案。设计范围内景观园林绿化设计，含室外广场、道路、园林等景观绿化，及泛光照明设计，</w:t>
      </w:r>
      <w:r>
        <w:rPr>
          <w:rFonts w:hint="eastAsia" w:ascii="宋体" w:hAnsi="宋体" w:cs="Courier New"/>
          <w:color w:val="000000"/>
          <w:sz w:val="24"/>
          <w:szCs w:val="21"/>
        </w:rPr>
        <w:t>按照</w:t>
      </w:r>
      <w:r>
        <w:rPr>
          <w:rFonts w:hint="eastAsia" w:ascii="宋体" w:hAnsi="宋体" w:cs="Courier New"/>
          <w:snapToGrid w:val="0"/>
          <w:color w:val="000000"/>
          <w:sz w:val="24"/>
          <w:szCs w:val="21"/>
        </w:rPr>
        <w:t>《广州市重点公共建设项目风景园林工程技术指引》</w:t>
      </w:r>
      <w:r>
        <w:rPr>
          <w:rFonts w:hint="eastAsia" w:ascii="宋体" w:hAnsi="宋体" w:cs="Courier New"/>
          <w:color w:val="000000"/>
          <w:sz w:val="24"/>
          <w:szCs w:val="21"/>
        </w:rPr>
        <w:t>（详见附件）</w:t>
      </w:r>
      <w:r>
        <w:rPr>
          <w:rFonts w:hint="eastAsia" w:ascii="宋体" w:hAnsi="宋体" w:cs="Courier New"/>
          <w:snapToGrid w:val="0"/>
          <w:color w:val="000000"/>
          <w:sz w:val="24"/>
          <w:szCs w:val="21"/>
        </w:rPr>
        <w:t>进行设计</w:t>
      </w:r>
      <w:r>
        <w:rPr>
          <w:rFonts w:hint="eastAsia" w:ascii="宋体" w:hAnsi="宋体" w:cs="Courier New"/>
          <w:i/>
          <w:color w:val="000000"/>
          <w:sz w:val="24"/>
          <w:szCs w:val="21"/>
        </w:rPr>
        <w:t>。</w:t>
      </w:r>
      <w:r>
        <w:rPr>
          <w:rFonts w:hint="eastAsia" w:ascii="宋体" w:hAnsi="宋体" w:cs="Courier New"/>
          <w:snapToGrid w:val="0"/>
          <w:color w:val="000000"/>
          <w:kern w:val="0"/>
          <w:sz w:val="24"/>
          <w:szCs w:val="21"/>
        </w:rPr>
        <w:t>须对本项目的园林景观方案、苗木选用设计进行比</w:t>
      </w:r>
      <w:r>
        <w:rPr>
          <w:rFonts w:hint="eastAsia" w:ascii="宋体" w:hAnsi="宋体" w:cs="宋体"/>
          <w:color w:val="000000"/>
          <w:sz w:val="24"/>
        </w:rPr>
        <w:t>选分析，室外苗木采用岭南植物，并应避免掉皮等影响景观现象。</w:t>
      </w:r>
    </w:p>
    <w:p w14:paraId="47614A18">
      <w:pPr>
        <w:numPr>
          <w:ilvl w:val="0"/>
          <w:numId w:val="1"/>
        </w:numPr>
        <w:adjustRightInd w:val="0"/>
        <w:snapToGrid w:val="0"/>
        <w:spacing w:line="360" w:lineRule="auto"/>
        <w:ind w:left="0" w:firstLine="480" w:firstLineChars="200"/>
        <w:rPr>
          <w:rFonts w:ascii="宋体" w:hAnsi="宋体" w:cs="宋体"/>
          <w:sz w:val="24"/>
        </w:rPr>
      </w:pPr>
      <w:r>
        <w:rPr>
          <w:rFonts w:hint="eastAsia" w:ascii="宋体" w:hAnsi="宋体" w:cs="宋体"/>
          <w:sz w:val="24"/>
        </w:rPr>
        <w:t>路桥梁工程</w:t>
      </w:r>
    </w:p>
    <w:p w14:paraId="7A645335">
      <w:pPr>
        <w:adjustRightInd w:val="0"/>
        <w:snapToGrid w:val="0"/>
        <w:spacing w:line="360" w:lineRule="auto"/>
        <w:ind w:left="480"/>
        <w:rPr>
          <w:rFonts w:ascii="宋体" w:hAnsi="宋体" w:cs="宋体"/>
          <w:sz w:val="24"/>
        </w:rPr>
      </w:pPr>
      <w:r>
        <w:rPr>
          <w:rFonts w:hint="eastAsia" w:ascii="宋体" w:hAnsi="宋体" w:cs="宋体"/>
          <w:sz w:val="24"/>
        </w:rPr>
        <w:t>市政道路设计满足《广州市市政道路精细化、品质化设计与施工技术指引》的要求。</w:t>
      </w:r>
    </w:p>
    <w:p w14:paraId="75D905F2">
      <w:pPr>
        <w:adjustRightInd w:val="0"/>
        <w:snapToGrid w:val="0"/>
        <w:spacing w:line="360" w:lineRule="auto"/>
        <w:ind w:left="480"/>
        <w:rPr>
          <w:rFonts w:ascii="宋体" w:hAnsi="宋体" w:cs="宋体"/>
          <w:sz w:val="24"/>
        </w:rPr>
      </w:pPr>
      <w:r>
        <w:rPr>
          <w:rFonts w:hint="eastAsia" w:ascii="宋体" w:hAnsi="宋体" w:cs="宋体"/>
          <w:sz w:val="24"/>
        </w:rPr>
        <w:t>5.连廊需与建筑、周边环境相融合。</w:t>
      </w:r>
    </w:p>
    <w:p w14:paraId="21C6121F">
      <w:pPr>
        <w:adjustRightInd w:val="0"/>
        <w:snapToGrid w:val="0"/>
        <w:spacing w:line="360" w:lineRule="auto"/>
        <w:ind w:firstLine="480" w:firstLineChars="200"/>
        <w:rPr>
          <w:rFonts w:ascii="宋体" w:hAnsi="宋体" w:cs="宋体"/>
          <w:color w:val="000000"/>
          <w:sz w:val="24"/>
        </w:rPr>
      </w:pPr>
      <w:r>
        <w:rPr>
          <w:rFonts w:hint="eastAsia" w:ascii="宋体" w:hAnsi="宋体" w:cs="宋体"/>
          <w:color w:val="000000"/>
          <w:sz w:val="24"/>
        </w:rPr>
        <w:t>6.泛光照明需进行方案比较，报招标人确认。</w:t>
      </w:r>
    </w:p>
    <w:p w14:paraId="46B1F6D1">
      <w:pPr>
        <w:pStyle w:val="5"/>
      </w:pPr>
      <w:bookmarkStart w:id="96" w:name="_Toc452973722"/>
      <w:r>
        <w:rPr>
          <w:rFonts w:hint="eastAsia"/>
        </w:rPr>
        <w:t>3</w:t>
      </w:r>
      <w:r>
        <w:t>.3.</w:t>
      </w:r>
      <w:r>
        <w:rPr>
          <w:rFonts w:hint="eastAsia"/>
        </w:rPr>
        <w:t>5给排水</w:t>
      </w:r>
      <w:bookmarkEnd w:id="96"/>
      <w:r>
        <w:rPr>
          <w:rFonts w:hint="eastAsia"/>
        </w:rPr>
        <w:t>设计要求</w:t>
      </w:r>
    </w:p>
    <w:p w14:paraId="34569BAC">
      <w:pPr>
        <w:spacing w:line="360" w:lineRule="auto"/>
        <w:ind w:firstLine="480" w:firstLineChars="200"/>
        <w:rPr>
          <w:sz w:val="24"/>
        </w:rPr>
      </w:pPr>
      <w:r>
        <w:rPr>
          <w:rFonts w:hint="eastAsia"/>
          <w:sz w:val="24"/>
        </w:rPr>
        <w:t>给排水设计要满足《广州市建设项目节水设施“三同时”管理暂行办法》的要求，合理采用节水用水器具、杂用水系统、雨水收集利用系统，用水计量器具及优质管材等节水设施，在各阶段设计文件中有节水设计并有专门的节水措施描述。</w:t>
      </w:r>
    </w:p>
    <w:p w14:paraId="799EF6F7">
      <w:pPr>
        <w:spacing w:line="360" w:lineRule="auto"/>
        <w:ind w:firstLine="480" w:firstLineChars="200"/>
        <w:rPr>
          <w:color w:val="000000"/>
          <w:sz w:val="24"/>
        </w:rPr>
      </w:pPr>
      <w:r>
        <w:rPr>
          <w:rFonts w:hint="eastAsia"/>
          <w:color w:val="000000"/>
          <w:sz w:val="24"/>
        </w:rPr>
        <w:t>1. 给水系统</w:t>
      </w:r>
    </w:p>
    <w:p w14:paraId="627547A2">
      <w:pPr>
        <w:spacing w:line="360" w:lineRule="auto"/>
        <w:ind w:firstLine="480" w:firstLineChars="200"/>
        <w:rPr>
          <w:sz w:val="24"/>
          <w:shd w:val="clear" w:color="auto" w:fill="FFFFFF"/>
        </w:rPr>
      </w:pPr>
      <w:r>
        <w:rPr>
          <w:rFonts w:hint="eastAsia"/>
          <w:sz w:val="24"/>
          <w:shd w:val="clear" w:color="auto" w:fill="FFFFFF"/>
        </w:rPr>
        <w:t>从项目周边校园道路上的校区高质水给水管、校区杂用水给水管接入。</w:t>
      </w:r>
    </w:p>
    <w:p w14:paraId="4849ECE4">
      <w:pPr>
        <w:spacing w:line="360" w:lineRule="auto"/>
        <w:ind w:firstLine="480" w:firstLineChars="200"/>
        <w:rPr>
          <w:color w:val="000000"/>
          <w:sz w:val="24"/>
        </w:rPr>
      </w:pPr>
      <w:r>
        <w:rPr>
          <w:rFonts w:hint="eastAsia"/>
          <w:color w:val="000000"/>
          <w:sz w:val="24"/>
        </w:rPr>
        <w:t>2. 排水系统</w:t>
      </w:r>
    </w:p>
    <w:p w14:paraId="5711B4E7">
      <w:pPr>
        <w:adjustRightInd w:val="0"/>
        <w:snapToGrid w:val="0"/>
        <w:spacing w:line="360" w:lineRule="auto"/>
        <w:ind w:firstLine="480" w:firstLineChars="200"/>
        <w:rPr>
          <w:rFonts w:ascii="宋体" w:hAnsi="宋体" w:cs="宋体"/>
          <w:color w:val="000000"/>
          <w:sz w:val="24"/>
        </w:rPr>
      </w:pPr>
      <w:r>
        <w:rPr>
          <w:rFonts w:hint="eastAsia" w:ascii="宋体" w:hAnsi="宋体" w:cs="宋体"/>
          <w:sz w:val="24"/>
        </w:rPr>
        <w:t>室内排水污废合流，室外排水雨污分流，雨水、污水分别接到市政雨水和污水管网，市政接驳点按《广州市排水设施设计条件咨询意见》接驳。排水需满足《广州市水务管理条例》、《广州市排水管理办法》、《广州市建设项目雨水径流控制管理办法》、</w:t>
      </w:r>
      <w:r>
        <w:rPr>
          <w:rFonts w:hint="eastAsia" w:ascii="宋体" w:hAnsi="宋体"/>
          <w:sz w:val="24"/>
        </w:rPr>
        <w:t>《海绵城市建设评价标准》</w:t>
      </w:r>
      <w:r>
        <w:rPr>
          <w:rFonts w:hint="eastAsia" w:ascii="宋体" w:hAnsi="宋体" w:cs="宋体"/>
          <w:color w:val="000000"/>
          <w:sz w:val="24"/>
        </w:rPr>
        <w:t>等法规的要求。</w:t>
      </w:r>
      <w:r>
        <w:rPr>
          <w:rFonts w:hint="eastAsia"/>
          <w:color w:val="000000"/>
          <w:sz w:val="24"/>
        </w:rPr>
        <w:t>其中厨房废水经隔油池处理；一般粪便污水需经过化粪池预处理（如有），与生活废水合流后汇总后排入市政污水管网，污水排放应遵守国家有关环境保护的规定。</w:t>
      </w:r>
    </w:p>
    <w:p w14:paraId="5D55E618">
      <w:pPr>
        <w:spacing w:line="360" w:lineRule="auto"/>
        <w:ind w:firstLine="480" w:firstLineChars="200"/>
        <w:rPr>
          <w:color w:val="000000"/>
          <w:sz w:val="24"/>
        </w:rPr>
      </w:pPr>
      <w:r>
        <w:rPr>
          <w:rFonts w:hint="eastAsia"/>
          <w:color w:val="000000"/>
          <w:sz w:val="24"/>
        </w:rPr>
        <w:t>3. 雨水系统</w:t>
      </w:r>
    </w:p>
    <w:p w14:paraId="4369214D">
      <w:pPr>
        <w:spacing w:line="360" w:lineRule="auto"/>
        <w:ind w:firstLine="480" w:firstLineChars="200"/>
        <w:rPr>
          <w:sz w:val="24"/>
        </w:rPr>
      </w:pPr>
      <w:r>
        <w:rPr>
          <w:rFonts w:hint="eastAsia"/>
          <w:color w:val="000000"/>
          <w:sz w:val="24"/>
        </w:rPr>
        <w:t>考虑雨水收集，单体建筑雨水管道布置不应对主要外立面产生影响。设有分体空调的房间，其冷凝水应有组织排放，并应间接排放。雨水径流控制应从建设项目全局出发，</w:t>
      </w:r>
      <w:r>
        <w:rPr>
          <w:rFonts w:hint="eastAsia"/>
          <w:sz w:val="24"/>
        </w:rPr>
        <w:t>妥善处理防洪排涝、雨水资源化利用和初雨污染的关系，满足《广州市水务管理条例》、《广州市排水管理办法》、《广州市建设项目雨水径流控制管理办法》、</w:t>
      </w:r>
      <w:r>
        <w:rPr>
          <w:rFonts w:hint="eastAsia" w:ascii="宋体" w:hAnsi="宋体"/>
          <w:sz w:val="24"/>
        </w:rPr>
        <w:t>《海绵城市建设评价标准》</w:t>
      </w:r>
      <w:r>
        <w:rPr>
          <w:rFonts w:hint="eastAsia"/>
          <w:sz w:val="24"/>
        </w:rPr>
        <w:t>等法规的要求。</w:t>
      </w:r>
    </w:p>
    <w:p w14:paraId="332F671B">
      <w:pPr>
        <w:spacing w:line="360" w:lineRule="auto"/>
        <w:ind w:firstLine="480" w:firstLineChars="200"/>
        <w:rPr>
          <w:color w:val="000000"/>
          <w:sz w:val="24"/>
        </w:rPr>
      </w:pPr>
      <w:r>
        <w:rPr>
          <w:rFonts w:hint="eastAsia"/>
          <w:color w:val="000000"/>
          <w:sz w:val="24"/>
        </w:rPr>
        <w:t>4. 消防系统</w:t>
      </w:r>
    </w:p>
    <w:p w14:paraId="3C93525F">
      <w:pPr>
        <w:spacing w:line="360" w:lineRule="auto"/>
        <w:ind w:firstLine="480" w:firstLineChars="200"/>
        <w:rPr>
          <w:color w:val="000000"/>
          <w:sz w:val="24"/>
        </w:rPr>
      </w:pPr>
      <w:r>
        <w:rPr>
          <w:rFonts w:hint="eastAsia"/>
          <w:sz w:val="24"/>
        </w:rPr>
        <w:t>1）项目消防工程应严格按照《建筑设计防火规范》（GB57608-2014（2018年版））的有关规定，同时应贯彻“预防为主，防消结合”的方针，立足自救，并在自救的基础</w:t>
      </w:r>
      <w:r>
        <w:rPr>
          <w:rFonts w:hint="eastAsia"/>
          <w:color w:val="000000"/>
          <w:sz w:val="24"/>
        </w:rPr>
        <w:t>上充分依靠社会公安消防力量。</w:t>
      </w:r>
    </w:p>
    <w:p w14:paraId="7ACBDF00">
      <w:pPr>
        <w:spacing w:line="360" w:lineRule="auto"/>
        <w:ind w:firstLine="480" w:firstLineChars="200"/>
        <w:rPr>
          <w:sz w:val="24"/>
        </w:rPr>
      </w:pPr>
      <w:r>
        <w:rPr>
          <w:rFonts w:hint="eastAsia"/>
          <w:sz w:val="24"/>
        </w:rPr>
        <w:t>按照《建筑设计防火规范》的规定：本项目建构筑物的耐火等级确定为一级。</w:t>
      </w:r>
    </w:p>
    <w:p w14:paraId="7A36F0B1">
      <w:pPr>
        <w:spacing w:line="360" w:lineRule="auto"/>
        <w:ind w:firstLine="480" w:firstLineChars="200"/>
        <w:rPr>
          <w:color w:val="000000"/>
          <w:sz w:val="24"/>
        </w:rPr>
      </w:pPr>
      <w:r>
        <w:rPr>
          <w:color w:val="000000"/>
          <w:sz w:val="24"/>
        </w:rPr>
        <w:t>2</w:t>
      </w:r>
      <w:r>
        <w:rPr>
          <w:rFonts w:hint="eastAsia"/>
          <w:color w:val="000000"/>
          <w:sz w:val="24"/>
        </w:rPr>
        <w:t>）按相关规范设置消防给水系统、自动灭火系统、烟感系统，按《建筑灭火器配置设计规范》（GB50140）要求设置手提式干粉灭火器。</w:t>
      </w:r>
    </w:p>
    <w:p w14:paraId="28BCB382">
      <w:pPr>
        <w:spacing w:line="360" w:lineRule="auto"/>
        <w:ind w:firstLine="480" w:firstLineChars="200"/>
        <w:rPr>
          <w:color w:val="000000"/>
          <w:sz w:val="24"/>
        </w:rPr>
      </w:pPr>
      <w:r>
        <w:rPr>
          <w:rFonts w:hint="eastAsia"/>
          <w:color w:val="000000"/>
          <w:sz w:val="24"/>
        </w:rPr>
        <w:t>3）消防给水管道采用热浸镀锌钢管，当管径DN≤50时，采用螺纹连接；DN＞50时采用卡箍式连接。</w:t>
      </w:r>
    </w:p>
    <w:p w14:paraId="6A3F49C8">
      <w:pPr>
        <w:spacing w:line="360" w:lineRule="auto"/>
        <w:ind w:firstLine="480" w:firstLineChars="200"/>
        <w:rPr>
          <w:color w:val="000000"/>
          <w:sz w:val="24"/>
        </w:rPr>
      </w:pPr>
      <w:r>
        <w:rPr>
          <w:rFonts w:hint="eastAsia"/>
          <w:color w:val="000000"/>
          <w:sz w:val="24"/>
        </w:rPr>
        <w:t>室外消防用水由市政给水管网供给，室内消火用水及自动喷淋用水分别由消防水池供给，分别设置消防水泵房及消防水池，储存室内消防用水。</w:t>
      </w:r>
    </w:p>
    <w:p w14:paraId="18FE6968">
      <w:pPr>
        <w:spacing w:line="360" w:lineRule="auto"/>
        <w:ind w:firstLine="480" w:firstLineChars="200"/>
        <w:rPr>
          <w:color w:val="000000"/>
          <w:sz w:val="24"/>
        </w:rPr>
      </w:pPr>
      <w:r>
        <w:rPr>
          <w:rFonts w:hint="eastAsia"/>
          <w:sz w:val="24"/>
        </w:rPr>
        <w:t>4）本项目属一级火灾自动报警系统保护对象本项目在设置火灾自动报警系统时，</w:t>
      </w:r>
      <w:r>
        <w:rPr>
          <w:rFonts w:hint="eastAsia"/>
          <w:color w:val="000000"/>
          <w:sz w:val="24"/>
        </w:rPr>
        <w:t>宜根据项目的具体情况，本系统采用控制中心型智能消防报警系统，具有火灾报警、联动控制等功能。系统包括：手动报警按钮、感烟探测器、感温探测器、警铃和水流指示器等报警装置，系统同时监视消火栓按钮、报警阀、压力开关、水流指示器及信号阀等的动作信号。</w:t>
      </w:r>
      <w:r>
        <w:rPr>
          <w:color w:val="000000"/>
          <w:sz w:val="24"/>
        </w:rPr>
        <w:t> 为了便于控制和管理，所有消防信号将显示于总控制屏上，以便一旦发生火灾时，可迅速报告</w:t>
      </w:r>
      <w:r>
        <w:rPr>
          <w:rFonts w:hint="eastAsia"/>
          <w:color w:val="000000"/>
          <w:sz w:val="24"/>
        </w:rPr>
        <w:t>消防局。在</w:t>
      </w:r>
      <w:r>
        <w:rPr>
          <w:color w:val="000000"/>
          <w:sz w:val="24"/>
        </w:rPr>
        <w:t>消防总控制室内</w:t>
      </w:r>
      <w:r>
        <w:rPr>
          <w:rFonts w:hint="eastAsia"/>
          <w:color w:val="000000"/>
          <w:sz w:val="24"/>
        </w:rPr>
        <w:t>设置</w:t>
      </w:r>
      <w:r>
        <w:rPr>
          <w:color w:val="000000"/>
          <w:sz w:val="24"/>
        </w:rPr>
        <w:t>以下设备：消防系统主机（工作站）、火灾视屏显示屏（LED）、火灾自动报警</w:t>
      </w:r>
    </w:p>
    <w:p w14:paraId="731E75E6">
      <w:pPr>
        <w:spacing w:line="360" w:lineRule="auto"/>
        <w:ind w:firstLine="480" w:firstLineChars="200"/>
        <w:rPr>
          <w:color w:val="000000"/>
          <w:sz w:val="24"/>
        </w:rPr>
      </w:pPr>
      <w:r>
        <w:rPr>
          <w:rFonts w:hint="eastAsia"/>
          <w:color w:val="000000"/>
          <w:sz w:val="24"/>
        </w:rPr>
        <w:t>系统总控制屏、消防联动控制盘、消防专用电话主机、应急电源配电盘和</w:t>
      </w:r>
      <w:r>
        <w:rPr>
          <w:color w:val="000000"/>
          <w:sz w:val="24"/>
        </w:rPr>
        <w:t>UPS电源、消防系统运行记录打印机等。消防控制室可监听所有消防电源设备的状态。另外，消防总控制室内设置一部直拨消防单位的外线电话，并同时提供与消防电话插孔匹配的手提电话。 </w:t>
      </w:r>
    </w:p>
    <w:p w14:paraId="729DDE74">
      <w:pPr>
        <w:spacing w:line="360" w:lineRule="auto"/>
        <w:ind w:firstLine="480" w:firstLineChars="200"/>
        <w:rPr>
          <w:sz w:val="24"/>
        </w:rPr>
      </w:pPr>
      <w:r>
        <w:rPr>
          <w:rFonts w:hint="eastAsia"/>
          <w:sz w:val="24"/>
        </w:rPr>
        <w:t>对火灾探测器的选择应考虑建筑物的功能特点合理设置。</w:t>
      </w:r>
    </w:p>
    <w:p w14:paraId="2D6C098B">
      <w:pPr>
        <w:spacing w:line="360" w:lineRule="auto"/>
        <w:ind w:firstLine="480" w:firstLineChars="200"/>
        <w:rPr>
          <w:color w:val="000000"/>
          <w:sz w:val="24"/>
        </w:rPr>
      </w:pPr>
      <w:r>
        <w:rPr>
          <w:rFonts w:hint="eastAsia"/>
          <w:color w:val="000000"/>
          <w:sz w:val="24"/>
        </w:rPr>
        <w:t>5. 卫生洁具及管道材料选用：</w:t>
      </w:r>
    </w:p>
    <w:p w14:paraId="24B6E7A6">
      <w:pPr>
        <w:spacing w:line="360" w:lineRule="auto"/>
        <w:ind w:firstLine="480" w:firstLineChars="200"/>
        <w:rPr>
          <w:color w:val="000000"/>
          <w:sz w:val="24"/>
        </w:rPr>
      </w:pPr>
      <w:r>
        <w:rPr>
          <w:rFonts w:hint="eastAsia"/>
          <w:color w:val="000000"/>
          <w:sz w:val="24"/>
        </w:rPr>
        <w:t>1）在满足使用功能的前提下，优先选用国家相关部门推荐的节能、环保型管材。</w:t>
      </w:r>
    </w:p>
    <w:p w14:paraId="17E19017">
      <w:pPr>
        <w:spacing w:line="360" w:lineRule="auto"/>
        <w:ind w:firstLine="480" w:firstLineChars="200"/>
        <w:rPr>
          <w:color w:val="000000"/>
          <w:sz w:val="24"/>
        </w:rPr>
      </w:pPr>
      <w:r>
        <w:rPr>
          <w:rFonts w:hint="eastAsia"/>
          <w:color w:val="000000"/>
          <w:sz w:val="24"/>
        </w:rPr>
        <w:t>2）所有卫生洁具应选用国家规定的节水型洁具，公共卫生间及对卫生要求较高的位置应选用非接触式卫生洁具，避免交叉感染。</w:t>
      </w:r>
    </w:p>
    <w:p w14:paraId="43619274">
      <w:pPr>
        <w:pStyle w:val="5"/>
      </w:pPr>
      <w:bookmarkStart w:id="97" w:name="_Toc452973723"/>
      <w:r>
        <w:rPr>
          <w:rFonts w:hint="eastAsia"/>
        </w:rPr>
        <w:t>3</w:t>
      </w:r>
      <w:r>
        <w:t>.3.</w:t>
      </w:r>
      <w:r>
        <w:rPr>
          <w:rFonts w:hint="eastAsia"/>
        </w:rPr>
        <w:t>6电气</w:t>
      </w:r>
      <w:bookmarkEnd w:id="97"/>
      <w:r>
        <w:rPr>
          <w:rFonts w:hint="eastAsia"/>
        </w:rPr>
        <w:t>设计要求</w:t>
      </w:r>
    </w:p>
    <w:p w14:paraId="113C4CA7">
      <w:pPr>
        <w:spacing w:line="360" w:lineRule="auto"/>
        <w:ind w:firstLine="480" w:firstLineChars="200"/>
        <w:rPr>
          <w:color w:val="000000"/>
          <w:sz w:val="24"/>
        </w:rPr>
      </w:pPr>
      <w:r>
        <w:rPr>
          <w:rFonts w:hint="eastAsia"/>
          <w:color w:val="000000"/>
          <w:sz w:val="24"/>
        </w:rPr>
        <w:t>1. 变配电（强电）系统</w:t>
      </w:r>
    </w:p>
    <w:p w14:paraId="51555458">
      <w:pPr>
        <w:spacing w:line="360" w:lineRule="auto"/>
        <w:ind w:firstLine="480" w:firstLineChars="200"/>
        <w:rPr>
          <w:sz w:val="24"/>
        </w:rPr>
      </w:pPr>
      <w:r>
        <w:rPr>
          <w:rFonts w:hint="eastAsia"/>
          <w:sz w:val="24"/>
        </w:rPr>
        <w:t>项目从校园高压房引入市政10kV电源，根据规范考虑设置双回路。在屋顶设置光伏作为项目的可再生能源来源。配电系统设计满足低碳节能智能要求。</w:t>
      </w:r>
    </w:p>
    <w:p w14:paraId="51919E37">
      <w:pPr>
        <w:spacing w:line="360" w:lineRule="auto"/>
        <w:ind w:firstLine="480" w:firstLineChars="200"/>
        <w:rPr>
          <w:color w:val="000000"/>
          <w:sz w:val="24"/>
        </w:rPr>
      </w:pPr>
      <w:r>
        <w:rPr>
          <w:rFonts w:hint="eastAsia"/>
          <w:color w:val="000000"/>
          <w:sz w:val="24"/>
        </w:rPr>
        <w:t>2. 弱电系统</w:t>
      </w:r>
    </w:p>
    <w:p w14:paraId="5A6F938C">
      <w:pPr>
        <w:spacing w:line="360" w:lineRule="auto"/>
        <w:ind w:firstLine="480" w:firstLineChars="200"/>
        <w:rPr>
          <w:color w:val="000000"/>
          <w:sz w:val="24"/>
        </w:rPr>
      </w:pPr>
      <w:r>
        <w:rPr>
          <w:rFonts w:hint="eastAsia"/>
          <w:color w:val="000000"/>
          <w:sz w:val="24"/>
        </w:rPr>
        <w:t>1）</w:t>
      </w:r>
      <w:r>
        <w:rPr>
          <w:rFonts w:hint="eastAsia" w:ascii="宋体" w:hAnsi="宋体" w:cs="Courier New"/>
          <w:sz w:val="24"/>
          <w:szCs w:val="21"/>
        </w:rPr>
        <w:t>建筑智能化专业各子系统的设计应保证为当时先进、成熟的技术。各子系统在设计时，应充分的考虑其兼容性、扩展性和先进性。合理安排竖井及电信设备机房位置及结构</w:t>
      </w:r>
      <w:r>
        <w:rPr>
          <w:rFonts w:hint="eastAsia" w:ascii="宋体" w:hAnsi="宋体" w:cs="Courier New"/>
          <w:color w:val="000000"/>
          <w:sz w:val="24"/>
          <w:szCs w:val="21"/>
        </w:rPr>
        <w:t>。</w:t>
      </w:r>
    </w:p>
    <w:p w14:paraId="057C4D76">
      <w:pPr>
        <w:spacing w:line="360" w:lineRule="auto"/>
        <w:ind w:firstLine="480" w:firstLineChars="200"/>
        <w:rPr>
          <w:color w:val="000000"/>
          <w:sz w:val="24"/>
        </w:rPr>
      </w:pPr>
      <w:r>
        <w:rPr>
          <w:rFonts w:hint="eastAsia" w:ascii="宋体" w:hAnsi="宋体" w:cs="Courier New"/>
          <w:color w:val="000000"/>
          <w:sz w:val="24"/>
          <w:szCs w:val="21"/>
        </w:rPr>
        <w:t>2）设计单位按照《广东省安全技术防范管理条例》、《广东省安全技术防范管理条例实施办法》、《广东省公共安全视频图像信息系统管理办法》等规定进行安防设计和设备设施选用，若需按要求另行委托对应资质的单位进行设计的，必须报承建单位同意，且费用不另行计算。</w:t>
      </w:r>
    </w:p>
    <w:p w14:paraId="0CB4550D">
      <w:pPr>
        <w:spacing w:line="360" w:lineRule="auto"/>
        <w:ind w:firstLine="480" w:firstLineChars="200"/>
        <w:rPr>
          <w:color w:val="000000"/>
          <w:sz w:val="24"/>
        </w:rPr>
      </w:pPr>
      <w:r>
        <w:rPr>
          <w:rFonts w:hint="eastAsia"/>
          <w:color w:val="000000"/>
          <w:sz w:val="24"/>
        </w:rPr>
        <w:t>3.照明灯具</w:t>
      </w:r>
    </w:p>
    <w:p w14:paraId="7D2F9B80">
      <w:pPr>
        <w:spacing w:line="360" w:lineRule="auto"/>
        <w:ind w:firstLine="480" w:firstLineChars="200"/>
        <w:rPr>
          <w:color w:val="000000"/>
          <w:sz w:val="24"/>
        </w:rPr>
      </w:pPr>
      <w:r>
        <w:rPr>
          <w:rFonts w:hint="eastAsia"/>
          <w:color w:val="000000"/>
          <w:sz w:val="24"/>
        </w:rPr>
        <w:t>室外照明宜采用太阳能LED灯，室内应采用LED等节能灯具，照明系统宜考虑分组分区、节能自熄、智能照明控制等节能措施。</w:t>
      </w:r>
    </w:p>
    <w:p w14:paraId="266D7E27">
      <w:pPr>
        <w:spacing w:line="360" w:lineRule="auto"/>
        <w:ind w:firstLine="480" w:firstLineChars="200"/>
        <w:rPr>
          <w:color w:val="000000"/>
          <w:sz w:val="24"/>
        </w:rPr>
      </w:pPr>
      <w:r>
        <w:rPr>
          <w:rFonts w:hint="eastAsia"/>
          <w:color w:val="000000"/>
          <w:sz w:val="24"/>
        </w:rPr>
        <w:t>4.道路照明</w:t>
      </w:r>
    </w:p>
    <w:p w14:paraId="518D735C">
      <w:pPr>
        <w:spacing w:line="360" w:lineRule="auto"/>
        <w:ind w:firstLine="480" w:firstLineChars="200"/>
        <w:rPr>
          <w:color w:val="000000"/>
          <w:sz w:val="24"/>
        </w:rPr>
      </w:pPr>
      <w:r>
        <w:rPr>
          <w:rFonts w:hint="eastAsia"/>
          <w:color w:val="000000"/>
          <w:sz w:val="24"/>
        </w:rPr>
        <w:t>按《广州市城市道路照明设施移交管理办法》和《广州市照明建设管理中心关于拟移交中心管养道路的照明项目有关要求的函（穗照明函[2015]44号）》的要求进行设计。</w:t>
      </w:r>
    </w:p>
    <w:p w14:paraId="3A8F7E6B">
      <w:pPr>
        <w:spacing w:line="360" w:lineRule="auto"/>
        <w:ind w:left="420"/>
        <w:rPr>
          <w:color w:val="000000"/>
          <w:sz w:val="24"/>
        </w:rPr>
      </w:pPr>
    </w:p>
    <w:p w14:paraId="2DF19B39">
      <w:pPr>
        <w:pStyle w:val="5"/>
      </w:pPr>
      <w:bookmarkStart w:id="98" w:name="_Toc452973724"/>
      <w:r>
        <w:rPr>
          <w:rFonts w:hint="eastAsia"/>
        </w:rPr>
        <w:t>3</w:t>
      </w:r>
      <w:r>
        <w:t>.3.</w:t>
      </w:r>
      <w:r>
        <w:rPr>
          <w:rFonts w:hint="eastAsia"/>
        </w:rPr>
        <w:t>7通风空调</w:t>
      </w:r>
      <w:bookmarkEnd w:id="98"/>
      <w:r>
        <w:rPr>
          <w:rFonts w:hint="eastAsia"/>
        </w:rPr>
        <w:t>设计要求</w:t>
      </w:r>
    </w:p>
    <w:p w14:paraId="28DCB712">
      <w:pPr>
        <w:spacing w:line="360" w:lineRule="auto"/>
        <w:ind w:firstLine="480" w:firstLineChars="200"/>
        <w:rPr>
          <w:strike/>
          <w:sz w:val="24"/>
        </w:rPr>
      </w:pPr>
      <w:r>
        <w:rPr>
          <w:rFonts w:hint="eastAsia" w:ascii="宋体" w:hAnsi="宋体" w:cs="Courier New"/>
          <w:sz w:val="24"/>
          <w:szCs w:val="21"/>
        </w:rPr>
        <w:t>空调系统设计时应兼顾高效节能及经济性：即采用成熟的先进技术，以节省运营费用；在确保人员舒适及新风卫生要求的同时，充分考虑过渡季节及非常时期采用全新风通风的可能性。以绿色、环保节能为目标，选用环保节能产品，满足节能和绿色建筑的要求。合理处理空调系统产生的废水、废气及噪声，配合其它专业共同营造舒适的环境。</w:t>
      </w:r>
      <w:bookmarkStart w:id="99" w:name="_Toc452973725"/>
    </w:p>
    <w:p w14:paraId="3667ED74">
      <w:pPr>
        <w:pStyle w:val="5"/>
      </w:pPr>
      <w:r>
        <w:rPr>
          <w:rFonts w:hint="eastAsia"/>
        </w:rPr>
        <w:t>3</w:t>
      </w:r>
      <w:r>
        <w:t>.3.</w:t>
      </w:r>
      <w:r>
        <w:rPr>
          <w:rFonts w:hint="eastAsia"/>
        </w:rPr>
        <w:t>8消防工程</w:t>
      </w:r>
      <w:bookmarkEnd w:id="99"/>
      <w:r>
        <w:rPr>
          <w:rFonts w:hint="eastAsia"/>
        </w:rPr>
        <w:t>设计要求</w:t>
      </w:r>
    </w:p>
    <w:p w14:paraId="4C0D52A8">
      <w:pPr>
        <w:spacing w:line="360" w:lineRule="auto"/>
        <w:ind w:firstLine="480" w:firstLineChars="200"/>
        <w:rPr>
          <w:rFonts w:ascii="宋体" w:hAnsi="宋体" w:cs="Courier New"/>
          <w:snapToGrid w:val="0"/>
          <w:color w:val="000000"/>
          <w:sz w:val="24"/>
          <w:szCs w:val="21"/>
        </w:rPr>
      </w:pPr>
      <w:r>
        <w:rPr>
          <w:rFonts w:hint="eastAsia" w:ascii="宋体" w:hAnsi="宋体" w:cs="宋体"/>
          <w:color w:val="000000"/>
          <w:sz w:val="24"/>
        </w:rPr>
        <w:t>新建室内消防水池和泵房，</w:t>
      </w:r>
      <w:r>
        <w:rPr>
          <w:rFonts w:hint="eastAsia" w:ascii="宋体" w:hAnsi="宋体" w:cs="Courier New"/>
          <w:snapToGrid w:val="0"/>
          <w:color w:val="000000"/>
          <w:sz w:val="24"/>
          <w:szCs w:val="21"/>
        </w:rPr>
        <w:t>消火栓系统、自动喷淋系统、气体灭火系统、防排烟系统、</w:t>
      </w:r>
      <w:r>
        <w:rPr>
          <w:rFonts w:hint="eastAsia" w:ascii="宋体" w:hAnsi="宋体" w:cs="Courier New"/>
          <w:color w:val="000000"/>
          <w:sz w:val="24"/>
          <w:szCs w:val="21"/>
        </w:rPr>
        <w:t>灭火器具系统等，</w:t>
      </w:r>
      <w:r>
        <w:rPr>
          <w:rFonts w:hint="eastAsia" w:ascii="宋体" w:hAnsi="宋体" w:cs="Courier New"/>
          <w:snapToGrid w:val="0"/>
          <w:color w:val="000000"/>
          <w:sz w:val="24"/>
          <w:szCs w:val="21"/>
        </w:rPr>
        <w:t>须进行比选分析。</w:t>
      </w:r>
    </w:p>
    <w:p w14:paraId="25774638">
      <w:pPr>
        <w:pStyle w:val="5"/>
      </w:pPr>
      <w:bookmarkStart w:id="100" w:name="_Toc452973727"/>
      <w:r>
        <w:rPr>
          <w:rFonts w:hint="eastAsia"/>
        </w:rPr>
        <w:t>3</w:t>
      </w:r>
      <w:r>
        <w:t>.3.9</w:t>
      </w:r>
      <w:r>
        <w:rPr>
          <w:rFonts w:hint="eastAsia"/>
        </w:rPr>
        <w:t>电梯设备</w:t>
      </w:r>
      <w:bookmarkEnd w:id="100"/>
      <w:r>
        <w:rPr>
          <w:rFonts w:hint="eastAsia"/>
        </w:rPr>
        <w:t>设计要求</w:t>
      </w:r>
    </w:p>
    <w:p w14:paraId="6BCD982D">
      <w:pPr>
        <w:spacing w:line="360" w:lineRule="auto"/>
        <w:ind w:firstLine="480" w:firstLineChars="200"/>
        <w:rPr>
          <w:rFonts w:ascii="宋体" w:hAnsi="宋体" w:cs="宋体"/>
          <w:sz w:val="24"/>
        </w:rPr>
      </w:pPr>
      <w:r>
        <w:rPr>
          <w:rFonts w:hint="eastAsia" w:ascii="宋体" w:hAnsi="宋体" w:cs="宋体"/>
          <w:sz w:val="24"/>
        </w:rPr>
        <w:t>1.本项目要根据工程方案中楼房的层高、层数和建筑面积、功能、人流状况设置电梯。</w:t>
      </w:r>
    </w:p>
    <w:p w14:paraId="4953DB47">
      <w:pPr>
        <w:spacing w:line="360" w:lineRule="auto"/>
        <w:ind w:firstLine="480" w:firstLineChars="200"/>
        <w:rPr>
          <w:rFonts w:ascii="宋体" w:hAnsi="宋体" w:cs="宋体"/>
          <w:sz w:val="24"/>
        </w:rPr>
      </w:pPr>
      <w:r>
        <w:rPr>
          <w:rFonts w:hint="eastAsia" w:ascii="宋体" w:hAnsi="宋体" w:cs="宋体"/>
          <w:sz w:val="24"/>
        </w:rPr>
        <w:t>2.电梯的型号和厢门材料、结构、上升速度、设置数量，均应配合建筑类型和装饰标准考虑。</w:t>
      </w:r>
    </w:p>
    <w:p w14:paraId="3110000C">
      <w:pPr>
        <w:spacing w:line="360" w:lineRule="auto"/>
        <w:ind w:firstLine="480" w:firstLineChars="200"/>
        <w:rPr>
          <w:rFonts w:ascii="宋体" w:hAnsi="宋体" w:cs="宋体"/>
          <w:i/>
          <w:sz w:val="24"/>
        </w:rPr>
      </w:pPr>
      <w:r>
        <w:rPr>
          <w:rFonts w:hint="eastAsia"/>
          <w:sz w:val="24"/>
        </w:rPr>
        <w:t>3.结构井道预留需满足多数品牌电梯安装要求。</w:t>
      </w:r>
    </w:p>
    <w:p w14:paraId="4DDE8A40">
      <w:pPr>
        <w:pStyle w:val="5"/>
      </w:pPr>
      <w:bookmarkStart w:id="101" w:name="_Toc452558105"/>
      <w:bookmarkStart w:id="102" w:name="_Toc452558330"/>
      <w:bookmarkStart w:id="103" w:name="_Toc452973728"/>
      <w:r>
        <w:rPr>
          <w:rFonts w:hint="eastAsia"/>
        </w:rPr>
        <w:t>3</w:t>
      </w:r>
      <w:r>
        <w:t>.3.</w:t>
      </w:r>
      <w:r>
        <w:rPr>
          <w:rFonts w:hint="eastAsia"/>
        </w:rPr>
        <w:t>11其它</w:t>
      </w:r>
      <w:bookmarkEnd w:id="101"/>
      <w:bookmarkEnd w:id="102"/>
      <w:bookmarkEnd w:id="103"/>
      <w:r>
        <w:rPr>
          <w:rFonts w:hint="eastAsia"/>
        </w:rPr>
        <w:t>设计要求</w:t>
      </w:r>
    </w:p>
    <w:p w14:paraId="6D6A946F">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1.</w:t>
      </w:r>
      <w:r>
        <w:rPr>
          <w:rFonts w:hint="eastAsia" w:ascii="宋体" w:hAnsi="宋体" w:cs="Courier New"/>
          <w:color w:val="000000"/>
          <w:sz w:val="24"/>
          <w:szCs w:val="21"/>
        </w:rPr>
        <w:t>项目前期摸查报告编制。</w:t>
      </w:r>
      <w:r>
        <w:rPr>
          <w:rFonts w:hint="eastAsia" w:ascii="宋体" w:hAnsi="宋体" w:cs="Courier New"/>
          <w:snapToGrid w:val="0"/>
          <w:color w:val="000000"/>
          <w:sz w:val="24"/>
          <w:szCs w:val="21"/>
        </w:rPr>
        <w:t>报告包含但不限于项目概况、项目现状、</w:t>
      </w:r>
      <w:r>
        <w:rPr>
          <w:rFonts w:hint="eastAsia" w:ascii="宋体" w:hAnsi="宋体" w:cs="Courier New"/>
          <w:snapToGrid w:val="0"/>
          <w:sz w:val="24"/>
          <w:szCs w:val="21"/>
        </w:rPr>
        <w:t>周边市政条件、</w:t>
      </w:r>
      <w:r>
        <w:rPr>
          <w:rFonts w:hint="eastAsia" w:ascii="宋体" w:hAnsi="宋体" w:cs="Courier New"/>
          <w:snapToGrid w:val="0"/>
          <w:color w:val="000000"/>
          <w:sz w:val="24"/>
          <w:szCs w:val="21"/>
        </w:rPr>
        <w:t>报批报建工作进展、勘察设计工作进展、建设工作界面、勘察设计工作计划、存在的问题及相关建议等内容，前期摸查报告需经甲方审核通过后视为完成。</w:t>
      </w:r>
    </w:p>
    <w:p w14:paraId="2CCD68B3">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2.前期管线迁改设计和前期工程设计：前期工程含围墙、视频监控等设计。</w:t>
      </w:r>
    </w:p>
    <w:p w14:paraId="5F3676F6">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施工围墙按《广州市建设工程绿色施工围蔽指导图集（V2）》和《</w:t>
      </w:r>
      <w:r>
        <w:fldChar w:fldCharType="begin"/>
      </w:r>
      <w:r>
        <w:instrText xml:space="preserve"> HYPERLINK "http://exoa.gcpo.com.cn/missive/loadDownFormFile.do?action=ieopen&amp;fileId=344273&amp;bOpen=true" \t "_blank" </w:instrText>
      </w:r>
      <w:r>
        <w:fldChar w:fldCharType="separate"/>
      </w:r>
      <w:r>
        <w:rPr>
          <w:rFonts w:hint="eastAsia" w:ascii="宋体" w:hAnsi="宋体" w:cs="Courier New"/>
          <w:snapToGrid w:val="0"/>
          <w:color w:val="000000"/>
          <w:sz w:val="24"/>
          <w:szCs w:val="21"/>
        </w:rPr>
        <w:t>广州市建设工程绿色施工围蔽指导图集补充——仿真绿植围蔽</w:t>
      </w:r>
      <w:r>
        <w:rPr>
          <w:rFonts w:hint="eastAsia" w:ascii="宋体" w:hAnsi="宋体" w:cs="Courier New"/>
          <w:snapToGrid w:val="0"/>
          <w:color w:val="000000"/>
          <w:sz w:val="24"/>
          <w:szCs w:val="21"/>
        </w:rPr>
        <w:fldChar w:fldCharType="end"/>
      </w:r>
      <w:r>
        <w:rPr>
          <w:rFonts w:hint="eastAsia" w:ascii="宋体" w:hAnsi="宋体" w:cs="Courier New"/>
          <w:snapToGrid w:val="0"/>
          <w:color w:val="000000"/>
          <w:sz w:val="24"/>
          <w:szCs w:val="21"/>
        </w:rPr>
        <w:t>》（详见附件）设计，并根据行政主管部门的规定及时更设。</w:t>
      </w:r>
    </w:p>
    <w:p w14:paraId="477EB6B3">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工地有关视频监控的设计按《关于广州市建筑工地安装视频监控装置的通知》（穗建筑[2006]551号）执行。</w:t>
      </w:r>
    </w:p>
    <w:p w14:paraId="6333CA1E">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3.幕墙设计：根据项目需要，进行技术方案比选分析。</w:t>
      </w:r>
    </w:p>
    <w:p w14:paraId="54DDB99D">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4.</w:t>
      </w:r>
      <w:r>
        <w:rPr>
          <w:rFonts w:hint="eastAsia" w:ascii="宋体" w:hAnsi="宋体" w:cs="Courier New"/>
          <w:color w:val="000000"/>
          <w:sz w:val="24"/>
          <w:szCs w:val="21"/>
        </w:rPr>
        <w:t>防雷设计：</w:t>
      </w:r>
      <w:r>
        <w:rPr>
          <w:rFonts w:hint="eastAsia" w:ascii="宋体" w:hAnsi="宋体" w:cs="Courier New"/>
          <w:snapToGrid w:val="0"/>
          <w:color w:val="000000"/>
          <w:sz w:val="24"/>
          <w:szCs w:val="21"/>
        </w:rPr>
        <w:t>根据项目需要，</w:t>
      </w:r>
      <w:r>
        <w:rPr>
          <w:rFonts w:hint="eastAsia" w:ascii="宋体" w:hAnsi="宋体" w:cs="Courier New"/>
          <w:color w:val="000000"/>
          <w:sz w:val="24"/>
          <w:szCs w:val="21"/>
        </w:rPr>
        <w:t>进行技术方案比选分析。</w:t>
      </w:r>
    </w:p>
    <w:p w14:paraId="59269845">
      <w:pPr>
        <w:spacing w:line="360" w:lineRule="auto"/>
        <w:ind w:firstLine="480" w:firstLineChars="200"/>
        <w:rPr>
          <w:rFonts w:ascii="宋体" w:hAnsi="宋体" w:cs="Courier New"/>
          <w:snapToGrid w:val="0"/>
          <w:color w:val="000000"/>
          <w:sz w:val="24"/>
          <w:szCs w:val="21"/>
        </w:rPr>
      </w:pPr>
      <w:r>
        <w:rPr>
          <w:rFonts w:hint="eastAsia" w:ascii="宋体" w:hAnsi="宋体" w:cs="Courier New"/>
          <w:color w:val="000000"/>
          <w:sz w:val="24"/>
          <w:szCs w:val="21"/>
        </w:rPr>
        <w:t>5.</w:t>
      </w:r>
      <w:r>
        <w:rPr>
          <w:rFonts w:hint="eastAsia" w:ascii="宋体" w:hAnsi="宋体" w:cs="Courier New"/>
          <w:snapToGrid w:val="0"/>
          <w:color w:val="000000"/>
          <w:sz w:val="24"/>
          <w:szCs w:val="21"/>
        </w:rPr>
        <w:t>建筑节能新技术的应用及设计：根据项目需要，进行技术方案比选分析。</w:t>
      </w:r>
    </w:p>
    <w:p w14:paraId="38AC7FE9">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6.标识导引系统设计（按照任务书或项目承建单位制定的范围进行设计）：设计单位在方案、初步设计中以单独篇章提交标志标识系统设计成果。广州市重点区域道路交通标识系统按《广州市重点区域道路交通标识系统设计指引》进行设计。</w:t>
      </w:r>
    </w:p>
    <w:p w14:paraId="4CB3D640">
      <w:pPr>
        <w:spacing w:line="360" w:lineRule="auto"/>
        <w:ind w:firstLine="480" w:firstLineChars="200"/>
        <w:rPr>
          <w:rFonts w:ascii="宋体" w:hAnsi="宋体" w:cs="Courier New"/>
          <w:snapToGrid w:val="0"/>
          <w:color w:val="000000"/>
          <w:sz w:val="24"/>
          <w:szCs w:val="21"/>
        </w:rPr>
      </w:pPr>
      <w:r>
        <w:rPr>
          <w:rFonts w:hint="eastAsia" w:ascii="宋体" w:hAnsi="宋体" w:cs="Courier New"/>
          <w:color w:val="000000"/>
          <w:sz w:val="24"/>
          <w:szCs w:val="21"/>
        </w:rPr>
        <w:t>7.管线综合平衡设计：各种专业设备、系统的管线在建筑物内、外的路由平衡设计</w:t>
      </w:r>
      <w:r>
        <w:rPr>
          <w:rFonts w:hint="eastAsia" w:ascii="宋体" w:hAnsi="宋体" w:cs="Courier New"/>
          <w:snapToGrid w:val="0"/>
          <w:color w:val="000000"/>
          <w:sz w:val="24"/>
          <w:szCs w:val="21"/>
        </w:rPr>
        <w:t>(要求小管线、线槽做穿梁设计)，进行技术方案比选分析，所有管线不同平面、剖面画出具体定位，画至末端出具典型剖面图。</w:t>
      </w:r>
    </w:p>
    <w:p w14:paraId="2A2F2F77">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8.大厅、会议室等对控声有要求的区域需进行建筑声学设计和电扩声专项设计。</w:t>
      </w:r>
    </w:p>
    <w:p w14:paraId="6F3CB661">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9.</w:t>
      </w:r>
      <w:r>
        <w:rPr>
          <w:rFonts w:hint="eastAsia" w:ascii="宋体" w:hAnsi="宋体" w:cs="Courier New"/>
          <w:snapToGrid w:val="0"/>
          <w:color w:val="000000"/>
          <w:sz w:val="24"/>
          <w:szCs w:val="21"/>
        </w:rPr>
        <w:t>若采用自主创新、自主知识产权的新型产品，应在项目可行性研究报告报送前，提交专题方案比较论证报告报招标人确认，可行性研究报告中应有明确采购自主创新产品的具体要求。</w:t>
      </w:r>
    </w:p>
    <w:p w14:paraId="072D9264">
      <w:pPr>
        <w:pStyle w:val="5"/>
      </w:pPr>
      <w:bookmarkStart w:id="104" w:name="_Toc452558332"/>
      <w:bookmarkStart w:id="105" w:name="_Toc447612406"/>
      <w:bookmarkStart w:id="106" w:name="_Toc447612885"/>
      <w:bookmarkStart w:id="107" w:name="_Toc452973737"/>
      <w:bookmarkStart w:id="108" w:name="_Toc25996"/>
      <w:r>
        <w:rPr>
          <w:rFonts w:hint="eastAsia"/>
        </w:rPr>
        <w:t>3.4造价</w:t>
      </w:r>
      <w:bookmarkEnd w:id="104"/>
      <w:bookmarkEnd w:id="105"/>
      <w:bookmarkEnd w:id="106"/>
      <w:bookmarkEnd w:id="107"/>
      <w:bookmarkEnd w:id="108"/>
      <w:r>
        <w:rPr>
          <w:rFonts w:hint="eastAsia"/>
        </w:rPr>
        <w:t>工作要求</w:t>
      </w:r>
    </w:p>
    <w:p w14:paraId="7A55B036">
      <w:pPr>
        <w:pStyle w:val="6"/>
        <w:rPr>
          <w:snapToGrid w:val="0"/>
          <w:color w:val="000000"/>
        </w:rPr>
      </w:pPr>
      <w:bookmarkStart w:id="109" w:name="_Toc452973738"/>
      <w:r>
        <w:rPr>
          <w:rFonts w:hint="eastAsia"/>
          <w:snapToGrid w:val="0"/>
          <w:color w:val="000000"/>
        </w:rPr>
        <w:t>3.4.1 造价文件编制及报审工作</w:t>
      </w:r>
      <w:bookmarkEnd w:id="109"/>
    </w:p>
    <w:p w14:paraId="4455F610">
      <w:pPr>
        <w:spacing w:line="360" w:lineRule="auto"/>
        <w:ind w:firstLine="360" w:firstLineChars="150"/>
        <w:rPr>
          <w:rFonts w:ascii="宋体" w:hAnsi="宋体" w:cs="Courier New"/>
          <w:snapToGrid w:val="0"/>
          <w:color w:val="000000"/>
          <w:sz w:val="24"/>
          <w:szCs w:val="21"/>
        </w:rPr>
      </w:pPr>
      <w:r>
        <w:rPr>
          <w:rFonts w:hint="eastAsia" w:ascii="宋体" w:hAnsi="宋体" w:cs="Courier New"/>
          <w:snapToGrid w:val="0"/>
          <w:color w:val="000000"/>
          <w:sz w:val="24"/>
          <w:szCs w:val="21"/>
        </w:rPr>
        <w:t>1.编制合同设计范围内方案估算（按分布分项进行限额控制）、初步设计概算、施工图设计预算；</w:t>
      </w:r>
    </w:p>
    <w:p w14:paraId="30CD93C3">
      <w:pPr>
        <w:spacing w:line="360" w:lineRule="auto"/>
        <w:ind w:firstLine="360" w:firstLineChars="150"/>
        <w:rPr>
          <w:rFonts w:ascii="宋体" w:hAnsi="宋体" w:cs="Courier New"/>
          <w:snapToGrid w:val="0"/>
          <w:color w:val="000000"/>
          <w:sz w:val="24"/>
          <w:szCs w:val="21"/>
        </w:rPr>
      </w:pPr>
      <w:r>
        <w:rPr>
          <w:rFonts w:hint="eastAsia" w:ascii="宋体" w:hAnsi="宋体" w:cs="Courier New"/>
          <w:snapToGrid w:val="0"/>
          <w:color w:val="000000"/>
          <w:sz w:val="24"/>
          <w:szCs w:val="21"/>
        </w:rPr>
        <w:t>2.负责配合初步设计概算、施工图设计预算送报审工作；</w:t>
      </w:r>
    </w:p>
    <w:p w14:paraId="59AA7269">
      <w:pPr>
        <w:spacing w:line="360" w:lineRule="auto"/>
        <w:ind w:firstLine="360" w:firstLineChars="150"/>
        <w:rPr>
          <w:rFonts w:ascii="宋体" w:hAnsi="宋体" w:cs="Courier New"/>
          <w:snapToGrid w:val="0"/>
          <w:color w:val="000000"/>
          <w:sz w:val="24"/>
          <w:szCs w:val="21"/>
        </w:rPr>
      </w:pPr>
      <w:r>
        <w:rPr>
          <w:rFonts w:hint="eastAsia" w:ascii="宋体" w:hAnsi="宋体" w:cs="Courier New"/>
          <w:snapToGrid w:val="0"/>
          <w:color w:val="000000"/>
          <w:sz w:val="24"/>
          <w:szCs w:val="21"/>
        </w:rPr>
        <w:t>3.各设计阶段进行各类方案比选时编制造价分析材料，给出造价分析结论；施工阶段，编制设计变更预算及相应造价增减说明。</w:t>
      </w:r>
    </w:p>
    <w:p w14:paraId="7AF4066D">
      <w:pPr>
        <w:pStyle w:val="6"/>
        <w:rPr>
          <w:snapToGrid w:val="0"/>
          <w:color w:val="000000"/>
        </w:rPr>
      </w:pPr>
      <w:bookmarkStart w:id="110" w:name="_Toc452973739"/>
      <w:r>
        <w:rPr>
          <w:rFonts w:hint="eastAsia"/>
          <w:snapToGrid w:val="0"/>
          <w:color w:val="000000"/>
        </w:rPr>
        <w:t>3.4.2 造价控制要求及工作要求</w:t>
      </w:r>
      <w:bookmarkEnd w:id="110"/>
    </w:p>
    <w:p w14:paraId="7EA76D18">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乙方除按合同要求做好工程投资控制外，还要做到以下要求：</w:t>
      </w:r>
    </w:p>
    <w:p w14:paraId="78112854">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1．各阶段的造价文件编制需满足对应阶段造价文件深度要求。编制投资估算、概算、预算或者最高投标限价、工程结算等建设工程造价文件的质量偏差率，分别不得超过规定的20%、10%、5%、5%。</w:t>
      </w:r>
    </w:p>
    <w:p w14:paraId="45450D09">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2.乙方须根据甲方的相关规定和要求进行工程设计概算的编制，概算文件中的开项必须齐全完整，造价指标必须准确，须满足工程投资控制的要求。乙方编制的工程概算须同时满足甲方信息化管理的相关要求。</w:t>
      </w:r>
    </w:p>
    <w:p w14:paraId="0511E91E">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3</w:t>
      </w:r>
      <w:r>
        <w:rPr>
          <w:rFonts w:ascii="宋体" w:hAnsi="宋体" w:cs="Courier New"/>
          <w:snapToGrid w:val="0"/>
          <w:color w:val="000000"/>
          <w:sz w:val="24"/>
          <w:szCs w:val="21"/>
        </w:rPr>
        <w:t>.</w:t>
      </w:r>
      <w:r>
        <w:rPr>
          <w:rFonts w:hint="eastAsia" w:ascii="宋体" w:hAnsi="宋体" w:cs="Courier New"/>
          <w:snapToGrid w:val="0"/>
          <w:color w:val="000000"/>
          <w:sz w:val="24"/>
          <w:szCs w:val="21"/>
        </w:rPr>
        <w:t>承包方须保证施工图预算与招标人、施工图审查单位或招标人委托的第三方的审核结果的误差不超过±</w:t>
      </w:r>
      <w:r>
        <w:rPr>
          <w:rFonts w:ascii="宋体" w:hAnsi="宋体" w:cs="Courier New"/>
          <w:snapToGrid w:val="0"/>
          <w:color w:val="000000"/>
          <w:sz w:val="24"/>
          <w:szCs w:val="21"/>
        </w:rPr>
        <w:t>5</w:t>
      </w:r>
      <w:r>
        <w:rPr>
          <w:rFonts w:hint="eastAsia" w:ascii="宋体" w:hAnsi="宋体" w:cs="Courier New"/>
          <w:snapToGrid w:val="0"/>
          <w:color w:val="000000"/>
          <w:sz w:val="24"/>
          <w:szCs w:val="21"/>
        </w:rPr>
        <w:t>%，且不超过有权审核部门审定的工程设计概算中建安工程费总额，确保满足招标人对工程投资控制的要求。</w:t>
      </w:r>
    </w:p>
    <w:p w14:paraId="1B28C505">
      <w:pPr>
        <w:spacing w:line="360" w:lineRule="auto"/>
        <w:ind w:firstLine="480" w:firstLineChars="200"/>
        <w:rPr>
          <w:rFonts w:ascii="宋体" w:hAnsi="宋体"/>
          <w:sz w:val="24"/>
        </w:rPr>
      </w:pPr>
      <w:r>
        <w:rPr>
          <w:rFonts w:hint="eastAsia" w:ascii="宋体" w:hAnsi="宋体"/>
          <w:sz w:val="24"/>
        </w:rPr>
        <w:t>如果施工图预算超出经核准的工程设计概算中建安工程费总额的</w:t>
      </w:r>
      <w:r>
        <w:rPr>
          <w:rFonts w:ascii="宋体" w:hAnsi="宋体"/>
          <w:sz w:val="24"/>
        </w:rPr>
        <w:t>5</w:t>
      </w:r>
      <w:r>
        <w:rPr>
          <w:rFonts w:hint="eastAsia" w:ascii="宋体" w:hAnsi="宋体"/>
          <w:sz w:val="24"/>
        </w:rPr>
        <w:t>%，承包方必须在初步设计的基础上对施工图进行修改，并保证设计质量标准和施工进度。</w:t>
      </w:r>
    </w:p>
    <w:p w14:paraId="061B0F3C">
      <w:pPr>
        <w:spacing w:line="360" w:lineRule="auto"/>
        <w:ind w:firstLine="480" w:firstLineChars="200"/>
        <w:rPr>
          <w:rFonts w:ascii="宋体" w:hAnsi="宋体" w:cs="Courier New"/>
          <w:snapToGrid w:val="0"/>
          <w:color w:val="000000"/>
          <w:sz w:val="24"/>
          <w:szCs w:val="21"/>
        </w:rPr>
      </w:pPr>
      <w:r>
        <w:rPr>
          <w:rFonts w:hint="eastAsia" w:ascii="宋体" w:hAnsi="宋体"/>
          <w:sz w:val="24"/>
        </w:rPr>
        <w:t>4.如果乙方的概算、预算编制质量和</w:t>
      </w:r>
      <w:r>
        <w:rPr>
          <w:rFonts w:hint="eastAsia" w:ascii="宋体" w:hAnsi="宋体" w:cs="Courier New"/>
          <w:snapToGrid w:val="0"/>
          <w:color w:val="000000"/>
          <w:sz w:val="24"/>
          <w:szCs w:val="21"/>
        </w:rPr>
        <w:t>进度不能满足本合同约定或甲方要求，则甲方可从甲方公开征集的造价咨询单位库中另行委托专业造价咨询单位实施设计概算、预算编制工作，所发生的费用根据《关于调整我省建设工程造价咨询服务收费的复函》（粤价函[2011]742号）规定并结合专业造价咨询单位实际工作比例计取，由乙方负责支付。</w:t>
      </w:r>
    </w:p>
    <w:p w14:paraId="57243009">
      <w:pPr>
        <w:pStyle w:val="2"/>
        <w:rPr>
          <w:color w:val="FF0000"/>
          <w:sz w:val="24"/>
          <w:szCs w:val="24"/>
        </w:rPr>
      </w:pPr>
      <w:r>
        <w:br w:type="page"/>
      </w:r>
      <w:bookmarkStart w:id="111" w:name="_Toc168047425"/>
      <w:r>
        <w:rPr>
          <w:rFonts w:hint="eastAsia"/>
        </w:rPr>
        <w:t>第四章勘察</w:t>
      </w:r>
      <w:r>
        <w:rPr>
          <w:rFonts w:hint="eastAsia"/>
          <w:color w:val="000000"/>
        </w:rPr>
        <w:t>设计人员组织管理要求</w:t>
      </w:r>
      <w:bookmarkEnd w:id="111"/>
    </w:p>
    <w:p w14:paraId="2253AECD">
      <w:pPr>
        <w:pStyle w:val="5"/>
      </w:pPr>
      <w:bookmarkStart w:id="112" w:name="_Toc452973741"/>
      <w:r>
        <w:rPr>
          <w:rFonts w:hint="eastAsia"/>
        </w:rPr>
        <w:t>4.1设计人员组织管理</w:t>
      </w:r>
      <w:bookmarkEnd w:id="112"/>
    </w:p>
    <w:p w14:paraId="7F65A6AA">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1、为便于甲方与乙方及时沟通及协调，以保证乙方的设计成果文件能更好地体现甲方的建设意图，乙方应根据甲方的要求，分阶段在指定的地点投入本合同约定的专业人员、设备及设施，实施本合同工程的设计工作。</w:t>
      </w:r>
    </w:p>
    <w:p w14:paraId="79B7D0CC">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乙方应根据项目设计任务及工期要求建立项目组。有关设计人员要求详见表4-1。</w:t>
      </w:r>
    </w:p>
    <w:p w14:paraId="1BD22ADB">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表4-1  主要人员投入要求（共</w:t>
      </w:r>
      <w:r>
        <w:rPr>
          <w:rFonts w:hint="eastAsia" w:ascii="宋体" w:hAnsi="宋体" w:cs="Courier New"/>
          <w:snapToGrid w:val="0"/>
          <w:color w:val="000000"/>
          <w:sz w:val="24"/>
          <w:szCs w:val="21"/>
          <w:u w:val="single"/>
        </w:rPr>
        <w:t>12</w:t>
      </w:r>
      <w:r>
        <w:rPr>
          <w:rFonts w:hint="eastAsia" w:ascii="宋体" w:hAnsi="宋体" w:cs="Courier New"/>
          <w:snapToGrid w:val="0"/>
          <w:color w:val="000000"/>
          <w:sz w:val="24"/>
          <w:szCs w:val="21"/>
        </w:rPr>
        <w:t>人）</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5298"/>
        <w:gridCol w:w="1182"/>
      </w:tblGrid>
      <w:tr w14:paraId="56A3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vAlign w:val="center"/>
          </w:tcPr>
          <w:p w14:paraId="68C2DA10">
            <w:pPr>
              <w:spacing w:line="360" w:lineRule="auto"/>
              <w:jc w:val="center"/>
              <w:rPr>
                <w:rFonts w:ascii="宋体" w:hAnsi="宋体" w:cs="Courier New"/>
                <w:color w:val="000000"/>
                <w:sz w:val="24"/>
                <w:szCs w:val="21"/>
              </w:rPr>
            </w:pPr>
            <w:r>
              <w:rPr>
                <w:rFonts w:hint="eastAsia" w:ascii="宋体" w:hAnsi="宋体" w:cs="Courier New"/>
                <w:color w:val="000000"/>
                <w:sz w:val="24"/>
                <w:szCs w:val="21"/>
              </w:rPr>
              <w:t>专业分工</w:t>
            </w:r>
          </w:p>
        </w:tc>
        <w:tc>
          <w:tcPr>
            <w:tcW w:w="5298" w:type="dxa"/>
            <w:tcBorders>
              <w:top w:val="single" w:color="auto" w:sz="4" w:space="0"/>
              <w:left w:val="single" w:color="auto" w:sz="4" w:space="0"/>
              <w:bottom w:val="single" w:color="auto" w:sz="4" w:space="0"/>
              <w:right w:val="single" w:color="auto" w:sz="4" w:space="0"/>
            </w:tcBorders>
            <w:vAlign w:val="center"/>
          </w:tcPr>
          <w:p w14:paraId="16349518">
            <w:pPr>
              <w:spacing w:line="360" w:lineRule="auto"/>
              <w:jc w:val="center"/>
              <w:rPr>
                <w:rFonts w:ascii="宋体" w:hAnsi="宋体" w:cs="Courier New"/>
                <w:color w:val="000000"/>
                <w:sz w:val="24"/>
                <w:szCs w:val="21"/>
              </w:rPr>
            </w:pPr>
            <w:r>
              <w:rPr>
                <w:rFonts w:hint="eastAsia" w:ascii="宋体" w:hAnsi="宋体" w:cs="Courier New"/>
                <w:color w:val="000000"/>
                <w:sz w:val="24"/>
                <w:szCs w:val="21"/>
              </w:rPr>
              <w:t>专业职称</w:t>
            </w:r>
          </w:p>
        </w:tc>
        <w:tc>
          <w:tcPr>
            <w:tcW w:w="1182" w:type="dxa"/>
            <w:tcBorders>
              <w:top w:val="single" w:color="auto" w:sz="4" w:space="0"/>
              <w:left w:val="single" w:color="auto" w:sz="4" w:space="0"/>
              <w:bottom w:val="single" w:color="auto" w:sz="4" w:space="0"/>
              <w:right w:val="single" w:color="auto" w:sz="4" w:space="0"/>
            </w:tcBorders>
            <w:vAlign w:val="center"/>
          </w:tcPr>
          <w:p w14:paraId="7A48882A">
            <w:pPr>
              <w:spacing w:line="360" w:lineRule="auto"/>
              <w:jc w:val="center"/>
              <w:rPr>
                <w:rFonts w:ascii="宋体" w:hAnsi="宋体" w:cs="Courier New"/>
                <w:color w:val="000000"/>
                <w:sz w:val="24"/>
                <w:szCs w:val="21"/>
              </w:rPr>
            </w:pPr>
            <w:r>
              <w:rPr>
                <w:rFonts w:hint="eastAsia" w:ascii="宋体" w:hAnsi="宋体" w:cs="Courier New"/>
                <w:color w:val="000000"/>
                <w:sz w:val="24"/>
                <w:szCs w:val="21"/>
              </w:rPr>
              <w:t>最低投入</w:t>
            </w:r>
          </w:p>
          <w:p w14:paraId="4B9CBA47">
            <w:pPr>
              <w:spacing w:line="360" w:lineRule="auto"/>
              <w:jc w:val="center"/>
              <w:rPr>
                <w:rFonts w:ascii="宋体" w:hAnsi="宋体" w:cs="Courier New"/>
                <w:color w:val="000000"/>
                <w:sz w:val="24"/>
                <w:szCs w:val="21"/>
              </w:rPr>
            </w:pPr>
            <w:r>
              <w:rPr>
                <w:rFonts w:hint="eastAsia" w:ascii="宋体" w:hAnsi="宋体" w:cs="Courier New"/>
                <w:color w:val="000000"/>
                <w:sz w:val="24"/>
                <w:szCs w:val="21"/>
              </w:rPr>
              <w:t>人数要求</w:t>
            </w:r>
          </w:p>
        </w:tc>
      </w:tr>
      <w:tr w14:paraId="2B08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vAlign w:val="center"/>
          </w:tcPr>
          <w:p w14:paraId="4A72F650">
            <w:pPr>
              <w:spacing w:line="360" w:lineRule="auto"/>
              <w:jc w:val="center"/>
              <w:rPr>
                <w:rFonts w:ascii="宋体" w:hAnsi="宋体" w:cs="Courier New"/>
                <w:color w:val="000000"/>
                <w:sz w:val="24"/>
                <w:szCs w:val="21"/>
              </w:rPr>
            </w:pPr>
            <w:r>
              <w:rPr>
                <w:rFonts w:hint="eastAsia" w:ascii="宋体" w:hAnsi="宋体" w:cs="Courier New"/>
                <w:color w:val="000000"/>
                <w:sz w:val="24"/>
                <w:szCs w:val="21"/>
              </w:rPr>
              <w:t>总负责人</w:t>
            </w:r>
          </w:p>
        </w:tc>
        <w:tc>
          <w:tcPr>
            <w:tcW w:w="5298" w:type="dxa"/>
            <w:tcBorders>
              <w:top w:val="single" w:color="auto" w:sz="4" w:space="0"/>
              <w:left w:val="single" w:color="auto" w:sz="4" w:space="0"/>
              <w:bottom w:val="single" w:color="auto" w:sz="4" w:space="0"/>
              <w:right w:val="single" w:color="auto" w:sz="4" w:space="0"/>
            </w:tcBorders>
            <w:vAlign w:val="center"/>
          </w:tcPr>
          <w:p w14:paraId="37604324">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设计单位副职领导及以上职务</w:t>
            </w:r>
          </w:p>
        </w:tc>
        <w:tc>
          <w:tcPr>
            <w:tcW w:w="1182" w:type="dxa"/>
            <w:tcBorders>
              <w:top w:val="single" w:color="auto" w:sz="4" w:space="0"/>
              <w:left w:val="single" w:color="auto" w:sz="4" w:space="0"/>
              <w:bottom w:val="single" w:color="auto" w:sz="4" w:space="0"/>
              <w:right w:val="single" w:color="auto" w:sz="4" w:space="0"/>
            </w:tcBorders>
          </w:tcPr>
          <w:p w14:paraId="02FC7B06">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1</w:t>
            </w:r>
          </w:p>
        </w:tc>
      </w:tr>
      <w:tr w14:paraId="670E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748" w:type="dxa"/>
            <w:tcBorders>
              <w:top w:val="single" w:color="auto" w:sz="4" w:space="0"/>
              <w:left w:val="single" w:color="auto" w:sz="4" w:space="0"/>
              <w:bottom w:val="single" w:color="auto" w:sz="4" w:space="0"/>
              <w:right w:val="single" w:color="auto" w:sz="4" w:space="0"/>
            </w:tcBorders>
            <w:vAlign w:val="center"/>
          </w:tcPr>
          <w:p w14:paraId="756B42A3">
            <w:pPr>
              <w:spacing w:line="360" w:lineRule="auto"/>
              <w:jc w:val="center"/>
              <w:rPr>
                <w:rFonts w:ascii="宋体" w:hAnsi="宋体" w:cs="Courier New"/>
                <w:color w:val="000000"/>
                <w:sz w:val="24"/>
                <w:szCs w:val="21"/>
              </w:rPr>
            </w:pPr>
            <w:r>
              <w:rPr>
                <w:rFonts w:hint="eastAsia" w:ascii="宋体" w:hAnsi="宋体" w:cs="Courier New"/>
                <w:color w:val="000000"/>
                <w:sz w:val="24"/>
                <w:szCs w:val="21"/>
              </w:rPr>
              <w:t>项目负责人</w:t>
            </w:r>
          </w:p>
        </w:tc>
        <w:tc>
          <w:tcPr>
            <w:tcW w:w="5298" w:type="dxa"/>
            <w:tcBorders>
              <w:top w:val="single" w:color="auto" w:sz="4" w:space="0"/>
              <w:left w:val="single" w:color="auto" w:sz="4" w:space="0"/>
              <w:bottom w:val="single" w:color="auto" w:sz="4" w:space="0"/>
              <w:right w:val="single" w:color="auto" w:sz="4" w:space="0"/>
            </w:tcBorders>
            <w:vAlign w:val="center"/>
          </w:tcPr>
          <w:p w14:paraId="2EE85F67">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一级注册建筑师，建筑专业高级技术职称</w:t>
            </w:r>
          </w:p>
        </w:tc>
        <w:tc>
          <w:tcPr>
            <w:tcW w:w="1182" w:type="dxa"/>
            <w:tcBorders>
              <w:top w:val="single" w:color="auto" w:sz="4" w:space="0"/>
              <w:left w:val="single" w:color="auto" w:sz="4" w:space="0"/>
              <w:bottom w:val="single" w:color="auto" w:sz="4" w:space="0"/>
              <w:right w:val="single" w:color="auto" w:sz="4" w:space="0"/>
            </w:tcBorders>
          </w:tcPr>
          <w:p w14:paraId="23A0B362">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1</w:t>
            </w:r>
          </w:p>
        </w:tc>
      </w:tr>
      <w:tr w14:paraId="2176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vAlign w:val="center"/>
          </w:tcPr>
          <w:p w14:paraId="31CE52FF">
            <w:pPr>
              <w:spacing w:line="360" w:lineRule="auto"/>
              <w:jc w:val="center"/>
              <w:rPr>
                <w:rFonts w:ascii="宋体" w:hAnsi="宋体" w:cs="Courier New"/>
                <w:color w:val="000000"/>
                <w:sz w:val="24"/>
                <w:szCs w:val="21"/>
              </w:rPr>
            </w:pPr>
            <w:r>
              <w:rPr>
                <w:rFonts w:hint="eastAsia" w:ascii="宋体" w:hAnsi="宋体" w:cs="Courier New"/>
                <w:color w:val="000000"/>
                <w:sz w:val="24"/>
                <w:szCs w:val="21"/>
              </w:rPr>
              <w:t>结构专业负责人</w:t>
            </w:r>
          </w:p>
        </w:tc>
        <w:tc>
          <w:tcPr>
            <w:tcW w:w="5298" w:type="dxa"/>
            <w:tcBorders>
              <w:top w:val="single" w:color="auto" w:sz="4" w:space="0"/>
              <w:left w:val="single" w:color="auto" w:sz="4" w:space="0"/>
              <w:bottom w:val="single" w:color="auto" w:sz="4" w:space="0"/>
              <w:right w:val="single" w:color="auto" w:sz="4" w:space="0"/>
            </w:tcBorders>
            <w:vAlign w:val="center"/>
          </w:tcPr>
          <w:p w14:paraId="5352C592">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一级注册结构工程师，本专业高级技术职称或者从事本专业工作10年以上的中级技术职称</w:t>
            </w:r>
          </w:p>
        </w:tc>
        <w:tc>
          <w:tcPr>
            <w:tcW w:w="1182" w:type="dxa"/>
            <w:tcBorders>
              <w:top w:val="single" w:color="auto" w:sz="4" w:space="0"/>
              <w:left w:val="single" w:color="auto" w:sz="4" w:space="0"/>
              <w:bottom w:val="single" w:color="auto" w:sz="4" w:space="0"/>
              <w:right w:val="single" w:color="auto" w:sz="4" w:space="0"/>
            </w:tcBorders>
          </w:tcPr>
          <w:p w14:paraId="29725013">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1</w:t>
            </w:r>
          </w:p>
        </w:tc>
      </w:tr>
      <w:tr w14:paraId="3632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vAlign w:val="center"/>
          </w:tcPr>
          <w:p w14:paraId="63DD6769">
            <w:pPr>
              <w:spacing w:line="360" w:lineRule="auto"/>
              <w:jc w:val="center"/>
              <w:rPr>
                <w:rFonts w:ascii="宋体" w:hAnsi="宋体" w:cs="Courier New"/>
                <w:color w:val="000000"/>
                <w:sz w:val="24"/>
                <w:szCs w:val="21"/>
              </w:rPr>
            </w:pPr>
            <w:r>
              <w:rPr>
                <w:rFonts w:hint="eastAsia" w:ascii="宋体" w:hAnsi="宋体" w:cs="Courier New"/>
                <w:color w:val="000000"/>
                <w:sz w:val="24"/>
                <w:szCs w:val="21"/>
              </w:rPr>
              <w:t>建筑专业负责人</w:t>
            </w:r>
          </w:p>
        </w:tc>
        <w:tc>
          <w:tcPr>
            <w:tcW w:w="5298" w:type="dxa"/>
            <w:tcBorders>
              <w:top w:val="single" w:color="auto" w:sz="4" w:space="0"/>
              <w:left w:val="single" w:color="auto" w:sz="4" w:space="0"/>
              <w:bottom w:val="single" w:color="auto" w:sz="4" w:space="0"/>
              <w:right w:val="single" w:color="auto" w:sz="4" w:space="0"/>
            </w:tcBorders>
            <w:vAlign w:val="center"/>
          </w:tcPr>
          <w:p w14:paraId="3FD50A5A">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一级注册建筑师，本专业高级技术职称或者从事本专业工作10年以上的中级技术职称</w:t>
            </w:r>
          </w:p>
        </w:tc>
        <w:tc>
          <w:tcPr>
            <w:tcW w:w="1182" w:type="dxa"/>
            <w:tcBorders>
              <w:top w:val="single" w:color="auto" w:sz="4" w:space="0"/>
              <w:left w:val="single" w:color="auto" w:sz="4" w:space="0"/>
              <w:bottom w:val="single" w:color="auto" w:sz="4" w:space="0"/>
              <w:right w:val="single" w:color="auto" w:sz="4" w:space="0"/>
            </w:tcBorders>
          </w:tcPr>
          <w:p w14:paraId="6AFAE50D">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1</w:t>
            </w:r>
          </w:p>
        </w:tc>
      </w:tr>
      <w:tr w14:paraId="6B13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vAlign w:val="center"/>
          </w:tcPr>
          <w:p w14:paraId="3A124A05">
            <w:pPr>
              <w:spacing w:line="360" w:lineRule="auto"/>
              <w:jc w:val="center"/>
              <w:rPr>
                <w:rFonts w:ascii="宋体" w:hAnsi="宋体" w:cs="Courier New"/>
                <w:color w:val="000000"/>
                <w:sz w:val="24"/>
                <w:szCs w:val="21"/>
              </w:rPr>
            </w:pPr>
            <w:r>
              <w:rPr>
                <w:rFonts w:hint="eastAsia" w:ascii="宋体" w:hAnsi="宋体" w:cs="Courier New"/>
                <w:color w:val="000000"/>
                <w:sz w:val="24"/>
                <w:szCs w:val="21"/>
              </w:rPr>
              <w:t>暖通专业负责人</w:t>
            </w:r>
          </w:p>
        </w:tc>
        <w:tc>
          <w:tcPr>
            <w:tcW w:w="5298" w:type="dxa"/>
            <w:tcBorders>
              <w:top w:val="single" w:color="auto" w:sz="4" w:space="0"/>
              <w:left w:val="single" w:color="auto" w:sz="4" w:space="0"/>
              <w:bottom w:val="single" w:color="auto" w:sz="4" w:space="0"/>
              <w:right w:val="single" w:color="auto" w:sz="4" w:space="0"/>
            </w:tcBorders>
            <w:vAlign w:val="center"/>
          </w:tcPr>
          <w:p w14:paraId="6AAE694C">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注册设备工程师（暖通），本专业高级技术职称或者从事本专业工作8年以上的中级技术职称</w:t>
            </w:r>
          </w:p>
        </w:tc>
        <w:tc>
          <w:tcPr>
            <w:tcW w:w="1182" w:type="dxa"/>
            <w:tcBorders>
              <w:top w:val="single" w:color="auto" w:sz="4" w:space="0"/>
              <w:left w:val="single" w:color="auto" w:sz="4" w:space="0"/>
              <w:bottom w:val="single" w:color="auto" w:sz="4" w:space="0"/>
              <w:right w:val="single" w:color="auto" w:sz="4" w:space="0"/>
            </w:tcBorders>
          </w:tcPr>
          <w:p w14:paraId="400A6D63">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1</w:t>
            </w:r>
          </w:p>
        </w:tc>
      </w:tr>
      <w:tr w14:paraId="1D08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vAlign w:val="center"/>
          </w:tcPr>
          <w:p w14:paraId="5FA02434">
            <w:pPr>
              <w:spacing w:line="360" w:lineRule="auto"/>
              <w:jc w:val="center"/>
              <w:rPr>
                <w:rFonts w:ascii="宋体" w:hAnsi="宋体" w:cs="Courier New"/>
                <w:color w:val="000000"/>
                <w:sz w:val="24"/>
                <w:szCs w:val="21"/>
              </w:rPr>
            </w:pPr>
            <w:r>
              <w:rPr>
                <w:rFonts w:hint="eastAsia" w:ascii="宋体" w:hAnsi="宋体" w:cs="Courier New"/>
                <w:color w:val="000000"/>
                <w:sz w:val="24"/>
                <w:szCs w:val="21"/>
              </w:rPr>
              <w:t>园林专业负责人</w:t>
            </w:r>
          </w:p>
        </w:tc>
        <w:tc>
          <w:tcPr>
            <w:tcW w:w="5298" w:type="dxa"/>
            <w:tcBorders>
              <w:top w:val="single" w:color="auto" w:sz="4" w:space="0"/>
              <w:left w:val="single" w:color="auto" w:sz="4" w:space="0"/>
              <w:bottom w:val="single" w:color="auto" w:sz="4" w:space="0"/>
              <w:right w:val="single" w:color="auto" w:sz="4" w:space="0"/>
            </w:tcBorders>
            <w:vAlign w:val="center"/>
          </w:tcPr>
          <w:p w14:paraId="1D99BD87">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园林专业高级技术职称或者从事本专业工作10年以上的中级技术职称</w:t>
            </w:r>
          </w:p>
        </w:tc>
        <w:tc>
          <w:tcPr>
            <w:tcW w:w="1182" w:type="dxa"/>
            <w:tcBorders>
              <w:top w:val="single" w:color="auto" w:sz="4" w:space="0"/>
              <w:left w:val="single" w:color="auto" w:sz="4" w:space="0"/>
              <w:bottom w:val="single" w:color="auto" w:sz="4" w:space="0"/>
              <w:right w:val="single" w:color="auto" w:sz="4" w:space="0"/>
            </w:tcBorders>
          </w:tcPr>
          <w:p w14:paraId="2E08A754">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1</w:t>
            </w:r>
          </w:p>
        </w:tc>
      </w:tr>
      <w:tr w14:paraId="3845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vAlign w:val="center"/>
          </w:tcPr>
          <w:p w14:paraId="5BB4FC3A">
            <w:pPr>
              <w:spacing w:line="360" w:lineRule="auto"/>
              <w:jc w:val="center"/>
              <w:rPr>
                <w:rFonts w:ascii="宋体" w:hAnsi="宋体" w:cs="Courier New"/>
                <w:color w:val="000000"/>
                <w:sz w:val="24"/>
                <w:szCs w:val="21"/>
              </w:rPr>
            </w:pPr>
            <w:r>
              <w:rPr>
                <w:rFonts w:hint="eastAsia" w:ascii="宋体" w:hAnsi="宋体" w:cs="Courier New"/>
                <w:color w:val="000000"/>
                <w:sz w:val="24"/>
                <w:szCs w:val="21"/>
              </w:rPr>
              <w:t>电气专业负责人</w:t>
            </w:r>
          </w:p>
        </w:tc>
        <w:tc>
          <w:tcPr>
            <w:tcW w:w="5298" w:type="dxa"/>
            <w:tcBorders>
              <w:top w:val="single" w:color="auto" w:sz="4" w:space="0"/>
              <w:left w:val="single" w:color="auto" w:sz="4" w:space="0"/>
              <w:bottom w:val="single" w:color="auto" w:sz="4" w:space="0"/>
              <w:right w:val="single" w:color="auto" w:sz="4" w:space="0"/>
            </w:tcBorders>
            <w:vAlign w:val="center"/>
          </w:tcPr>
          <w:p w14:paraId="493D33FB">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注册电气工程师，本专业高级技术职称或者从事本专业工作8年以上的中级技术职称</w:t>
            </w:r>
          </w:p>
        </w:tc>
        <w:tc>
          <w:tcPr>
            <w:tcW w:w="1182" w:type="dxa"/>
            <w:tcBorders>
              <w:top w:val="single" w:color="auto" w:sz="4" w:space="0"/>
              <w:left w:val="single" w:color="auto" w:sz="4" w:space="0"/>
              <w:bottom w:val="single" w:color="auto" w:sz="4" w:space="0"/>
              <w:right w:val="single" w:color="auto" w:sz="4" w:space="0"/>
            </w:tcBorders>
          </w:tcPr>
          <w:p w14:paraId="4C000823">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1</w:t>
            </w:r>
          </w:p>
        </w:tc>
      </w:tr>
      <w:tr w14:paraId="13E7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2748" w:type="dxa"/>
            <w:tcBorders>
              <w:top w:val="single" w:color="auto" w:sz="4" w:space="0"/>
              <w:left w:val="single" w:color="auto" w:sz="4" w:space="0"/>
              <w:bottom w:val="single" w:color="auto" w:sz="4" w:space="0"/>
              <w:right w:val="single" w:color="auto" w:sz="4" w:space="0"/>
            </w:tcBorders>
            <w:vAlign w:val="center"/>
          </w:tcPr>
          <w:p w14:paraId="4BF944D3">
            <w:pPr>
              <w:spacing w:line="360" w:lineRule="auto"/>
              <w:jc w:val="center"/>
              <w:rPr>
                <w:rFonts w:ascii="宋体" w:hAnsi="宋体" w:cs="Courier New"/>
                <w:color w:val="000000"/>
                <w:sz w:val="24"/>
                <w:szCs w:val="21"/>
              </w:rPr>
            </w:pPr>
            <w:r>
              <w:rPr>
                <w:rFonts w:hint="eastAsia" w:ascii="宋体" w:hAnsi="宋体" w:cs="Courier New"/>
                <w:color w:val="000000"/>
                <w:sz w:val="24"/>
                <w:szCs w:val="21"/>
              </w:rPr>
              <w:t>智能化专业负责人</w:t>
            </w:r>
          </w:p>
        </w:tc>
        <w:tc>
          <w:tcPr>
            <w:tcW w:w="5298" w:type="dxa"/>
            <w:tcBorders>
              <w:top w:val="single" w:color="auto" w:sz="4" w:space="0"/>
              <w:left w:val="single" w:color="auto" w:sz="4" w:space="0"/>
              <w:bottom w:val="single" w:color="auto" w:sz="4" w:space="0"/>
              <w:right w:val="single" w:color="auto" w:sz="4" w:space="0"/>
            </w:tcBorders>
            <w:vAlign w:val="center"/>
          </w:tcPr>
          <w:p w14:paraId="34D22D18">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注册电气工程师，本专业高级技术职称或者从事本专业工作8年以上的中级技术职称</w:t>
            </w:r>
          </w:p>
        </w:tc>
        <w:tc>
          <w:tcPr>
            <w:tcW w:w="1182" w:type="dxa"/>
            <w:tcBorders>
              <w:top w:val="single" w:color="auto" w:sz="4" w:space="0"/>
              <w:left w:val="single" w:color="auto" w:sz="4" w:space="0"/>
              <w:bottom w:val="single" w:color="auto" w:sz="4" w:space="0"/>
              <w:right w:val="single" w:color="auto" w:sz="4" w:space="0"/>
            </w:tcBorders>
          </w:tcPr>
          <w:p w14:paraId="7E18AE68">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1</w:t>
            </w:r>
          </w:p>
        </w:tc>
      </w:tr>
      <w:tr w14:paraId="79E8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vAlign w:val="center"/>
          </w:tcPr>
          <w:p w14:paraId="3F470BC2">
            <w:pPr>
              <w:spacing w:line="360" w:lineRule="auto"/>
              <w:jc w:val="center"/>
              <w:rPr>
                <w:rFonts w:ascii="宋体" w:hAnsi="宋体" w:cs="Courier New"/>
                <w:color w:val="000000"/>
                <w:sz w:val="24"/>
                <w:szCs w:val="21"/>
              </w:rPr>
            </w:pPr>
            <w:r>
              <w:rPr>
                <w:rFonts w:hint="eastAsia" w:ascii="宋体" w:hAnsi="宋体" w:cs="Courier New"/>
                <w:color w:val="000000"/>
                <w:sz w:val="24"/>
                <w:szCs w:val="21"/>
              </w:rPr>
              <w:t>给排水专业负责人</w:t>
            </w:r>
          </w:p>
        </w:tc>
        <w:tc>
          <w:tcPr>
            <w:tcW w:w="5298" w:type="dxa"/>
            <w:tcBorders>
              <w:top w:val="single" w:color="auto" w:sz="4" w:space="0"/>
              <w:left w:val="single" w:color="auto" w:sz="4" w:space="0"/>
              <w:bottom w:val="single" w:color="auto" w:sz="4" w:space="0"/>
              <w:right w:val="single" w:color="auto" w:sz="4" w:space="0"/>
            </w:tcBorders>
            <w:vAlign w:val="center"/>
          </w:tcPr>
          <w:p w14:paraId="239AEE64">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注册设备工程师（给排水），本专业高级技术职称或者从事本专业工作8年以上的中级技术职称</w:t>
            </w:r>
          </w:p>
        </w:tc>
        <w:tc>
          <w:tcPr>
            <w:tcW w:w="1182" w:type="dxa"/>
            <w:tcBorders>
              <w:top w:val="single" w:color="auto" w:sz="4" w:space="0"/>
              <w:left w:val="single" w:color="auto" w:sz="4" w:space="0"/>
              <w:bottom w:val="single" w:color="auto" w:sz="4" w:space="0"/>
              <w:right w:val="single" w:color="auto" w:sz="4" w:space="0"/>
            </w:tcBorders>
          </w:tcPr>
          <w:p w14:paraId="09B82ECD">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1</w:t>
            </w:r>
          </w:p>
        </w:tc>
      </w:tr>
      <w:tr w14:paraId="76D4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748" w:type="dxa"/>
            <w:tcBorders>
              <w:top w:val="single" w:color="auto" w:sz="4" w:space="0"/>
              <w:left w:val="single" w:color="auto" w:sz="4" w:space="0"/>
              <w:bottom w:val="single" w:color="auto" w:sz="4" w:space="0"/>
              <w:right w:val="single" w:color="auto" w:sz="4" w:space="0"/>
            </w:tcBorders>
            <w:vAlign w:val="center"/>
          </w:tcPr>
          <w:p w14:paraId="5706F47F">
            <w:pPr>
              <w:spacing w:line="360" w:lineRule="auto"/>
              <w:jc w:val="center"/>
              <w:rPr>
                <w:rFonts w:ascii="宋体" w:hAnsi="宋体" w:cs="Courier New"/>
                <w:color w:val="000000"/>
                <w:sz w:val="24"/>
                <w:szCs w:val="21"/>
              </w:rPr>
            </w:pPr>
            <w:r>
              <w:rPr>
                <w:rFonts w:hint="eastAsia" w:ascii="宋体" w:hAnsi="宋体" w:cs="Courier New"/>
                <w:color w:val="000000"/>
                <w:sz w:val="24"/>
                <w:szCs w:val="21"/>
              </w:rPr>
              <w:t>概预算专业负责人</w:t>
            </w:r>
          </w:p>
        </w:tc>
        <w:tc>
          <w:tcPr>
            <w:tcW w:w="5298" w:type="dxa"/>
            <w:tcBorders>
              <w:top w:val="single" w:color="auto" w:sz="4" w:space="0"/>
              <w:left w:val="single" w:color="auto" w:sz="4" w:space="0"/>
              <w:bottom w:val="single" w:color="auto" w:sz="4" w:space="0"/>
              <w:right w:val="single" w:color="auto" w:sz="4" w:space="0"/>
            </w:tcBorders>
            <w:vAlign w:val="center"/>
          </w:tcPr>
          <w:p w14:paraId="40DE8108">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注册造价工程师，本专业高级技术职称或者从事本专业工作10年以上的中级技术职称</w:t>
            </w:r>
          </w:p>
        </w:tc>
        <w:tc>
          <w:tcPr>
            <w:tcW w:w="1182" w:type="dxa"/>
            <w:tcBorders>
              <w:top w:val="single" w:color="auto" w:sz="4" w:space="0"/>
              <w:left w:val="single" w:color="auto" w:sz="4" w:space="0"/>
              <w:bottom w:val="single" w:color="auto" w:sz="4" w:space="0"/>
              <w:right w:val="single" w:color="auto" w:sz="4" w:space="0"/>
            </w:tcBorders>
            <w:vAlign w:val="center"/>
          </w:tcPr>
          <w:p w14:paraId="3308E207">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1</w:t>
            </w:r>
          </w:p>
        </w:tc>
      </w:tr>
      <w:tr w14:paraId="427E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748" w:type="dxa"/>
            <w:tcBorders>
              <w:top w:val="single" w:color="auto" w:sz="4" w:space="0"/>
              <w:left w:val="single" w:color="auto" w:sz="4" w:space="0"/>
              <w:bottom w:val="single" w:color="auto" w:sz="4" w:space="0"/>
              <w:right w:val="single" w:color="auto" w:sz="4" w:space="0"/>
            </w:tcBorders>
            <w:vAlign w:val="center"/>
          </w:tcPr>
          <w:p w14:paraId="3E927C1A">
            <w:pPr>
              <w:spacing w:line="360" w:lineRule="auto"/>
              <w:jc w:val="center"/>
              <w:rPr>
                <w:rFonts w:ascii="宋体" w:hAnsi="宋体" w:cs="Courier New"/>
                <w:color w:val="000000"/>
                <w:sz w:val="24"/>
                <w:szCs w:val="21"/>
              </w:rPr>
            </w:pPr>
            <w:r>
              <w:rPr>
                <w:rFonts w:hint="eastAsia" w:ascii="宋体" w:hAnsi="宋体" w:cs="Courier New"/>
                <w:color w:val="000000"/>
                <w:sz w:val="24"/>
                <w:szCs w:val="21"/>
              </w:rPr>
              <w:t>报建负责人</w:t>
            </w:r>
          </w:p>
        </w:tc>
        <w:tc>
          <w:tcPr>
            <w:tcW w:w="5298" w:type="dxa"/>
            <w:tcBorders>
              <w:top w:val="single" w:color="auto" w:sz="4" w:space="0"/>
              <w:left w:val="single" w:color="auto" w:sz="4" w:space="0"/>
              <w:bottom w:val="single" w:color="auto" w:sz="4" w:space="0"/>
              <w:right w:val="single" w:color="auto" w:sz="4" w:space="0"/>
            </w:tcBorders>
            <w:vAlign w:val="center"/>
          </w:tcPr>
          <w:p w14:paraId="14AFBF99">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工程技术专业高级技术职称或者从事相关专业工作5年以上的中级技术职称</w:t>
            </w:r>
          </w:p>
        </w:tc>
        <w:tc>
          <w:tcPr>
            <w:tcW w:w="1182" w:type="dxa"/>
            <w:tcBorders>
              <w:top w:val="single" w:color="auto" w:sz="4" w:space="0"/>
              <w:left w:val="single" w:color="auto" w:sz="4" w:space="0"/>
              <w:bottom w:val="single" w:color="auto" w:sz="4" w:space="0"/>
              <w:right w:val="single" w:color="auto" w:sz="4" w:space="0"/>
            </w:tcBorders>
            <w:vAlign w:val="center"/>
          </w:tcPr>
          <w:p w14:paraId="3556155E">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1</w:t>
            </w:r>
          </w:p>
        </w:tc>
      </w:tr>
      <w:tr w14:paraId="4E71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2748" w:type="dxa"/>
            <w:tcBorders>
              <w:top w:val="single" w:color="auto" w:sz="4" w:space="0"/>
              <w:left w:val="single" w:color="auto" w:sz="4" w:space="0"/>
              <w:bottom w:val="single" w:color="auto" w:sz="4" w:space="0"/>
              <w:right w:val="single" w:color="auto" w:sz="4" w:space="0"/>
            </w:tcBorders>
            <w:vAlign w:val="center"/>
          </w:tcPr>
          <w:p w14:paraId="0B175C66">
            <w:pPr>
              <w:spacing w:line="360" w:lineRule="auto"/>
              <w:jc w:val="center"/>
              <w:rPr>
                <w:rFonts w:ascii="宋体" w:hAnsi="宋体" w:cs="Courier New"/>
                <w:color w:val="000000"/>
                <w:sz w:val="24"/>
                <w:szCs w:val="21"/>
              </w:rPr>
            </w:pPr>
            <w:r>
              <w:rPr>
                <w:rFonts w:hint="eastAsia" w:ascii="宋体" w:hAnsi="宋体" w:cs="Courier New"/>
                <w:color w:val="000000"/>
                <w:sz w:val="24"/>
                <w:szCs w:val="21"/>
              </w:rPr>
              <w:t>勘察专业负责人</w:t>
            </w:r>
          </w:p>
        </w:tc>
        <w:tc>
          <w:tcPr>
            <w:tcW w:w="5298" w:type="dxa"/>
            <w:tcBorders>
              <w:top w:val="single" w:color="auto" w:sz="4" w:space="0"/>
              <w:left w:val="single" w:color="auto" w:sz="4" w:space="0"/>
              <w:bottom w:val="single" w:color="auto" w:sz="4" w:space="0"/>
              <w:right w:val="single" w:color="auto" w:sz="4" w:space="0"/>
            </w:tcBorders>
            <w:vAlign w:val="center"/>
          </w:tcPr>
          <w:p w14:paraId="1A4066BC">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注册岩土工程师，本专业高级技术职称或者从事本专业工作10年以上的中级技术职称</w:t>
            </w:r>
          </w:p>
        </w:tc>
        <w:tc>
          <w:tcPr>
            <w:tcW w:w="1182" w:type="dxa"/>
            <w:tcBorders>
              <w:top w:val="single" w:color="auto" w:sz="4" w:space="0"/>
              <w:left w:val="single" w:color="auto" w:sz="4" w:space="0"/>
              <w:bottom w:val="single" w:color="auto" w:sz="4" w:space="0"/>
              <w:right w:val="single" w:color="auto" w:sz="4" w:space="0"/>
            </w:tcBorders>
            <w:vAlign w:val="center"/>
          </w:tcPr>
          <w:p w14:paraId="33B1FE2F">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1</w:t>
            </w:r>
          </w:p>
        </w:tc>
      </w:tr>
    </w:tbl>
    <w:p w14:paraId="640A0163">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注：每个专业其他参与工作的人员不少于2人。</w:t>
      </w:r>
    </w:p>
    <w:p w14:paraId="6EE42CDF">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2、在设计高峰或项目承建单位认为有必要时，设计方必须集中力量确保设计进度。</w:t>
      </w:r>
    </w:p>
    <w:p w14:paraId="429A5528">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3、设计单位在明确分工各负其责的基础上，按照招标文件所列要求承诺为本项目合同约定项目指定的设计总负责人、各专业设计负责人、各专业设计人、报建协调人，并向建设管理单位出具相应的授权文件。</w:t>
      </w:r>
    </w:p>
    <w:p w14:paraId="35C1B9F8">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4、项目设计总负责人，各专业设计负责人应能够胜任所承担任务的设计、组织、计划、协调工作。</w:t>
      </w:r>
    </w:p>
    <w:p w14:paraId="64084226">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5、须报送项目设计总负责人、各专业设计负责人、其他参与设计工作的人员姓名、年龄、学历、专业、职称、职务、相关经历和主要技术成果以及在本合同约定项目中负责的设计任务等资料。</w:t>
      </w:r>
    </w:p>
    <w:p w14:paraId="2BDE8A97">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6、必须保证参与本项目各设计单位人员的稳定性，不可随意撤换，且短时离开本地须向项目承建单位请假并制定离开后的协调人，否则必须承担相应责任。</w:t>
      </w:r>
    </w:p>
    <w:p w14:paraId="13779415">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7、设计单位的设计人员数量、专业水平、专业配套等达不到设计所需时，需更换及补充设计人员；未能在指定时间内及时更换和补充的，将视为违约行为, 项目承建单位将根据项目设计(咨询)单位综合考评办法予以相应的处罚。</w:t>
      </w:r>
    </w:p>
    <w:p w14:paraId="6D789935">
      <w:pPr>
        <w:spacing w:line="360" w:lineRule="auto"/>
        <w:ind w:firstLine="480" w:firstLineChars="200"/>
        <w:rPr>
          <w:rFonts w:ascii="宋体" w:hAnsi="宋体" w:cs="Courier New"/>
          <w:snapToGrid w:val="0"/>
          <w:sz w:val="24"/>
          <w:szCs w:val="21"/>
        </w:rPr>
      </w:pPr>
      <w:r>
        <w:rPr>
          <w:rFonts w:hint="eastAsia" w:ascii="宋体" w:hAnsi="宋体" w:cs="Courier New"/>
          <w:snapToGrid w:val="0"/>
          <w:sz w:val="24"/>
          <w:szCs w:val="21"/>
        </w:rPr>
        <w:t>8、设计单位应安排专人（1名）全面配合跟进所有报审报建工作（包括提供项目承建单位报审报建及有关外出协调所需的交通便利，</w:t>
      </w:r>
      <w:r>
        <w:rPr>
          <w:rFonts w:hint="eastAsia" w:ascii="宋体" w:hAnsi="宋体" w:cs="Courier New"/>
          <w:snapToGrid w:val="0"/>
          <w:kern w:val="0"/>
          <w:sz w:val="24"/>
          <w:szCs w:val="21"/>
        </w:rPr>
        <w:t>包括放线测量费、公示费、</w:t>
      </w:r>
      <w:r>
        <w:rPr>
          <w:rFonts w:ascii="宋体" w:hAnsi="宋体" w:cs="Courier New"/>
          <w:snapToGrid w:val="0"/>
          <w:kern w:val="0"/>
          <w:sz w:val="24"/>
          <w:szCs w:val="21"/>
        </w:rPr>
        <w:t>购买地形图、管线图纸</w:t>
      </w:r>
      <w:r>
        <w:rPr>
          <w:rFonts w:hint="eastAsia" w:ascii="宋体" w:hAnsi="宋体" w:cs="Courier New"/>
          <w:snapToGrid w:val="0"/>
          <w:kern w:val="0"/>
          <w:sz w:val="24"/>
          <w:szCs w:val="21"/>
        </w:rPr>
        <w:t>、加晒加印图纸资料</w:t>
      </w:r>
      <w:r>
        <w:rPr>
          <w:rFonts w:ascii="宋体" w:hAnsi="宋体" w:cs="Courier New"/>
          <w:snapToGrid w:val="0"/>
          <w:kern w:val="0"/>
          <w:sz w:val="24"/>
          <w:szCs w:val="21"/>
        </w:rPr>
        <w:t>等</w:t>
      </w:r>
      <w:r>
        <w:rPr>
          <w:rFonts w:hint="eastAsia" w:ascii="宋体" w:hAnsi="宋体" w:cs="Courier New"/>
          <w:snapToGrid w:val="0"/>
          <w:sz w:val="24"/>
          <w:szCs w:val="21"/>
        </w:rPr>
        <w:t>相关报建费用、</w:t>
      </w:r>
      <w:r>
        <w:rPr>
          <w:rFonts w:ascii="宋体" w:hAnsi="宋体" w:cs="Courier New"/>
          <w:snapToGrid w:val="0"/>
          <w:kern w:val="0"/>
          <w:sz w:val="24"/>
          <w:szCs w:val="21"/>
        </w:rPr>
        <w:t>各阶段的汇报文件和送审文件晒制费用</w:t>
      </w:r>
      <w:r>
        <w:rPr>
          <w:rFonts w:hint="eastAsia" w:ascii="宋体" w:hAnsi="宋体" w:cs="Courier New"/>
          <w:snapToGrid w:val="0"/>
          <w:sz w:val="24"/>
          <w:szCs w:val="21"/>
        </w:rPr>
        <w:t>已包含在勘察设计费中），并应根据甲方工作需要驻场办公。</w:t>
      </w:r>
    </w:p>
    <w:p w14:paraId="469A6D35">
      <w:pPr>
        <w:spacing w:line="360" w:lineRule="auto"/>
        <w:ind w:firstLine="480" w:firstLineChars="200"/>
        <w:rPr>
          <w:rFonts w:ascii="宋体" w:hAnsi="宋体" w:cs="Courier New"/>
          <w:snapToGrid w:val="0"/>
          <w:sz w:val="24"/>
          <w:szCs w:val="21"/>
        </w:rPr>
      </w:pPr>
      <w:r>
        <w:rPr>
          <w:rFonts w:hint="eastAsia" w:ascii="宋体" w:hAnsi="宋体" w:cs="Courier New"/>
          <w:snapToGrid w:val="0"/>
          <w:sz w:val="24"/>
          <w:szCs w:val="21"/>
        </w:rPr>
        <w:t>9、设计单位配合甲方参加各项会议、汇报、领导视察等工作时，所需的方案文本、ppt及word文档汇报材料、效果图、展板、图纸等资料的彩色打印、黑白打印及加晒费用均已包含在勘察设计费中，设计单位服从甲方的工作安排，不得以任何理由推诿。</w:t>
      </w:r>
    </w:p>
    <w:p w14:paraId="2D5C53E9">
      <w:pPr>
        <w:spacing w:line="360" w:lineRule="auto"/>
        <w:ind w:firstLine="480" w:firstLineChars="200"/>
        <w:rPr>
          <w:rFonts w:ascii="宋体" w:hAnsi="宋体" w:cs="Courier New"/>
          <w:snapToGrid w:val="0"/>
          <w:sz w:val="24"/>
          <w:szCs w:val="21"/>
        </w:rPr>
      </w:pPr>
      <w:r>
        <w:rPr>
          <w:rFonts w:hint="eastAsia" w:ascii="宋体" w:hAnsi="宋体" w:cs="Courier New"/>
          <w:snapToGrid w:val="0"/>
          <w:sz w:val="24"/>
          <w:szCs w:val="21"/>
        </w:rPr>
        <w:t>1</w:t>
      </w:r>
      <w:r>
        <w:rPr>
          <w:rFonts w:ascii="宋体" w:hAnsi="宋体" w:cs="Courier New"/>
          <w:snapToGrid w:val="0"/>
          <w:sz w:val="24"/>
          <w:szCs w:val="21"/>
        </w:rPr>
        <w:t>0、应安排一名专职人员，负责文件来往登记及签收</w:t>
      </w:r>
      <w:r>
        <w:rPr>
          <w:rFonts w:hint="eastAsia" w:ascii="宋体" w:hAnsi="宋体" w:cs="Courier New"/>
          <w:snapToGrid w:val="0"/>
          <w:sz w:val="24"/>
          <w:szCs w:val="21"/>
        </w:rPr>
        <w:t>、</w:t>
      </w:r>
      <w:r>
        <w:rPr>
          <w:rFonts w:ascii="宋体" w:hAnsi="宋体" w:cs="Courier New"/>
          <w:snapToGrid w:val="0"/>
          <w:sz w:val="24"/>
          <w:szCs w:val="21"/>
        </w:rPr>
        <w:t>设计变更跟进及台账梳理、下达传输各项工作安排</w:t>
      </w:r>
      <w:r>
        <w:rPr>
          <w:rFonts w:hint="eastAsia" w:ascii="宋体" w:hAnsi="宋体" w:cs="Courier New"/>
          <w:snapToGrid w:val="0"/>
          <w:sz w:val="24"/>
          <w:szCs w:val="21"/>
        </w:rPr>
        <w:t>、</w:t>
      </w:r>
      <w:r>
        <w:rPr>
          <w:rFonts w:ascii="宋体" w:hAnsi="宋体" w:cs="Courier New"/>
          <w:snapToGrid w:val="0"/>
          <w:sz w:val="24"/>
          <w:szCs w:val="21"/>
        </w:rPr>
        <w:t>统筹协调会务工作等。</w:t>
      </w:r>
      <w:r>
        <w:rPr>
          <w:rFonts w:hint="eastAsia" w:ascii="宋体" w:hAnsi="宋体" w:cs="Courier New"/>
          <w:snapToGrid w:val="0"/>
          <w:sz w:val="24"/>
          <w:szCs w:val="21"/>
        </w:rPr>
        <w:t>并应根据甲方工作需要驻场办公。</w:t>
      </w:r>
    </w:p>
    <w:p w14:paraId="4A0BDA53">
      <w:pPr>
        <w:pStyle w:val="5"/>
      </w:pPr>
      <w:bookmarkStart w:id="113" w:name="_Toc452973742"/>
      <w:r>
        <w:rPr>
          <w:rFonts w:hint="eastAsia"/>
        </w:rPr>
        <w:t>4.2驻场人员要求</w:t>
      </w:r>
      <w:bookmarkEnd w:id="113"/>
    </w:p>
    <w:p w14:paraId="43C38356">
      <w:pPr>
        <w:spacing w:line="360" w:lineRule="auto"/>
        <w:ind w:firstLine="480" w:firstLineChars="200"/>
        <w:rPr>
          <w:rFonts w:ascii="宋体" w:hAnsi="宋体" w:cs="Courier New"/>
          <w:color w:val="000000"/>
          <w:sz w:val="24"/>
          <w:szCs w:val="21"/>
        </w:rPr>
      </w:pPr>
      <w:r>
        <w:rPr>
          <w:rFonts w:hint="eastAsia" w:ascii="宋体" w:hAnsi="宋体" w:cs="Courier New"/>
          <w:snapToGrid w:val="0"/>
          <w:color w:val="000000"/>
          <w:sz w:val="24"/>
          <w:szCs w:val="21"/>
        </w:rPr>
        <w:t>根据建设管理需要，应指定驻场设计人员集中办公，人员要求如下：</w:t>
      </w:r>
    </w:p>
    <w:p w14:paraId="3E924446">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1、若乙方的设计工作不能满足本项目的质量和进度控制要求，乙方需根据甲方的要求进行驻场设计，各专业设计人和项目负责人员须驻场设计，时间可从签订设计合同开始到竣工验收完成为止。设计单位应配备电脑、彩色打印机、复印机、扫描仪、无人机等设备。</w:t>
      </w:r>
    </w:p>
    <w:p w14:paraId="0C51F698">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2、乙方驻场人员应满足招标文件及合同条款的相关要求，并全部统一纳入甲方的统一管理，其出勤、休假等考勤由甲方负责。乙方驻场人员只为本合同招标人服务，设计单位不得再安排其参与设计单位的其他工作。</w:t>
      </w:r>
    </w:p>
    <w:p w14:paraId="3F6DCB6F">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3、乙方驻场人员的名单须在进场前提交甲方审核，乙方驻场设计组的人员数量、专业水平、专业配套以及设备设施须满足设计质量与进度的需要。甲方有权根据实际情况在施工实施的过程中对乙方的驻场人员进行适当调整。</w:t>
      </w:r>
    </w:p>
    <w:p w14:paraId="72222D39">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4、乙方应保证驻场人员的稳定性，原则在驻场期间上不得更换，确须更换的应向甲方提出书面报告且征得同意后方可更换。</w:t>
      </w:r>
    </w:p>
    <w:p w14:paraId="242DE3FC">
      <w:pPr>
        <w:pStyle w:val="5"/>
      </w:pPr>
      <w:r>
        <w:rPr>
          <w:rFonts w:hint="eastAsia"/>
        </w:rPr>
        <w:t>4.3技术考察组织要求</w:t>
      </w:r>
    </w:p>
    <w:p w14:paraId="0F901331">
      <w:pPr>
        <w:spacing w:line="360" w:lineRule="auto"/>
        <w:ind w:firstLine="480" w:firstLineChars="200"/>
        <w:rPr>
          <w:i/>
          <w:color w:val="000000"/>
        </w:rPr>
      </w:pPr>
      <w:r>
        <w:rPr>
          <w:rFonts w:hint="eastAsia" w:ascii="宋体" w:hAnsi="宋体" w:cs="Courier New"/>
          <w:snapToGrid w:val="0"/>
          <w:color w:val="000000"/>
          <w:sz w:val="24"/>
          <w:szCs w:val="21"/>
        </w:rPr>
        <w:t>配合甲方组织技术考察，提供技术支持。</w:t>
      </w:r>
    </w:p>
    <w:p w14:paraId="253CEDB5"/>
    <w:p w14:paraId="3D707F64">
      <w:pPr>
        <w:sectPr>
          <w:headerReference r:id="rId6" w:type="default"/>
          <w:footerReference r:id="rId7" w:type="default"/>
          <w:footnotePr>
            <w:numRestart w:val="eachPage"/>
          </w:footnotePr>
          <w:pgSz w:w="11906" w:h="16838"/>
          <w:pgMar w:top="1418" w:right="1418" w:bottom="1418" w:left="1418" w:header="851" w:footer="992" w:gutter="0"/>
          <w:pgBorders w:offsetFrom="page">
            <w:top w:val="single" w:color="auto" w:sz="4" w:space="24"/>
            <w:left w:val="single" w:color="auto" w:sz="4" w:space="24"/>
            <w:bottom w:val="single" w:color="auto" w:sz="4" w:space="24"/>
            <w:right w:val="single" w:color="auto" w:sz="4" w:space="24"/>
          </w:pgBorders>
          <w:pgNumType w:start="0"/>
          <w:cols w:space="720" w:num="1"/>
          <w:docGrid w:linePitch="312" w:charSpace="0"/>
        </w:sectPr>
      </w:pPr>
    </w:p>
    <w:p w14:paraId="70BEF649">
      <w:pPr>
        <w:pStyle w:val="2"/>
        <w:rPr>
          <w:color w:val="000000"/>
        </w:rPr>
      </w:pPr>
      <w:bookmarkStart w:id="114" w:name="_Toc168047426"/>
      <w:bookmarkStart w:id="115" w:name="_Toc31329"/>
      <w:bookmarkStart w:id="116" w:name="_Toc447612887"/>
      <w:bookmarkStart w:id="117" w:name="_Toc447612408"/>
      <w:bookmarkStart w:id="118" w:name="_Toc452558334"/>
      <w:bookmarkStart w:id="119" w:name="_Toc452558106"/>
      <w:bookmarkStart w:id="120" w:name="_Toc452973743"/>
      <w:bookmarkStart w:id="121" w:name="_Toc387398878"/>
      <w:r>
        <w:rPr>
          <w:rFonts w:hint="eastAsia"/>
          <w:color w:val="000000"/>
        </w:rPr>
        <w:t>第五章勘察设计成果提交要求</w:t>
      </w:r>
      <w:bookmarkEnd w:id="114"/>
      <w:bookmarkEnd w:id="115"/>
      <w:bookmarkEnd w:id="116"/>
      <w:bookmarkEnd w:id="117"/>
      <w:bookmarkEnd w:id="118"/>
      <w:bookmarkEnd w:id="119"/>
      <w:bookmarkEnd w:id="120"/>
    </w:p>
    <w:p w14:paraId="68FB529E">
      <w:pPr>
        <w:pStyle w:val="3"/>
        <w:spacing w:before="156" w:after="156"/>
        <w:rPr>
          <w:color w:val="000000"/>
        </w:rPr>
      </w:pPr>
      <w:bookmarkStart w:id="122" w:name="_Toc168047427"/>
      <w:bookmarkStart w:id="123" w:name="_Toc447612409"/>
      <w:bookmarkStart w:id="124" w:name="_Toc452973744"/>
      <w:bookmarkStart w:id="125" w:name="_Toc452558107"/>
      <w:bookmarkStart w:id="126" w:name="_Toc447612888"/>
      <w:bookmarkStart w:id="127" w:name="_Toc16608"/>
      <w:bookmarkStart w:id="128" w:name="_Toc452558335"/>
      <w:r>
        <w:rPr>
          <w:color w:val="000000"/>
        </w:rPr>
        <w:t>5.1</w:t>
      </w:r>
      <w:r>
        <w:rPr>
          <w:rFonts w:hint="eastAsia"/>
          <w:color w:val="000000"/>
        </w:rPr>
        <w:t>通用要求</w:t>
      </w:r>
      <w:bookmarkEnd w:id="121"/>
      <w:bookmarkEnd w:id="122"/>
      <w:bookmarkEnd w:id="123"/>
      <w:bookmarkEnd w:id="124"/>
      <w:bookmarkEnd w:id="125"/>
      <w:bookmarkEnd w:id="126"/>
      <w:bookmarkEnd w:id="127"/>
      <w:bookmarkEnd w:id="128"/>
    </w:p>
    <w:p w14:paraId="0C9D5A3B">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一、设计成果文件要求齐全、完整，内容、深度应符合规定，文字说明、图纸要准确清晰,各阶段设计应达到中华人民共和国建设部颁发的《建筑工程设计文件编制深度规定》、《市政公用工程设计文件编制深度规定》设计阶段深度。</w:t>
      </w:r>
    </w:p>
    <w:p w14:paraId="0B9B5351">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二、凡是涉及到报批报建图纸文件，均需要按专业主管部门的报审要求，按时报送，并负责通过审批。</w:t>
      </w:r>
    </w:p>
    <w:p w14:paraId="60D801A5">
      <w:pPr>
        <w:pStyle w:val="3"/>
        <w:spacing w:before="156" w:after="156"/>
        <w:rPr>
          <w:color w:val="000000"/>
        </w:rPr>
      </w:pPr>
      <w:bookmarkStart w:id="129" w:name="_Toc447612410"/>
      <w:bookmarkStart w:id="130" w:name="_Toc452558336"/>
      <w:bookmarkStart w:id="131" w:name="_Toc452558108"/>
      <w:bookmarkStart w:id="132" w:name="_Toc447612889"/>
      <w:bookmarkStart w:id="133" w:name="_Toc387398879"/>
      <w:bookmarkStart w:id="134" w:name="_Toc168047428"/>
      <w:bookmarkStart w:id="135" w:name="_Toc452973745"/>
      <w:bookmarkStart w:id="136" w:name="_Toc21506"/>
      <w:r>
        <w:rPr>
          <w:color w:val="000000"/>
        </w:rPr>
        <w:t>5.2</w:t>
      </w:r>
      <w:r>
        <w:rPr>
          <w:rFonts w:hint="eastAsia"/>
          <w:color w:val="000000"/>
        </w:rPr>
        <w:t>竞标成果具体内容和要求</w:t>
      </w:r>
      <w:bookmarkEnd w:id="129"/>
      <w:bookmarkEnd w:id="130"/>
      <w:bookmarkEnd w:id="131"/>
      <w:bookmarkEnd w:id="132"/>
      <w:bookmarkEnd w:id="133"/>
      <w:bookmarkEnd w:id="134"/>
      <w:bookmarkEnd w:id="135"/>
      <w:bookmarkEnd w:id="136"/>
    </w:p>
    <w:p w14:paraId="624C80B5">
      <w:pPr>
        <w:spacing w:line="360" w:lineRule="auto"/>
        <w:ind w:firstLine="480" w:firstLineChars="200"/>
        <w:rPr>
          <w:rFonts w:hint="eastAsia" w:ascii="宋体" w:hAnsi="宋体" w:cs="Courier New"/>
          <w:color w:val="FF0000"/>
          <w:sz w:val="24"/>
          <w:szCs w:val="21"/>
        </w:rPr>
      </w:pPr>
      <w:bookmarkStart w:id="137" w:name="_Toc168047429"/>
      <w:r>
        <w:rPr>
          <w:rFonts w:hint="eastAsia" w:ascii="宋体" w:hAnsi="宋体" w:cs="Courier New"/>
          <w:color w:val="FF0000"/>
          <w:sz w:val="24"/>
          <w:szCs w:val="21"/>
        </w:rPr>
        <w:t>以招标文件“投标文件编制要求”章节为准。</w:t>
      </w:r>
    </w:p>
    <w:p w14:paraId="3314CB00">
      <w:pPr>
        <w:pStyle w:val="3"/>
        <w:spacing w:before="156" w:after="156"/>
        <w:rPr>
          <w:color w:val="000000"/>
        </w:rPr>
      </w:pPr>
      <w:r>
        <w:rPr>
          <w:color w:val="000000"/>
        </w:rPr>
        <w:t>5.3</w:t>
      </w:r>
      <w:r>
        <w:rPr>
          <w:rFonts w:hint="eastAsia"/>
          <w:color w:val="000000"/>
        </w:rPr>
        <w:t>实施阶段设计成果要求</w:t>
      </w:r>
      <w:bookmarkEnd w:id="137"/>
    </w:p>
    <w:p w14:paraId="3FBC9877">
      <w:pPr>
        <w:numPr>
          <w:ilvl w:val="0"/>
          <w:numId w:val="2"/>
        </w:numPr>
        <w:spacing w:line="360" w:lineRule="auto"/>
        <w:ind w:left="0" w:firstLine="480" w:firstLineChars="200"/>
        <w:rPr>
          <w:rFonts w:ascii="宋体" w:hAnsi="宋体" w:cs="Courier New"/>
          <w:color w:val="000000"/>
          <w:sz w:val="24"/>
          <w:szCs w:val="21"/>
        </w:rPr>
      </w:pPr>
      <w:r>
        <w:rPr>
          <w:rFonts w:hint="eastAsia" w:ascii="宋体" w:hAnsi="宋体" w:cs="Courier New"/>
          <w:color w:val="000000"/>
          <w:sz w:val="24"/>
          <w:szCs w:val="21"/>
        </w:rPr>
        <w:t>设计图纸要求（设计图纸包括且不限于以下内容）：</w:t>
      </w:r>
    </w:p>
    <w:p w14:paraId="4131E26D">
      <w:pPr>
        <w:spacing w:line="360" w:lineRule="auto"/>
        <w:ind w:firstLine="360" w:firstLineChars="150"/>
        <w:rPr>
          <w:rFonts w:ascii="宋体" w:hAnsi="宋体" w:cs="Courier New"/>
          <w:color w:val="000000"/>
          <w:sz w:val="24"/>
          <w:szCs w:val="21"/>
        </w:rPr>
      </w:pPr>
      <w:r>
        <w:rPr>
          <w:rFonts w:hint="eastAsia" w:ascii="宋体" w:hAnsi="宋体" w:cs="Courier New"/>
          <w:color w:val="000000"/>
          <w:sz w:val="24"/>
          <w:szCs w:val="21"/>
        </w:rPr>
        <w:t>（1）方案设计图</w:t>
      </w:r>
    </w:p>
    <w:p w14:paraId="31C8373B">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基地区位图</w:t>
      </w:r>
    </w:p>
    <w:p w14:paraId="68FB9EC9">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基地现状图</w:t>
      </w:r>
    </w:p>
    <w:p w14:paraId="18076262">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 xml:space="preserve">与周边环境及空间关系分析图 </w:t>
      </w:r>
    </w:p>
    <w:p w14:paraId="6E560983">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交通系统分析图</w:t>
      </w:r>
    </w:p>
    <w:p w14:paraId="75B7E477">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出入口、联系通道、垂直交通、公共交通设施等分布图</w:t>
      </w:r>
    </w:p>
    <w:p w14:paraId="2AC4AF6E">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总平面设计图 （建议明确比例）</w:t>
      </w:r>
    </w:p>
    <w:p w14:paraId="568ACEB9">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各层平面图(电子制图比例为1：200)</w:t>
      </w:r>
    </w:p>
    <w:p w14:paraId="26297F27">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主要剖面和立面图(电子制图比例为1：200)</w:t>
      </w:r>
    </w:p>
    <w:p w14:paraId="20FFBCE2">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主要出入口、广场、下沉空间等重要空间节点效果图</w:t>
      </w:r>
    </w:p>
    <w:p w14:paraId="0DFDE90B">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主要空间节点透视图</w:t>
      </w:r>
    </w:p>
    <w:p w14:paraId="60E214A6">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防灾系统方案图和相关分析图</w:t>
      </w:r>
    </w:p>
    <w:p w14:paraId="5C3F1359">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机电设备系统方案图</w:t>
      </w:r>
    </w:p>
    <w:p w14:paraId="7AD61E83">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信息通信网络传输系统图</w:t>
      </w:r>
    </w:p>
    <w:p w14:paraId="035D77FC">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智能交通系统图</w:t>
      </w:r>
    </w:p>
    <w:p w14:paraId="33D0C3B5">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综合管线系统方案图</w:t>
      </w:r>
    </w:p>
    <w:p w14:paraId="6AF0C354">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给排水设计图</w:t>
      </w:r>
    </w:p>
    <w:p w14:paraId="31825FC8">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相关竖向设计图</w:t>
      </w:r>
    </w:p>
    <w:p w14:paraId="71A155A4">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 xml:space="preserve">景观设计图 </w:t>
      </w:r>
    </w:p>
    <w:p w14:paraId="555F7A8D">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相关分析图和鸟瞰图</w:t>
      </w:r>
    </w:p>
    <w:p w14:paraId="4AED445F">
      <w:pPr>
        <w:numPr>
          <w:ilvl w:val="0"/>
          <w:numId w:val="3"/>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项目估算及投资分析报告</w:t>
      </w:r>
    </w:p>
    <w:p w14:paraId="0B64BF7D">
      <w:pPr>
        <w:numPr>
          <w:ilvl w:val="0"/>
          <w:numId w:val="3"/>
        </w:numPr>
        <w:spacing w:line="360" w:lineRule="auto"/>
        <w:ind w:firstLine="146" w:firstLineChars="61"/>
        <w:rPr>
          <w:rFonts w:ascii="宋体" w:hAnsi="宋体" w:cs="Courier New"/>
          <w:color w:val="000000"/>
          <w:sz w:val="24"/>
          <w:szCs w:val="21"/>
        </w:rPr>
      </w:pPr>
      <w:r>
        <w:rPr>
          <w:rFonts w:hint="eastAsia" w:ascii="宋体" w:hAnsi="宋体" w:cs="Courier New"/>
          <w:color w:val="000000"/>
          <w:sz w:val="24"/>
          <w:szCs w:val="21"/>
        </w:rPr>
        <w:t>项目其它设计方案图</w:t>
      </w:r>
    </w:p>
    <w:p w14:paraId="3312E31F">
      <w:pPr>
        <w:spacing w:line="360" w:lineRule="auto"/>
        <w:ind w:firstLine="360" w:firstLineChars="150"/>
        <w:rPr>
          <w:rFonts w:ascii="宋体" w:hAnsi="宋体" w:cs="Courier New"/>
          <w:color w:val="000000"/>
          <w:sz w:val="24"/>
          <w:szCs w:val="21"/>
        </w:rPr>
      </w:pPr>
      <w:r>
        <w:rPr>
          <w:rFonts w:hint="eastAsia" w:ascii="宋体" w:hAnsi="宋体" w:cs="Courier New"/>
          <w:color w:val="000000"/>
          <w:sz w:val="24"/>
          <w:szCs w:val="21"/>
        </w:rPr>
        <w:t>（2）初步设计及施工图</w:t>
      </w:r>
    </w:p>
    <w:p w14:paraId="769FE564">
      <w:pPr>
        <w:numPr>
          <w:ilvl w:val="0"/>
          <w:numId w:val="4"/>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建筑专业初步设计及施工图</w:t>
      </w:r>
    </w:p>
    <w:p w14:paraId="6F3011F4">
      <w:pPr>
        <w:numPr>
          <w:ilvl w:val="0"/>
          <w:numId w:val="4"/>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结构专业初步设计及施工图</w:t>
      </w:r>
    </w:p>
    <w:p w14:paraId="222DBBBF">
      <w:pPr>
        <w:numPr>
          <w:ilvl w:val="0"/>
          <w:numId w:val="4"/>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给排水专业初步设计及施工图</w:t>
      </w:r>
    </w:p>
    <w:p w14:paraId="4F885CD6">
      <w:pPr>
        <w:numPr>
          <w:ilvl w:val="0"/>
          <w:numId w:val="4"/>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电气及智能化专业初步设计及施工图</w:t>
      </w:r>
    </w:p>
    <w:p w14:paraId="3D5E5E66">
      <w:pPr>
        <w:numPr>
          <w:ilvl w:val="0"/>
          <w:numId w:val="4"/>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暖通专业初步设计及施工图</w:t>
      </w:r>
    </w:p>
    <w:p w14:paraId="68585508">
      <w:pPr>
        <w:numPr>
          <w:ilvl w:val="0"/>
          <w:numId w:val="4"/>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景观专业初步设计及施工图</w:t>
      </w:r>
    </w:p>
    <w:p w14:paraId="1FC2F5EA">
      <w:pPr>
        <w:numPr>
          <w:ilvl w:val="0"/>
          <w:numId w:val="4"/>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市政道路专业初步设计及施工图</w:t>
      </w:r>
    </w:p>
    <w:p w14:paraId="1560DBF7">
      <w:pPr>
        <w:numPr>
          <w:ilvl w:val="0"/>
          <w:numId w:val="4"/>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市政管线专业初步设计及施工图</w:t>
      </w:r>
    </w:p>
    <w:p w14:paraId="3FE350EC">
      <w:pPr>
        <w:numPr>
          <w:ilvl w:val="0"/>
          <w:numId w:val="4"/>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项目概算、预算及投资分析报告</w:t>
      </w:r>
    </w:p>
    <w:p w14:paraId="0EA43E6F">
      <w:pPr>
        <w:numPr>
          <w:ilvl w:val="0"/>
          <w:numId w:val="4"/>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管线综合平衡图</w:t>
      </w:r>
    </w:p>
    <w:p w14:paraId="4DFBF3DA">
      <w:pPr>
        <w:numPr>
          <w:ilvl w:val="0"/>
          <w:numId w:val="4"/>
        </w:numPr>
        <w:spacing w:line="360" w:lineRule="auto"/>
        <w:ind w:left="-2" w:leftChars="-1" w:firstLine="568" w:firstLineChars="237"/>
        <w:rPr>
          <w:rFonts w:ascii="宋体" w:hAnsi="宋体" w:cs="Courier New"/>
          <w:color w:val="000000"/>
          <w:sz w:val="24"/>
          <w:szCs w:val="21"/>
        </w:rPr>
      </w:pPr>
      <w:r>
        <w:rPr>
          <w:rFonts w:hint="eastAsia" w:ascii="宋体" w:hAnsi="宋体" w:cs="Courier New"/>
          <w:color w:val="000000"/>
          <w:sz w:val="24"/>
          <w:szCs w:val="21"/>
        </w:rPr>
        <w:t>其它专项设计（如需要）</w:t>
      </w:r>
    </w:p>
    <w:p w14:paraId="55C6CFA1">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2.三维数据模型：设计单位在中标后，设计方案通过确认后30天内提交三维数据模型（通用3ds max格式）。并有责任协助市重点项目管理中心将其他设计单位提供的三维数据模型进行整合工作。</w:t>
      </w:r>
    </w:p>
    <w:p w14:paraId="471840BC">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投资3亿元及以上的项目提交政府有关部门进行方案评审的资料增加5分钟方案演示动画并配解说。（如有）</w:t>
      </w:r>
    </w:p>
    <w:p w14:paraId="08783FB2">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3.实体模型：实施方案确定后，提交实体模型（根据甲方工作需要）。</w:t>
      </w:r>
    </w:p>
    <w:p w14:paraId="08304983">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4.工程勘察成果文件（包括但不限于）</w:t>
      </w:r>
    </w:p>
    <w:p w14:paraId="3F80E2C2">
      <w:pPr>
        <w:spacing w:line="360" w:lineRule="auto"/>
        <w:ind w:firstLine="360" w:firstLineChars="150"/>
        <w:rPr>
          <w:rFonts w:ascii="宋体" w:hAnsi="宋体" w:cs="Courier New"/>
          <w:color w:val="000000"/>
          <w:sz w:val="24"/>
          <w:szCs w:val="21"/>
        </w:rPr>
      </w:pPr>
      <w:r>
        <w:rPr>
          <w:rFonts w:hint="eastAsia" w:ascii="宋体" w:hAnsi="宋体" w:cs="Courier New"/>
          <w:color w:val="000000"/>
          <w:sz w:val="24"/>
          <w:szCs w:val="21"/>
        </w:rPr>
        <w:t>（1）工程可行性研究阶段</w:t>
      </w:r>
    </w:p>
    <w:p w14:paraId="4E8800D8">
      <w:pPr>
        <w:spacing w:line="360" w:lineRule="auto"/>
        <w:ind w:firstLine="360" w:firstLineChars="150"/>
        <w:rPr>
          <w:rFonts w:ascii="宋体" w:hAnsi="宋体" w:cs="Courier New"/>
          <w:color w:val="000000"/>
          <w:sz w:val="24"/>
          <w:szCs w:val="21"/>
        </w:rPr>
      </w:pPr>
      <w:r>
        <w:rPr>
          <w:rFonts w:hint="eastAsia" w:ascii="宋体" w:hAnsi="宋体" w:cs="Courier New"/>
          <w:color w:val="000000"/>
          <w:sz w:val="24"/>
          <w:szCs w:val="21"/>
        </w:rPr>
        <w:t>《岩土工程勘察大纲》</w:t>
      </w:r>
    </w:p>
    <w:p w14:paraId="52954C8A">
      <w:pPr>
        <w:spacing w:line="360" w:lineRule="auto"/>
        <w:ind w:firstLine="360" w:firstLineChars="150"/>
        <w:rPr>
          <w:rFonts w:ascii="宋体" w:hAnsi="宋体" w:cs="Courier New"/>
          <w:color w:val="000000"/>
          <w:sz w:val="24"/>
          <w:szCs w:val="21"/>
        </w:rPr>
      </w:pPr>
      <w:r>
        <w:rPr>
          <w:rFonts w:hint="eastAsia" w:ascii="宋体" w:hAnsi="宋体" w:cs="Courier New"/>
          <w:color w:val="000000"/>
          <w:sz w:val="24"/>
          <w:szCs w:val="21"/>
        </w:rPr>
        <w:t>《工程测量大纲》</w:t>
      </w:r>
    </w:p>
    <w:p w14:paraId="44A61D74">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1：500数字地形图和1：1000彩色正射影像图</w:t>
      </w:r>
    </w:p>
    <w:p w14:paraId="33C4C462">
      <w:pPr>
        <w:spacing w:line="360" w:lineRule="auto"/>
        <w:ind w:firstLine="360" w:firstLineChars="150"/>
        <w:rPr>
          <w:rFonts w:ascii="宋体" w:hAnsi="宋体" w:cs="Courier New"/>
          <w:color w:val="000000"/>
          <w:sz w:val="24"/>
          <w:szCs w:val="21"/>
        </w:rPr>
      </w:pPr>
      <w:r>
        <w:rPr>
          <w:rFonts w:hint="eastAsia" w:ascii="宋体" w:hAnsi="宋体" w:cs="Courier New"/>
          <w:color w:val="000000"/>
          <w:sz w:val="24"/>
          <w:szCs w:val="21"/>
        </w:rPr>
        <w:t>（2）初步设计阶段</w:t>
      </w:r>
    </w:p>
    <w:p w14:paraId="1EAEA3E4">
      <w:pPr>
        <w:spacing w:line="360" w:lineRule="auto"/>
        <w:ind w:firstLine="424" w:firstLineChars="177"/>
        <w:rPr>
          <w:rFonts w:ascii="宋体" w:hAnsi="宋体" w:cs="Courier New"/>
          <w:color w:val="000000"/>
          <w:sz w:val="24"/>
          <w:szCs w:val="21"/>
        </w:rPr>
      </w:pPr>
      <w:r>
        <w:rPr>
          <w:rFonts w:hint="eastAsia" w:ascii="宋体" w:hAnsi="宋体" w:cs="Courier New"/>
          <w:color w:val="000000"/>
          <w:sz w:val="24"/>
          <w:szCs w:val="21"/>
        </w:rPr>
        <w:t>《初勘阶段岩土工程勘察技术要求及验收标准》</w:t>
      </w:r>
    </w:p>
    <w:p w14:paraId="2CD235D3">
      <w:pPr>
        <w:spacing w:line="360" w:lineRule="auto"/>
        <w:ind w:firstLine="424" w:firstLineChars="177"/>
        <w:rPr>
          <w:rFonts w:ascii="宋体" w:hAnsi="宋体" w:cs="Courier New"/>
          <w:color w:val="000000"/>
          <w:sz w:val="24"/>
          <w:szCs w:val="21"/>
        </w:rPr>
      </w:pPr>
      <w:r>
        <w:rPr>
          <w:rFonts w:hint="eastAsia" w:ascii="宋体" w:hAnsi="宋体" w:cs="Courier New"/>
          <w:color w:val="000000"/>
          <w:sz w:val="24"/>
          <w:szCs w:val="21"/>
        </w:rPr>
        <w:t>《初勘阶段岩土工程勘察大纲》</w:t>
      </w:r>
    </w:p>
    <w:p w14:paraId="1767AAE2">
      <w:pPr>
        <w:spacing w:line="360" w:lineRule="auto"/>
        <w:ind w:firstLine="424" w:firstLineChars="177"/>
        <w:rPr>
          <w:rFonts w:ascii="宋体" w:hAnsi="宋体" w:cs="Courier New"/>
          <w:color w:val="000000"/>
          <w:sz w:val="24"/>
          <w:szCs w:val="21"/>
        </w:rPr>
      </w:pPr>
      <w:r>
        <w:rPr>
          <w:rFonts w:hint="eastAsia" w:ascii="宋体" w:hAnsi="宋体" w:cs="Courier New"/>
          <w:color w:val="000000"/>
          <w:sz w:val="24"/>
          <w:szCs w:val="21"/>
        </w:rPr>
        <w:t>《初勘阶段岩土工程勘察报告》</w:t>
      </w:r>
    </w:p>
    <w:p w14:paraId="7F1361A9">
      <w:pPr>
        <w:spacing w:line="360" w:lineRule="auto"/>
        <w:ind w:firstLine="424" w:firstLineChars="177"/>
        <w:rPr>
          <w:rFonts w:ascii="宋体" w:hAnsi="宋体" w:cs="Courier New"/>
          <w:color w:val="000000"/>
          <w:sz w:val="24"/>
          <w:szCs w:val="21"/>
        </w:rPr>
      </w:pPr>
      <w:r>
        <w:rPr>
          <w:rFonts w:hint="eastAsia" w:ascii="宋体" w:hAnsi="宋体" w:cs="Courier New"/>
          <w:color w:val="000000"/>
          <w:sz w:val="24"/>
          <w:szCs w:val="21"/>
        </w:rPr>
        <w:t>《初测技术要求》</w:t>
      </w:r>
    </w:p>
    <w:p w14:paraId="25968E20">
      <w:pPr>
        <w:spacing w:line="360" w:lineRule="auto"/>
        <w:ind w:firstLine="424" w:firstLineChars="177"/>
        <w:rPr>
          <w:rFonts w:ascii="宋体" w:hAnsi="宋体" w:cs="Courier New"/>
          <w:color w:val="000000"/>
          <w:sz w:val="24"/>
          <w:szCs w:val="21"/>
        </w:rPr>
      </w:pPr>
      <w:r>
        <w:rPr>
          <w:rFonts w:hint="eastAsia" w:ascii="宋体" w:hAnsi="宋体" w:cs="Courier New"/>
          <w:color w:val="000000"/>
          <w:sz w:val="24"/>
          <w:szCs w:val="21"/>
        </w:rPr>
        <w:t>《工程初测报告》</w:t>
      </w:r>
    </w:p>
    <w:p w14:paraId="1BD733AD">
      <w:pPr>
        <w:spacing w:line="360" w:lineRule="auto"/>
        <w:ind w:firstLine="424" w:firstLineChars="177"/>
        <w:rPr>
          <w:rFonts w:ascii="宋体" w:hAnsi="宋体" w:cs="Courier New"/>
          <w:color w:val="000000"/>
          <w:sz w:val="24"/>
          <w:szCs w:val="21"/>
        </w:rPr>
      </w:pPr>
      <w:r>
        <w:rPr>
          <w:rFonts w:hint="eastAsia" w:ascii="宋体" w:hAnsi="宋体" w:cs="Courier New"/>
          <w:color w:val="000000"/>
          <w:sz w:val="24"/>
          <w:szCs w:val="21"/>
        </w:rPr>
        <w:t>《测量技术设计书》</w:t>
      </w:r>
    </w:p>
    <w:p w14:paraId="29E6235B">
      <w:pPr>
        <w:spacing w:line="360" w:lineRule="auto"/>
        <w:ind w:firstLine="424" w:firstLineChars="177"/>
        <w:rPr>
          <w:rFonts w:ascii="宋体" w:hAnsi="宋体" w:cs="Courier New"/>
          <w:color w:val="000000"/>
          <w:sz w:val="24"/>
          <w:szCs w:val="21"/>
        </w:rPr>
      </w:pPr>
      <w:r>
        <w:rPr>
          <w:rFonts w:hint="eastAsia" w:ascii="宋体" w:hAnsi="宋体" w:cs="Courier New"/>
          <w:color w:val="000000"/>
          <w:sz w:val="24"/>
          <w:szCs w:val="21"/>
        </w:rPr>
        <w:t>（3）施工图设计阶段</w:t>
      </w:r>
    </w:p>
    <w:p w14:paraId="7CE713AD">
      <w:pPr>
        <w:spacing w:line="360" w:lineRule="auto"/>
        <w:ind w:firstLine="424" w:firstLineChars="177"/>
        <w:rPr>
          <w:rFonts w:ascii="宋体" w:hAnsi="宋体" w:cs="Courier New"/>
          <w:color w:val="000000"/>
          <w:sz w:val="24"/>
          <w:szCs w:val="21"/>
        </w:rPr>
      </w:pPr>
      <w:r>
        <w:rPr>
          <w:rFonts w:hint="eastAsia" w:ascii="宋体" w:hAnsi="宋体" w:cs="Courier New"/>
          <w:color w:val="000000"/>
          <w:sz w:val="24"/>
          <w:szCs w:val="21"/>
        </w:rPr>
        <w:t>《详勘阶段岩土工程勘察技术要求及验收标准》</w:t>
      </w:r>
    </w:p>
    <w:p w14:paraId="47EAC7D6">
      <w:pPr>
        <w:spacing w:line="360" w:lineRule="auto"/>
        <w:ind w:firstLine="424" w:firstLineChars="177"/>
        <w:rPr>
          <w:rFonts w:ascii="宋体" w:hAnsi="宋体" w:cs="Courier New"/>
          <w:color w:val="000000"/>
          <w:sz w:val="24"/>
          <w:szCs w:val="21"/>
        </w:rPr>
      </w:pPr>
      <w:r>
        <w:rPr>
          <w:rFonts w:hint="eastAsia" w:ascii="宋体" w:hAnsi="宋体" w:cs="Courier New"/>
          <w:color w:val="000000"/>
          <w:sz w:val="24"/>
          <w:szCs w:val="21"/>
        </w:rPr>
        <w:t>《详勘阶段岩土工程勘察大纲》</w:t>
      </w:r>
    </w:p>
    <w:p w14:paraId="15013D7A">
      <w:pPr>
        <w:spacing w:line="360" w:lineRule="auto"/>
        <w:ind w:firstLine="424" w:firstLineChars="177"/>
        <w:rPr>
          <w:rFonts w:ascii="宋体" w:hAnsi="宋体" w:cs="Courier New"/>
          <w:color w:val="000000"/>
          <w:sz w:val="24"/>
          <w:szCs w:val="21"/>
        </w:rPr>
      </w:pPr>
      <w:r>
        <w:rPr>
          <w:rFonts w:hint="eastAsia" w:ascii="宋体" w:hAnsi="宋体" w:cs="Courier New"/>
          <w:color w:val="000000"/>
          <w:sz w:val="24"/>
          <w:szCs w:val="21"/>
        </w:rPr>
        <w:t>《详勘阶段岩土工程勘察报告》</w:t>
      </w:r>
    </w:p>
    <w:p w14:paraId="6BA037E7">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《定测技术要求》</w:t>
      </w:r>
    </w:p>
    <w:p w14:paraId="7C8D76CD">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《定测报告》</w:t>
      </w:r>
    </w:p>
    <w:p w14:paraId="5A13873D">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《地面平面高程控制网复测技术设计书》</w:t>
      </w:r>
    </w:p>
    <w:p w14:paraId="3A38173C">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《地面平面高程控制网复测成果》</w:t>
      </w:r>
    </w:p>
    <w:p w14:paraId="14E03E1A">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《地面平面高程控制网复测报告》</w:t>
      </w:r>
    </w:p>
    <w:p w14:paraId="79BB3519">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5.造价成果文件（包括但不限于）</w:t>
      </w:r>
    </w:p>
    <w:p w14:paraId="1DF0EF21">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除按要求提交概算、预算成果外，需要依据《广州市人民政府关于印发广州市工程建设项目审批制度改革试点实施方案的通知》（穗府[2018]12号）、《广州市住房和城乡建设局关于印发政府投资类工程建设项目概算审核工作指引的通知》的要求，准备设计图纸等送审资料，并配合行政主管部门的核审工作。</w:t>
      </w:r>
    </w:p>
    <w:p w14:paraId="3F127FF5">
      <w:pPr>
        <w:pStyle w:val="3"/>
        <w:spacing w:before="156" w:after="156"/>
        <w:rPr>
          <w:color w:val="000000"/>
        </w:rPr>
      </w:pPr>
      <w:bookmarkStart w:id="138" w:name="_Toc168047430"/>
      <w:bookmarkStart w:id="139" w:name="_Toc387398882"/>
      <w:bookmarkStart w:id="140" w:name="_Toc447612414"/>
      <w:bookmarkStart w:id="141" w:name="_Toc452973749"/>
      <w:bookmarkStart w:id="142" w:name="_Toc447612893"/>
      <w:bookmarkStart w:id="143" w:name="_Toc17025"/>
      <w:bookmarkStart w:id="144" w:name="_Toc452558340"/>
      <w:bookmarkStart w:id="145" w:name="_Toc452558110"/>
      <w:r>
        <w:rPr>
          <w:color w:val="000000"/>
        </w:rPr>
        <w:t>5.4</w:t>
      </w:r>
      <w:r>
        <w:rPr>
          <w:rFonts w:hint="eastAsia"/>
          <w:color w:val="000000"/>
        </w:rPr>
        <w:t>提交设计资料要求</w:t>
      </w:r>
      <w:bookmarkEnd w:id="138"/>
      <w:bookmarkEnd w:id="139"/>
      <w:bookmarkEnd w:id="140"/>
      <w:bookmarkEnd w:id="141"/>
      <w:bookmarkEnd w:id="142"/>
      <w:bookmarkEnd w:id="143"/>
      <w:bookmarkEnd w:id="144"/>
      <w:bookmarkEnd w:id="145"/>
    </w:p>
    <w:p w14:paraId="43C3B1F8">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1.中标设计单位设计成果文件的提交时间以符合合同约定质量的设计成果文件的提交时间为准。设计成果文件提交的时间及份数如下</w:t>
      </w:r>
    </w:p>
    <w:p w14:paraId="458F5A60">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表6-1 设计各阶段提交时间控制表</w:t>
      </w:r>
    </w:p>
    <w:tbl>
      <w:tblPr>
        <w:tblStyle w:val="43"/>
        <w:tblW w:w="9570" w:type="dxa"/>
        <w:tblInd w:w="0" w:type="dxa"/>
        <w:tblLayout w:type="fixed"/>
        <w:tblCellMar>
          <w:top w:w="0" w:type="dxa"/>
          <w:left w:w="108" w:type="dxa"/>
          <w:bottom w:w="0" w:type="dxa"/>
          <w:right w:w="108" w:type="dxa"/>
        </w:tblCellMar>
      </w:tblPr>
      <w:tblGrid>
        <w:gridCol w:w="817"/>
        <w:gridCol w:w="1135"/>
        <w:gridCol w:w="778"/>
        <w:gridCol w:w="1914"/>
        <w:gridCol w:w="1560"/>
        <w:gridCol w:w="1559"/>
        <w:gridCol w:w="1807"/>
      </w:tblGrid>
      <w:tr w14:paraId="7CF5B30B">
        <w:tblPrEx>
          <w:tblCellMar>
            <w:top w:w="0" w:type="dxa"/>
            <w:left w:w="108" w:type="dxa"/>
            <w:bottom w:w="0" w:type="dxa"/>
            <w:right w:w="108" w:type="dxa"/>
          </w:tblCellMar>
        </w:tblPrEx>
        <w:trPr>
          <w:trHeight w:val="285" w:hRule="atLeast"/>
        </w:trPr>
        <w:tc>
          <w:tcPr>
            <w:tcW w:w="817" w:type="dxa"/>
            <w:tcBorders>
              <w:top w:val="single" w:color="auto" w:sz="4" w:space="0"/>
              <w:left w:val="single" w:color="auto" w:sz="4" w:space="0"/>
              <w:bottom w:val="single" w:color="auto" w:sz="4" w:space="0"/>
              <w:right w:val="single" w:color="auto" w:sz="4" w:space="0"/>
            </w:tcBorders>
            <w:vAlign w:val="center"/>
          </w:tcPr>
          <w:p w14:paraId="278AE234">
            <w:pPr>
              <w:spacing w:line="360" w:lineRule="auto"/>
              <w:rPr>
                <w:rFonts w:ascii="宋体" w:hAnsi="宋体" w:cs="Courier New"/>
                <w:color w:val="000000"/>
                <w:sz w:val="24"/>
                <w:szCs w:val="21"/>
              </w:rPr>
            </w:pPr>
            <w:r>
              <w:rPr>
                <w:rFonts w:hint="eastAsia" w:ascii="宋体" w:hAnsi="宋体" w:cs="Courier New"/>
                <w:color w:val="000000"/>
                <w:sz w:val="24"/>
                <w:szCs w:val="21"/>
              </w:rPr>
              <w:t>序号</w:t>
            </w:r>
          </w:p>
        </w:tc>
        <w:tc>
          <w:tcPr>
            <w:tcW w:w="3827" w:type="dxa"/>
            <w:gridSpan w:val="3"/>
            <w:tcBorders>
              <w:top w:val="single" w:color="auto" w:sz="4" w:space="0"/>
              <w:left w:val="nil"/>
              <w:bottom w:val="single" w:color="auto" w:sz="4" w:space="0"/>
              <w:right w:val="single" w:color="auto" w:sz="4" w:space="0"/>
            </w:tcBorders>
            <w:vAlign w:val="center"/>
          </w:tcPr>
          <w:p w14:paraId="1614A9C1">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资料及文件名称</w:t>
            </w:r>
          </w:p>
        </w:tc>
        <w:tc>
          <w:tcPr>
            <w:tcW w:w="1560" w:type="dxa"/>
            <w:tcBorders>
              <w:top w:val="single" w:color="auto" w:sz="4" w:space="0"/>
              <w:left w:val="nil"/>
              <w:bottom w:val="single" w:color="auto" w:sz="4" w:space="0"/>
              <w:right w:val="single" w:color="auto" w:sz="4" w:space="0"/>
            </w:tcBorders>
            <w:vAlign w:val="center"/>
          </w:tcPr>
          <w:p w14:paraId="31C101D1">
            <w:pPr>
              <w:rPr>
                <w:rFonts w:ascii="宋体" w:hAnsi="宋体" w:cs="Courier New"/>
                <w:color w:val="000000"/>
                <w:sz w:val="24"/>
                <w:szCs w:val="21"/>
              </w:rPr>
            </w:pPr>
            <w:r>
              <w:rPr>
                <w:rFonts w:hint="eastAsia" w:ascii="宋体" w:hAnsi="宋体" w:cs="Courier New"/>
                <w:color w:val="000000"/>
                <w:sz w:val="24"/>
                <w:szCs w:val="21"/>
              </w:rPr>
              <w:t>提交日期</w:t>
            </w:r>
          </w:p>
        </w:tc>
        <w:tc>
          <w:tcPr>
            <w:tcW w:w="1559" w:type="dxa"/>
            <w:tcBorders>
              <w:top w:val="single" w:color="auto" w:sz="4" w:space="0"/>
              <w:left w:val="nil"/>
              <w:bottom w:val="single" w:color="auto" w:sz="4" w:space="0"/>
              <w:right w:val="single" w:color="auto" w:sz="4" w:space="0"/>
            </w:tcBorders>
            <w:vAlign w:val="center"/>
          </w:tcPr>
          <w:p w14:paraId="546F8B50">
            <w:pPr>
              <w:rPr>
                <w:rFonts w:ascii="宋体" w:hAnsi="宋体" w:cs="Courier New"/>
                <w:color w:val="000000"/>
                <w:sz w:val="24"/>
                <w:szCs w:val="21"/>
              </w:rPr>
            </w:pPr>
            <w:r>
              <w:rPr>
                <w:rFonts w:hint="eastAsia" w:ascii="宋体" w:hAnsi="宋体" w:cs="Courier New"/>
                <w:color w:val="000000"/>
                <w:sz w:val="24"/>
                <w:szCs w:val="21"/>
              </w:rPr>
              <w:t>份数</w:t>
            </w:r>
          </w:p>
        </w:tc>
        <w:tc>
          <w:tcPr>
            <w:tcW w:w="1807" w:type="dxa"/>
            <w:tcBorders>
              <w:top w:val="single" w:color="auto" w:sz="4" w:space="0"/>
              <w:left w:val="nil"/>
              <w:bottom w:val="single" w:color="auto" w:sz="4" w:space="0"/>
              <w:right w:val="single" w:color="auto" w:sz="4" w:space="0"/>
            </w:tcBorders>
            <w:vAlign w:val="center"/>
          </w:tcPr>
          <w:p w14:paraId="5640547A">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备注</w:t>
            </w:r>
          </w:p>
        </w:tc>
      </w:tr>
      <w:tr w14:paraId="13D5E199">
        <w:tblPrEx>
          <w:tblCellMar>
            <w:top w:w="0" w:type="dxa"/>
            <w:left w:w="108" w:type="dxa"/>
            <w:bottom w:w="0" w:type="dxa"/>
            <w:right w:w="108" w:type="dxa"/>
          </w:tblCellMar>
        </w:tblPrEx>
        <w:trPr>
          <w:trHeight w:val="285" w:hRule="atLeast"/>
        </w:trPr>
        <w:tc>
          <w:tcPr>
            <w:tcW w:w="817" w:type="dxa"/>
            <w:vMerge w:val="restart"/>
            <w:tcBorders>
              <w:top w:val="single" w:color="auto" w:sz="4" w:space="0"/>
              <w:left w:val="single" w:color="auto" w:sz="4" w:space="0"/>
              <w:right w:val="single" w:color="auto" w:sz="4" w:space="0"/>
            </w:tcBorders>
            <w:vAlign w:val="center"/>
          </w:tcPr>
          <w:p w14:paraId="78E2AE52">
            <w:pPr>
              <w:spacing w:line="360" w:lineRule="auto"/>
              <w:rPr>
                <w:rFonts w:ascii="宋体" w:hAnsi="宋体" w:cs="Courier New"/>
                <w:sz w:val="24"/>
                <w:szCs w:val="21"/>
              </w:rPr>
            </w:pPr>
            <w:r>
              <w:rPr>
                <w:rFonts w:hint="eastAsia" w:ascii="宋体" w:hAnsi="宋体" w:cs="Courier New"/>
                <w:sz w:val="24"/>
                <w:szCs w:val="21"/>
              </w:rPr>
              <w:t>1</w:t>
            </w:r>
          </w:p>
        </w:tc>
        <w:tc>
          <w:tcPr>
            <w:tcW w:w="1913" w:type="dxa"/>
            <w:gridSpan w:val="2"/>
            <w:vMerge w:val="restart"/>
            <w:tcBorders>
              <w:top w:val="single" w:color="auto" w:sz="4" w:space="0"/>
              <w:left w:val="nil"/>
              <w:right w:val="single" w:color="auto" w:sz="4" w:space="0"/>
            </w:tcBorders>
            <w:vAlign w:val="center"/>
          </w:tcPr>
          <w:p w14:paraId="2B466D69">
            <w:pPr>
              <w:spacing w:line="360" w:lineRule="auto"/>
              <w:rPr>
                <w:rFonts w:ascii="宋体" w:hAnsi="宋体" w:cs="Courier New"/>
                <w:sz w:val="20"/>
                <w:szCs w:val="20"/>
              </w:rPr>
            </w:pPr>
            <w:r>
              <w:rPr>
                <w:rFonts w:hint="eastAsia" w:ascii="宋体" w:hAnsi="宋体" w:cs="Courier New"/>
                <w:sz w:val="20"/>
                <w:szCs w:val="20"/>
              </w:rPr>
              <w:t>勘察设计成果文件</w:t>
            </w:r>
          </w:p>
        </w:tc>
        <w:tc>
          <w:tcPr>
            <w:tcW w:w="1914" w:type="dxa"/>
            <w:tcBorders>
              <w:top w:val="single" w:color="auto" w:sz="4" w:space="0"/>
              <w:left w:val="nil"/>
              <w:bottom w:val="single" w:color="auto" w:sz="4" w:space="0"/>
              <w:right w:val="single" w:color="auto" w:sz="4" w:space="0"/>
            </w:tcBorders>
            <w:vAlign w:val="center"/>
          </w:tcPr>
          <w:p w14:paraId="47E02518">
            <w:pPr>
              <w:rPr>
                <w:rFonts w:ascii="宋体" w:hAnsi="宋体" w:cs="Courier New"/>
                <w:sz w:val="20"/>
                <w:szCs w:val="20"/>
              </w:rPr>
            </w:pPr>
            <w:r>
              <w:rPr>
                <w:rFonts w:hint="eastAsia" w:ascii="宋体" w:hAnsi="宋体" w:cs="Courier New"/>
                <w:sz w:val="20"/>
                <w:szCs w:val="20"/>
              </w:rPr>
              <w:t>初步勘察成果文件（如有）</w:t>
            </w:r>
          </w:p>
        </w:tc>
        <w:tc>
          <w:tcPr>
            <w:tcW w:w="1560" w:type="dxa"/>
            <w:tcBorders>
              <w:top w:val="single" w:color="auto" w:sz="4" w:space="0"/>
              <w:left w:val="single" w:color="auto" w:sz="4" w:space="0"/>
              <w:bottom w:val="single" w:color="auto" w:sz="4" w:space="0"/>
              <w:right w:val="single" w:color="auto" w:sz="4" w:space="0"/>
            </w:tcBorders>
            <w:vAlign w:val="center"/>
          </w:tcPr>
          <w:p w14:paraId="7CFBDC49">
            <w:pPr>
              <w:rPr>
                <w:rFonts w:ascii="宋体" w:hAnsi="宋体" w:cs="Courier New"/>
                <w:sz w:val="20"/>
                <w:szCs w:val="20"/>
              </w:rPr>
            </w:pPr>
            <w:r>
              <w:rPr>
                <w:rFonts w:hint="eastAsia" w:ascii="宋体" w:hAnsi="宋体" w:cs="Courier New"/>
                <w:sz w:val="20"/>
                <w:szCs w:val="20"/>
              </w:rPr>
              <w:t>中标后30天内</w:t>
            </w:r>
          </w:p>
        </w:tc>
        <w:tc>
          <w:tcPr>
            <w:tcW w:w="1559" w:type="dxa"/>
            <w:tcBorders>
              <w:top w:val="single" w:color="auto" w:sz="4" w:space="0"/>
              <w:left w:val="nil"/>
              <w:bottom w:val="single" w:color="auto" w:sz="4" w:space="0"/>
              <w:right w:val="single" w:color="auto" w:sz="4" w:space="0"/>
            </w:tcBorders>
            <w:vAlign w:val="center"/>
          </w:tcPr>
          <w:p w14:paraId="653EE32A">
            <w:pPr>
              <w:rPr>
                <w:rFonts w:ascii="宋体" w:hAnsi="宋体" w:cs="Courier New"/>
                <w:sz w:val="20"/>
                <w:szCs w:val="20"/>
              </w:rPr>
            </w:pPr>
            <w:r>
              <w:rPr>
                <w:rFonts w:hint="eastAsia" w:ascii="宋体" w:hAnsi="宋体" w:cs="Courier New"/>
                <w:sz w:val="20"/>
                <w:szCs w:val="20"/>
              </w:rPr>
              <w:t>10份</w:t>
            </w:r>
          </w:p>
        </w:tc>
        <w:tc>
          <w:tcPr>
            <w:tcW w:w="1807" w:type="dxa"/>
            <w:tcBorders>
              <w:top w:val="single" w:color="auto" w:sz="4" w:space="0"/>
              <w:left w:val="nil"/>
              <w:bottom w:val="single" w:color="auto" w:sz="4" w:space="0"/>
              <w:right w:val="single" w:color="auto" w:sz="4" w:space="0"/>
            </w:tcBorders>
            <w:vAlign w:val="center"/>
          </w:tcPr>
          <w:p w14:paraId="389DABD5">
            <w:pPr>
              <w:spacing w:line="360" w:lineRule="auto"/>
              <w:rPr>
                <w:rFonts w:ascii="宋体" w:hAnsi="宋体" w:cs="Courier New"/>
                <w:sz w:val="24"/>
                <w:szCs w:val="21"/>
              </w:rPr>
            </w:pPr>
            <w:r>
              <w:rPr>
                <w:rFonts w:hint="eastAsia" w:ascii="宋体" w:hAnsi="宋体" w:cs="Courier New"/>
                <w:sz w:val="20"/>
                <w:szCs w:val="20"/>
              </w:rPr>
              <w:t>电子文档各2份</w:t>
            </w:r>
          </w:p>
        </w:tc>
      </w:tr>
      <w:tr w14:paraId="4CC489B1">
        <w:tblPrEx>
          <w:tblCellMar>
            <w:top w:w="0" w:type="dxa"/>
            <w:left w:w="108" w:type="dxa"/>
            <w:bottom w:w="0" w:type="dxa"/>
            <w:right w:w="108" w:type="dxa"/>
          </w:tblCellMar>
        </w:tblPrEx>
        <w:trPr>
          <w:trHeight w:val="285" w:hRule="atLeast"/>
        </w:trPr>
        <w:tc>
          <w:tcPr>
            <w:tcW w:w="817" w:type="dxa"/>
            <w:vMerge w:val="continue"/>
            <w:tcBorders>
              <w:left w:val="single" w:color="auto" w:sz="4" w:space="0"/>
              <w:bottom w:val="single" w:color="auto" w:sz="4" w:space="0"/>
              <w:right w:val="single" w:color="auto" w:sz="4" w:space="0"/>
            </w:tcBorders>
            <w:vAlign w:val="center"/>
          </w:tcPr>
          <w:p w14:paraId="0F3C6E8C">
            <w:pPr>
              <w:spacing w:line="360" w:lineRule="auto"/>
              <w:rPr>
                <w:rFonts w:ascii="宋体" w:hAnsi="宋体" w:cs="Courier New"/>
                <w:sz w:val="24"/>
                <w:szCs w:val="21"/>
              </w:rPr>
            </w:pPr>
          </w:p>
        </w:tc>
        <w:tc>
          <w:tcPr>
            <w:tcW w:w="1913" w:type="dxa"/>
            <w:gridSpan w:val="2"/>
            <w:vMerge w:val="continue"/>
            <w:tcBorders>
              <w:left w:val="nil"/>
              <w:bottom w:val="single" w:color="auto" w:sz="4" w:space="0"/>
              <w:right w:val="single" w:color="auto" w:sz="4" w:space="0"/>
            </w:tcBorders>
            <w:vAlign w:val="center"/>
          </w:tcPr>
          <w:p w14:paraId="1C699AAC">
            <w:pPr>
              <w:spacing w:line="360" w:lineRule="auto"/>
              <w:ind w:firstLine="480" w:firstLineChars="200"/>
              <w:rPr>
                <w:rFonts w:ascii="宋体" w:hAnsi="宋体" w:cs="Courier New"/>
                <w:sz w:val="24"/>
                <w:szCs w:val="21"/>
              </w:rPr>
            </w:pPr>
          </w:p>
        </w:tc>
        <w:tc>
          <w:tcPr>
            <w:tcW w:w="1914" w:type="dxa"/>
            <w:tcBorders>
              <w:top w:val="single" w:color="auto" w:sz="4" w:space="0"/>
              <w:left w:val="nil"/>
              <w:bottom w:val="single" w:color="auto" w:sz="4" w:space="0"/>
              <w:right w:val="single" w:color="auto" w:sz="4" w:space="0"/>
            </w:tcBorders>
            <w:vAlign w:val="center"/>
          </w:tcPr>
          <w:p w14:paraId="1A5F799A">
            <w:pPr>
              <w:rPr>
                <w:rFonts w:ascii="宋体" w:hAnsi="宋体" w:cs="Courier New"/>
                <w:sz w:val="20"/>
                <w:szCs w:val="20"/>
              </w:rPr>
            </w:pPr>
            <w:r>
              <w:rPr>
                <w:rFonts w:hint="eastAsia" w:ascii="宋体" w:hAnsi="宋体" w:cs="Courier New"/>
                <w:sz w:val="20"/>
                <w:szCs w:val="20"/>
              </w:rPr>
              <w:t>详细勘察成果文件</w:t>
            </w:r>
          </w:p>
        </w:tc>
        <w:tc>
          <w:tcPr>
            <w:tcW w:w="1560" w:type="dxa"/>
            <w:tcBorders>
              <w:top w:val="single" w:color="auto" w:sz="4" w:space="0"/>
              <w:left w:val="single" w:color="auto" w:sz="4" w:space="0"/>
              <w:bottom w:val="single" w:color="auto" w:sz="4" w:space="0"/>
              <w:right w:val="single" w:color="auto" w:sz="4" w:space="0"/>
            </w:tcBorders>
            <w:vAlign w:val="center"/>
          </w:tcPr>
          <w:p w14:paraId="5BC8B680">
            <w:pPr>
              <w:rPr>
                <w:rFonts w:ascii="宋体" w:hAnsi="宋体" w:cs="Courier New"/>
                <w:sz w:val="24"/>
                <w:szCs w:val="21"/>
              </w:rPr>
            </w:pPr>
            <w:r>
              <w:rPr>
                <w:rFonts w:hint="eastAsia" w:ascii="宋体" w:hAnsi="宋体" w:cs="Courier New"/>
                <w:sz w:val="20"/>
                <w:szCs w:val="20"/>
              </w:rPr>
              <w:t>中标后60天内</w:t>
            </w:r>
          </w:p>
        </w:tc>
        <w:tc>
          <w:tcPr>
            <w:tcW w:w="1559" w:type="dxa"/>
            <w:tcBorders>
              <w:top w:val="single" w:color="auto" w:sz="4" w:space="0"/>
              <w:left w:val="nil"/>
              <w:bottom w:val="single" w:color="auto" w:sz="4" w:space="0"/>
              <w:right w:val="single" w:color="auto" w:sz="4" w:space="0"/>
            </w:tcBorders>
            <w:vAlign w:val="center"/>
          </w:tcPr>
          <w:p w14:paraId="3E0E3720">
            <w:pPr>
              <w:rPr>
                <w:rFonts w:ascii="宋体" w:hAnsi="宋体" w:cs="Courier New"/>
                <w:sz w:val="24"/>
                <w:szCs w:val="21"/>
              </w:rPr>
            </w:pPr>
            <w:r>
              <w:rPr>
                <w:rFonts w:hint="eastAsia" w:ascii="宋体" w:hAnsi="宋体" w:cs="Courier New"/>
                <w:sz w:val="20"/>
                <w:szCs w:val="20"/>
              </w:rPr>
              <w:t>20份</w:t>
            </w:r>
          </w:p>
        </w:tc>
        <w:tc>
          <w:tcPr>
            <w:tcW w:w="1807" w:type="dxa"/>
            <w:tcBorders>
              <w:top w:val="single" w:color="auto" w:sz="4" w:space="0"/>
              <w:left w:val="nil"/>
              <w:bottom w:val="single" w:color="auto" w:sz="4" w:space="0"/>
              <w:right w:val="single" w:color="auto" w:sz="4" w:space="0"/>
            </w:tcBorders>
            <w:vAlign w:val="center"/>
          </w:tcPr>
          <w:p w14:paraId="42658C4F">
            <w:pPr>
              <w:spacing w:line="360" w:lineRule="auto"/>
              <w:rPr>
                <w:rFonts w:ascii="宋体" w:hAnsi="宋体" w:cs="Courier New"/>
                <w:color w:val="FF0000"/>
                <w:sz w:val="24"/>
                <w:szCs w:val="21"/>
              </w:rPr>
            </w:pPr>
            <w:r>
              <w:rPr>
                <w:rFonts w:hint="eastAsia" w:ascii="宋体" w:hAnsi="宋体" w:cs="Courier New"/>
                <w:sz w:val="20"/>
                <w:szCs w:val="20"/>
              </w:rPr>
              <w:t>电子文档各2份</w:t>
            </w:r>
          </w:p>
        </w:tc>
      </w:tr>
      <w:tr w14:paraId="13D25BDB">
        <w:tblPrEx>
          <w:tblCellMar>
            <w:top w:w="0" w:type="dxa"/>
            <w:left w:w="108" w:type="dxa"/>
            <w:bottom w:w="0" w:type="dxa"/>
            <w:right w:w="108" w:type="dxa"/>
          </w:tblCellMar>
        </w:tblPrEx>
        <w:trPr>
          <w:trHeight w:val="285" w:hRule="atLeast"/>
        </w:trPr>
        <w:tc>
          <w:tcPr>
            <w:tcW w:w="817" w:type="dxa"/>
            <w:tcBorders>
              <w:top w:val="single" w:color="auto" w:sz="4" w:space="0"/>
              <w:left w:val="single" w:color="auto" w:sz="4" w:space="0"/>
              <w:bottom w:val="single" w:color="auto" w:sz="4" w:space="0"/>
              <w:right w:val="single" w:color="auto" w:sz="4" w:space="0"/>
            </w:tcBorders>
            <w:vAlign w:val="center"/>
          </w:tcPr>
          <w:p w14:paraId="2AE320B8">
            <w:pPr>
              <w:rPr>
                <w:rFonts w:ascii="宋体" w:hAnsi="宋体" w:cs="Courier New"/>
                <w:color w:val="000000"/>
                <w:sz w:val="20"/>
                <w:szCs w:val="20"/>
              </w:rPr>
            </w:pPr>
            <w:r>
              <w:rPr>
                <w:rFonts w:hint="eastAsia" w:ascii="宋体" w:hAnsi="宋体" w:cs="Courier New"/>
                <w:color w:val="000000"/>
                <w:sz w:val="20"/>
                <w:szCs w:val="20"/>
              </w:rPr>
              <w:t>2</w:t>
            </w:r>
          </w:p>
        </w:tc>
        <w:tc>
          <w:tcPr>
            <w:tcW w:w="3827" w:type="dxa"/>
            <w:gridSpan w:val="3"/>
            <w:tcBorders>
              <w:top w:val="single" w:color="auto" w:sz="4" w:space="0"/>
              <w:left w:val="nil"/>
              <w:bottom w:val="single" w:color="auto" w:sz="4" w:space="0"/>
              <w:right w:val="single" w:color="auto" w:sz="4" w:space="0"/>
            </w:tcBorders>
            <w:vAlign w:val="center"/>
          </w:tcPr>
          <w:p w14:paraId="666B0F61">
            <w:pPr>
              <w:rPr>
                <w:rFonts w:ascii="宋体" w:hAnsi="宋体" w:cs="Courier New"/>
                <w:color w:val="000000"/>
                <w:sz w:val="20"/>
                <w:szCs w:val="20"/>
              </w:rPr>
            </w:pPr>
            <w:r>
              <w:rPr>
                <w:rFonts w:hint="eastAsia" w:ascii="宋体" w:hAnsi="宋体" w:cs="Courier New"/>
                <w:color w:val="000000"/>
                <w:sz w:val="20"/>
                <w:szCs w:val="20"/>
              </w:rPr>
              <w:t>深化方案设计成果文件（含修规设计、工程估算、三维数据模型）</w:t>
            </w:r>
          </w:p>
        </w:tc>
        <w:tc>
          <w:tcPr>
            <w:tcW w:w="1560" w:type="dxa"/>
            <w:tcBorders>
              <w:top w:val="single" w:color="auto" w:sz="4" w:space="0"/>
              <w:left w:val="nil"/>
              <w:bottom w:val="single" w:color="auto" w:sz="4" w:space="0"/>
              <w:right w:val="single" w:color="auto" w:sz="4" w:space="0"/>
            </w:tcBorders>
            <w:vAlign w:val="center"/>
          </w:tcPr>
          <w:p w14:paraId="3439E297">
            <w:pPr>
              <w:rPr>
                <w:rFonts w:ascii="宋体" w:hAnsi="宋体" w:cs="Courier New"/>
                <w:color w:val="000000"/>
                <w:sz w:val="20"/>
                <w:szCs w:val="20"/>
              </w:rPr>
            </w:pPr>
            <w:r>
              <w:rPr>
                <w:rFonts w:hint="eastAsia" w:ascii="宋体" w:hAnsi="宋体" w:cs="Courier New"/>
                <w:color w:val="000000"/>
                <w:sz w:val="20"/>
                <w:szCs w:val="20"/>
              </w:rPr>
              <w:t>中标并得到甲方书面修改要求后30天内</w:t>
            </w:r>
          </w:p>
        </w:tc>
        <w:tc>
          <w:tcPr>
            <w:tcW w:w="1559" w:type="dxa"/>
            <w:tcBorders>
              <w:top w:val="single" w:color="auto" w:sz="4" w:space="0"/>
              <w:left w:val="nil"/>
              <w:bottom w:val="single" w:color="auto" w:sz="4" w:space="0"/>
              <w:right w:val="single" w:color="auto" w:sz="4" w:space="0"/>
            </w:tcBorders>
            <w:vAlign w:val="center"/>
          </w:tcPr>
          <w:p w14:paraId="2BB69957">
            <w:pPr>
              <w:rPr>
                <w:rFonts w:ascii="宋体" w:hAnsi="宋体" w:cs="Courier New"/>
                <w:color w:val="000000"/>
                <w:sz w:val="20"/>
                <w:szCs w:val="20"/>
              </w:rPr>
            </w:pPr>
            <w:r>
              <w:rPr>
                <w:rFonts w:hint="eastAsia" w:ascii="宋体" w:hAnsi="宋体" w:cs="Courier New"/>
                <w:color w:val="000000"/>
                <w:sz w:val="20"/>
                <w:szCs w:val="20"/>
              </w:rPr>
              <w:t>6，或按甲方要求提供</w:t>
            </w:r>
          </w:p>
        </w:tc>
        <w:tc>
          <w:tcPr>
            <w:tcW w:w="1807" w:type="dxa"/>
            <w:tcBorders>
              <w:top w:val="single" w:color="auto" w:sz="4" w:space="0"/>
              <w:left w:val="nil"/>
              <w:bottom w:val="single" w:color="auto" w:sz="4" w:space="0"/>
              <w:right w:val="single" w:color="auto" w:sz="4" w:space="0"/>
            </w:tcBorders>
            <w:vAlign w:val="center"/>
          </w:tcPr>
          <w:p w14:paraId="17257A52">
            <w:pPr>
              <w:rPr>
                <w:rFonts w:ascii="宋体" w:hAnsi="宋体" w:cs="Courier New"/>
                <w:color w:val="000000"/>
                <w:sz w:val="20"/>
                <w:szCs w:val="20"/>
              </w:rPr>
            </w:pPr>
            <w:r>
              <w:rPr>
                <w:rFonts w:hint="eastAsia" w:ascii="宋体" w:hAnsi="宋体" w:cs="Courier New"/>
                <w:color w:val="000000"/>
                <w:sz w:val="20"/>
                <w:szCs w:val="20"/>
              </w:rPr>
              <w:t>电子文档1份</w:t>
            </w:r>
          </w:p>
        </w:tc>
      </w:tr>
      <w:tr w14:paraId="216DEC0D">
        <w:tblPrEx>
          <w:tblCellMar>
            <w:top w:w="0" w:type="dxa"/>
            <w:left w:w="108" w:type="dxa"/>
            <w:bottom w:w="0" w:type="dxa"/>
            <w:right w:w="108" w:type="dxa"/>
          </w:tblCellMar>
        </w:tblPrEx>
        <w:trPr>
          <w:trHeight w:val="285" w:hRule="atLeast"/>
        </w:trPr>
        <w:tc>
          <w:tcPr>
            <w:tcW w:w="817" w:type="dxa"/>
            <w:tcBorders>
              <w:top w:val="single" w:color="auto" w:sz="4" w:space="0"/>
              <w:left w:val="single" w:color="auto" w:sz="4" w:space="0"/>
              <w:bottom w:val="single" w:color="auto" w:sz="4" w:space="0"/>
              <w:right w:val="single" w:color="auto" w:sz="4" w:space="0"/>
            </w:tcBorders>
            <w:vAlign w:val="center"/>
          </w:tcPr>
          <w:p w14:paraId="081A9FA7">
            <w:pPr>
              <w:rPr>
                <w:rFonts w:ascii="宋体" w:hAnsi="宋体" w:cs="Courier New"/>
                <w:color w:val="000000"/>
                <w:sz w:val="20"/>
                <w:szCs w:val="20"/>
              </w:rPr>
            </w:pPr>
            <w:r>
              <w:rPr>
                <w:rFonts w:hint="eastAsia" w:ascii="宋体" w:hAnsi="宋体" w:cs="Courier New"/>
                <w:color w:val="000000"/>
                <w:sz w:val="20"/>
                <w:szCs w:val="20"/>
              </w:rPr>
              <w:t>3</w:t>
            </w:r>
          </w:p>
        </w:tc>
        <w:tc>
          <w:tcPr>
            <w:tcW w:w="3827" w:type="dxa"/>
            <w:gridSpan w:val="3"/>
            <w:tcBorders>
              <w:top w:val="single" w:color="auto" w:sz="4" w:space="0"/>
              <w:left w:val="nil"/>
              <w:bottom w:val="single" w:color="auto" w:sz="4" w:space="0"/>
              <w:right w:val="single" w:color="auto" w:sz="4" w:space="0"/>
            </w:tcBorders>
            <w:vAlign w:val="center"/>
          </w:tcPr>
          <w:p w14:paraId="006B7AE6">
            <w:pPr>
              <w:rPr>
                <w:rFonts w:ascii="宋体" w:hAnsi="宋体" w:cs="Courier New"/>
                <w:color w:val="000000"/>
                <w:sz w:val="20"/>
                <w:szCs w:val="20"/>
              </w:rPr>
            </w:pPr>
            <w:r>
              <w:rPr>
                <w:rFonts w:hint="eastAsia" w:ascii="宋体" w:hAnsi="宋体" w:cs="Courier New"/>
                <w:color w:val="000000"/>
                <w:sz w:val="20"/>
                <w:szCs w:val="20"/>
              </w:rPr>
              <w:t>规划报建相关设计成果文件</w:t>
            </w:r>
          </w:p>
        </w:tc>
        <w:tc>
          <w:tcPr>
            <w:tcW w:w="1560" w:type="dxa"/>
            <w:tcBorders>
              <w:top w:val="single" w:color="auto" w:sz="4" w:space="0"/>
              <w:left w:val="nil"/>
              <w:bottom w:val="single" w:color="auto" w:sz="4" w:space="0"/>
              <w:right w:val="single" w:color="auto" w:sz="4" w:space="0"/>
            </w:tcBorders>
            <w:vAlign w:val="center"/>
          </w:tcPr>
          <w:p w14:paraId="365689FE">
            <w:pPr>
              <w:rPr>
                <w:rFonts w:ascii="宋体" w:hAnsi="宋体" w:cs="Courier New"/>
                <w:color w:val="000000"/>
                <w:sz w:val="20"/>
                <w:szCs w:val="20"/>
              </w:rPr>
            </w:pPr>
            <w:r>
              <w:rPr>
                <w:rFonts w:hint="eastAsia" w:ascii="宋体" w:hAnsi="宋体" w:cs="Courier New"/>
                <w:color w:val="000000"/>
                <w:sz w:val="20"/>
                <w:szCs w:val="20"/>
              </w:rPr>
              <w:t>按工作计划</w:t>
            </w:r>
          </w:p>
        </w:tc>
        <w:tc>
          <w:tcPr>
            <w:tcW w:w="1559" w:type="dxa"/>
            <w:tcBorders>
              <w:top w:val="single" w:color="auto" w:sz="4" w:space="0"/>
              <w:left w:val="nil"/>
              <w:bottom w:val="single" w:color="auto" w:sz="4" w:space="0"/>
              <w:right w:val="single" w:color="auto" w:sz="4" w:space="0"/>
            </w:tcBorders>
            <w:vAlign w:val="center"/>
          </w:tcPr>
          <w:p w14:paraId="30F8B735">
            <w:pPr>
              <w:rPr>
                <w:rFonts w:ascii="宋体" w:hAnsi="宋体" w:cs="Courier New"/>
                <w:color w:val="000000"/>
                <w:sz w:val="20"/>
                <w:szCs w:val="20"/>
              </w:rPr>
            </w:pPr>
            <w:r>
              <w:rPr>
                <w:rFonts w:hint="eastAsia" w:ascii="宋体" w:hAnsi="宋体" w:cs="Courier New"/>
                <w:color w:val="000000"/>
                <w:sz w:val="20"/>
                <w:szCs w:val="20"/>
              </w:rPr>
              <w:t>按报建要求或甲方要求提供</w:t>
            </w:r>
          </w:p>
        </w:tc>
        <w:tc>
          <w:tcPr>
            <w:tcW w:w="1807" w:type="dxa"/>
            <w:tcBorders>
              <w:top w:val="single" w:color="auto" w:sz="4" w:space="0"/>
              <w:left w:val="nil"/>
              <w:bottom w:val="single" w:color="auto" w:sz="4" w:space="0"/>
              <w:right w:val="single" w:color="auto" w:sz="4" w:space="0"/>
            </w:tcBorders>
            <w:vAlign w:val="center"/>
          </w:tcPr>
          <w:p w14:paraId="50993AB4">
            <w:pPr>
              <w:rPr>
                <w:rFonts w:ascii="宋体" w:hAnsi="宋体" w:cs="Courier New"/>
                <w:color w:val="000000"/>
                <w:sz w:val="20"/>
                <w:szCs w:val="20"/>
              </w:rPr>
            </w:pPr>
            <w:r>
              <w:rPr>
                <w:rFonts w:hint="eastAsia" w:ascii="宋体" w:hAnsi="宋体" w:cs="Courier New"/>
                <w:color w:val="000000"/>
                <w:sz w:val="20"/>
                <w:szCs w:val="20"/>
              </w:rPr>
              <w:t>电子文档1份</w:t>
            </w:r>
          </w:p>
        </w:tc>
      </w:tr>
      <w:tr w14:paraId="15D5A911">
        <w:tblPrEx>
          <w:tblCellMar>
            <w:top w:w="0" w:type="dxa"/>
            <w:left w:w="108" w:type="dxa"/>
            <w:bottom w:w="0" w:type="dxa"/>
            <w:right w:w="108" w:type="dxa"/>
          </w:tblCellMar>
        </w:tblPrEx>
        <w:trPr>
          <w:trHeight w:val="285" w:hRule="atLeast"/>
        </w:trPr>
        <w:tc>
          <w:tcPr>
            <w:tcW w:w="817" w:type="dxa"/>
            <w:tcBorders>
              <w:top w:val="single" w:color="auto" w:sz="4" w:space="0"/>
              <w:left w:val="single" w:color="auto" w:sz="4" w:space="0"/>
              <w:bottom w:val="single" w:color="auto" w:sz="4" w:space="0"/>
              <w:right w:val="single" w:color="auto" w:sz="4" w:space="0"/>
            </w:tcBorders>
            <w:vAlign w:val="center"/>
          </w:tcPr>
          <w:p w14:paraId="11056E57">
            <w:pPr>
              <w:rPr>
                <w:rFonts w:ascii="宋体" w:hAnsi="宋体" w:cs="Courier New"/>
                <w:color w:val="000000"/>
                <w:sz w:val="20"/>
                <w:szCs w:val="20"/>
              </w:rPr>
            </w:pPr>
            <w:r>
              <w:rPr>
                <w:rFonts w:hint="eastAsia" w:ascii="宋体" w:hAnsi="宋体" w:cs="Courier New"/>
                <w:color w:val="000000"/>
                <w:sz w:val="20"/>
                <w:szCs w:val="20"/>
              </w:rPr>
              <w:t>4</w:t>
            </w:r>
          </w:p>
        </w:tc>
        <w:tc>
          <w:tcPr>
            <w:tcW w:w="3827" w:type="dxa"/>
            <w:gridSpan w:val="3"/>
            <w:tcBorders>
              <w:top w:val="single" w:color="auto" w:sz="4" w:space="0"/>
              <w:left w:val="nil"/>
              <w:bottom w:val="single" w:color="auto" w:sz="4" w:space="0"/>
              <w:right w:val="single" w:color="auto" w:sz="4" w:space="0"/>
            </w:tcBorders>
            <w:vAlign w:val="center"/>
          </w:tcPr>
          <w:p w14:paraId="1866BB40">
            <w:pPr>
              <w:rPr>
                <w:rFonts w:ascii="宋体" w:hAnsi="宋体" w:cs="Courier New"/>
                <w:color w:val="000000"/>
                <w:sz w:val="20"/>
                <w:szCs w:val="20"/>
              </w:rPr>
            </w:pPr>
            <w:r>
              <w:rPr>
                <w:rFonts w:hint="eastAsia" w:ascii="宋体" w:hAnsi="宋体" w:cs="Courier New"/>
                <w:color w:val="000000"/>
                <w:sz w:val="20"/>
                <w:szCs w:val="20"/>
              </w:rPr>
              <w:t>方案设计报建相关设计成果文件</w:t>
            </w:r>
          </w:p>
        </w:tc>
        <w:tc>
          <w:tcPr>
            <w:tcW w:w="1560" w:type="dxa"/>
            <w:tcBorders>
              <w:top w:val="single" w:color="auto" w:sz="4" w:space="0"/>
              <w:left w:val="nil"/>
              <w:bottom w:val="single" w:color="auto" w:sz="4" w:space="0"/>
              <w:right w:val="single" w:color="auto" w:sz="4" w:space="0"/>
            </w:tcBorders>
            <w:vAlign w:val="center"/>
          </w:tcPr>
          <w:p w14:paraId="382A5034">
            <w:pPr>
              <w:rPr>
                <w:rFonts w:ascii="宋体" w:hAnsi="宋体" w:cs="Courier New"/>
                <w:color w:val="000000"/>
                <w:sz w:val="20"/>
                <w:szCs w:val="20"/>
              </w:rPr>
            </w:pPr>
            <w:r>
              <w:rPr>
                <w:rFonts w:hint="eastAsia" w:ascii="宋体" w:hAnsi="宋体" w:cs="Courier New"/>
                <w:color w:val="000000"/>
                <w:sz w:val="20"/>
                <w:szCs w:val="20"/>
              </w:rPr>
              <w:t>按工作计划</w:t>
            </w:r>
          </w:p>
        </w:tc>
        <w:tc>
          <w:tcPr>
            <w:tcW w:w="1559" w:type="dxa"/>
            <w:tcBorders>
              <w:top w:val="single" w:color="auto" w:sz="4" w:space="0"/>
              <w:left w:val="nil"/>
              <w:bottom w:val="single" w:color="auto" w:sz="4" w:space="0"/>
              <w:right w:val="single" w:color="auto" w:sz="4" w:space="0"/>
            </w:tcBorders>
            <w:vAlign w:val="center"/>
          </w:tcPr>
          <w:p w14:paraId="4A53BF72">
            <w:pPr>
              <w:rPr>
                <w:rFonts w:ascii="宋体" w:hAnsi="宋体" w:cs="Courier New"/>
                <w:color w:val="000000"/>
                <w:sz w:val="20"/>
                <w:szCs w:val="20"/>
              </w:rPr>
            </w:pPr>
            <w:r>
              <w:rPr>
                <w:rFonts w:hint="eastAsia" w:ascii="宋体" w:hAnsi="宋体" w:cs="Courier New"/>
                <w:color w:val="000000"/>
                <w:sz w:val="20"/>
                <w:szCs w:val="20"/>
              </w:rPr>
              <w:t>按报建要求或甲方要求提供</w:t>
            </w:r>
          </w:p>
        </w:tc>
        <w:tc>
          <w:tcPr>
            <w:tcW w:w="1807" w:type="dxa"/>
            <w:tcBorders>
              <w:top w:val="single" w:color="auto" w:sz="4" w:space="0"/>
              <w:left w:val="nil"/>
              <w:bottom w:val="single" w:color="auto" w:sz="4" w:space="0"/>
              <w:right w:val="single" w:color="auto" w:sz="4" w:space="0"/>
            </w:tcBorders>
            <w:vAlign w:val="center"/>
          </w:tcPr>
          <w:p w14:paraId="09E4491E">
            <w:pPr>
              <w:rPr>
                <w:rFonts w:ascii="宋体" w:hAnsi="宋体" w:cs="Courier New"/>
                <w:color w:val="000000"/>
                <w:sz w:val="20"/>
                <w:szCs w:val="20"/>
              </w:rPr>
            </w:pPr>
            <w:r>
              <w:rPr>
                <w:rFonts w:hint="eastAsia" w:ascii="宋体" w:hAnsi="宋体" w:cs="Courier New"/>
                <w:color w:val="000000"/>
                <w:sz w:val="20"/>
                <w:szCs w:val="20"/>
              </w:rPr>
              <w:t>电子文档1份</w:t>
            </w:r>
          </w:p>
        </w:tc>
      </w:tr>
      <w:tr w14:paraId="6314931E">
        <w:tblPrEx>
          <w:tblCellMar>
            <w:top w:w="0" w:type="dxa"/>
            <w:left w:w="108" w:type="dxa"/>
            <w:bottom w:w="0" w:type="dxa"/>
            <w:right w:w="108" w:type="dxa"/>
          </w:tblCellMar>
        </w:tblPrEx>
        <w:trPr>
          <w:trHeight w:val="285" w:hRule="atLeast"/>
        </w:trPr>
        <w:tc>
          <w:tcPr>
            <w:tcW w:w="817" w:type="dxa"/>
            <w:tcBorders>
              <w:top w:val="single" w:color="auto" w:sz="4" w:space="0"/>
              <w:left w:val="single" w:color="auto" w:sz="4" w:space="0"/>
              <w:bottom w:val="single" w:color="auto" w:sz="4" w:space="0"/>
              <w:right w:val="single" w:color="auto" w:sz="4" w:space="0"/>
            </w:tcBorders>
            <w:vAlign w:val="center"/>
          </w:tcPr>
          <w:p w14:paraId="40C3A840">
            <w:pPr>
              <w:rPr>
                <w:rFonts w:ascii="宋体" w:hAnsi="宋体" w:cs="Courier New"/>
                <w:color w:val="000000"/>
                <w:sz w:val="20"/>
                <w:szCs w:val="20"/>
              </w:rPr>
            </w:pPr>
            <w:r>
              <w:rPr>
                <w:rFonts w:hint="eastAsia" w:ascii="宋体" w:hAnsi="宋体" w:cs="Courier New"/>
                <w:color w:val="000000"/>
                <w:sz w:val="20"/>
                <w:szCs w:val="20"/>
              </w:rPr>
              <w:t>5</w:t>
            </w:r>
          </w:p>
        </w:tc>
        <w:tc>
          <w:tcPr>
            <w:tcW w:w="3827" w:type="dxa"/>
            <w:gridSpan w:val="3"/>
            <w:tcBorders>
              <w:top w:val="single" w:color="auto" w:sz="4" w:space="0"/>
              <w:left w:val="nil"/>
              <w:bottom w:val="single" w:color="auto" w:sz="4" w:space="0"/>
              <w:right w:val="single" w:color="auto" w:sz="4" w:space="0"/>
            </w:tcBorders>
            <w:vAlign w:val="center"/>
          </w:tcPr>
          <w:p w14:paraId="2D1A6622">
            <w:pPr>
              <w:rPr>
                <w:rFonts w:ascii="宋体" w:hAnsi="宋体" w:cs="Courier New"/>
                <w:color w:val="000000"/>
                <w:sz w:val="20"/>
                <w:szCs w:val="20"/>
              </w:rPr>
            </w:pPr>
            <w:r>
              <w:rPr>
                <w:rFonts w:hint="eastAsia" w:ascii="宋体" w:hAnsi="宋体" w:cs="Courier New"/>
                <w:color w:val="000000"/>
                <w:sz w:val="20"/>
                <w:szCs w:val="20"/>
              </w:rPr>
              <w:t>初步设计成果文件（含概算）</w:t>
            </w:r>
          </w:p>
        </w:tc>
        <w:tc>
          <w:tcPr>
            <w:tcW w:w="1560" w:type="dxa"/>
            <w:tcBorders>
              <w:top w:val="single" w:color="auto" w:sz="4" w:space="0"/>
              <w:left w:val="nil"/>
              <w:bottom w:val="single" w:color="auto" w:sz="4" w:space="0"/>
              <w:right w:val="single" w:color="auto" w:sz="4" w:space="0"/>
            </w:tcBorders>
            <w:vAlign w:val="center"/>
          </w:tcPr>
          <w:p w14:paraId="68CCF9BF">
            <w:pPr>
              <w:rPr>
                <w:rFonts w:ascii="宋体" w:hAnsi="宋体" w:cs="Courier New"/>
                <w:color w:val="000000"/>
                <w:sz w:val="20"/>
                <w:szCs w:val="20"/>
              </w:rPr>
            </w:pPr>
            <w:r>
              <w:rPr>
                <w:rFonts w:hint="eastAsia" w:ascii="宋体" w:hAnsi="宋体" w:cs="Courier New"/>
                <w:color w:val="000000"/>
                <w:sz w:val="20"/>
                <w:szCs w:val="20"/>
              </w:rPr>
              <w:t>深化方案确定后45天内</w:t>
            </w:r>
          </w:p>
        </w:tc>
        <w:tc>
          <w:tcPr>
            <w:tcW w:w="1559" w:type="dxa"/>
            <w:tcBorders>
              <w:top w:val="single" w:color="auto" w:sz="4" w:space="0"/>
              <w:left w:val="nil"/>
              <w:bottom w:val="single" w:color="auto" w:sz="4" w:space="0"/>
              <w:right w:val="single" w:color="auto" w:sz="4" w:space="0"/>
            </w:tcBorders>
            <w:vAlign w:val="center"/>
          </w:tcPr>
          <w:p w14:paraId="1A95F499">
            <w:pPr>
              <w:rPr>
                <w:rFonts w:ascii="宋体" w:hAnsi="宋体" w:cs="Courier New"/>
                <w:color w:val="000000"/>
                <w:sz w:val="20"/>
                <w:szCs w:val="20"/>
              </w:rPr>
            </w:pPr>
            <w:r>
              <w:rPr>
                <w:rFonts w:hint="eastAsia" w:ascii="宋体" w:hAnsi="宋体" w:cs="Courier New"/>
                <w:color w:val="000000"/>
                <w:sz w:val="20"/>
                <w:szCs w:val="20"/>
              </w:rPr>
              <w:t>10，或按甲方要求提供</w:t>
            </w:r>
          </w:p>
        </w:tc>
        <w:tc>
          <w:tcPr>
            <w:tcW w:w="1807" w:type="dxa"/>
            <w:tcBorders>
              <w:top w:val="single" w:color="auto" w:sz="4" w:space="0"/>
              <w:left w:val="nil"/>
              <w:bottom w:val="single" w:color="auto" w:sz="4" w:space="0"/>
              <w:right w:val="single" w:color="auto" w:sz="4" w:space="0"/>
            </w:tcBorders>
            <w:vAlign w:val="center"/>
          </w:tcPr>
          <w:p w14:paraId="05D54DC1">
            <w:pPr>
              <w:rPr>
                <w:rFonts w:ascii="宋体" w:hAnsi="宋体" w:cs="Courier New"/>
                <w:color w:val="000000"/>
                <w:sz w:val="20"/>
                <w:szCs w:val="20"/>
              </w:rPr>
            </w:pPr>
            <w:r>
              <w:rPr>
                <w:rFonts w:hint="eastAsia" w:ascii="宋体" w:hAnsi="宋体" w:cs="Courier New"/>
                <w:color w:val="000000"/>
                <w:sz w:val="20"/>
                <w:szCs w:val="20"/>
              </w:rPr>
              <w:t>电子文档1份（含符合评审要求的软件版）</w:t>
            </w:r>
          </w:p>
        </w:tc>
      </w:tr>
      <w:tr w14:paraId="1658D3CB">
        <w:tblPrEx>
          <w:tblCellMar>
            <w:top w:w="0" w:type="dxa"/>
            <w:left w:w="108" w:type="dxa"/>
            <w:bottom w:w="0" w:type="dxa"/>
            <w:right w:w="108" w:type="dxa"/>
          </w:tblCellMar>
        </w:tblPrEx>
        <w:trPr>
          <w:trHeight w:val="630" w:hRule="atLeast"/>
        </w:trPr>
        <w:tc>
          <w:tcPr>
            <w:tcW w:w="817" w:type="dxa"/>
            <w:tcBorders>
              <w:top w:val="single" w:color="auto" w:sz="4" w:space="0"/>
              <w:left w:val="single" w:color="auto" w:sz="4" w:space="0"/>
              <w:bottom w:val="single" w:color="auto" w:sz="4" w:space="0"/>
              <w:right w:val="single" w:color="auto" w:sz="4" w:space="0"/>
            </w:tcBorders>
            <w:vAlign w:val="center"/>
          </w:tcPr>
          <w:p w14:paraId="275CD3F8">
            <w:pPr>
              <w:rPr>
                <w:rFonts w:ascii="宋体" w:hAnsi="宋体" w:cs="Courier New"/>
                <w:color w:val="000000"/>
                <w:sz w:val="20"/>
                <w:szCs w:val="20"/>
              </w:rPr>
            </w:pPr>
            <w:r>
              <w:rPr>
                <w:rFonts w:hint="eastAsia" w:ascii="宋体" w:hAnsi="宋体" w:cs="Courier New"/>
                <w:color w:val="000000"/>
                <w:sz w:val="20"/>
                <w:szCs w:val="20"/>
              </w:rPr>
              <w:t>6</w:t>
            </w:r>
          </w:p>
        </w:tc>
        <w:tc>
          <w:tcPr>
            <w:tcW w:w="3827" w:type="dxa"/>
            <w:gridSpan w:val="3"/>
            <w:tcBorders>
              <w:top w:val="single" w:color="auto" w:sz="4" w:space="0"/>
              <w:left w:val="nil"/>
              <w:bottom w:val="single" w:color="auto" w:sz="4" w:space="0"/>
              <w:right w:val="single" w:color="auto" w:sz="4" w:space="0"/>
            </w:tcBorders>
            <w:vAlign w:val="center"/>
          </w:tcPr>
          <w:p w14:paraId="2F3CA46A">
            <w:pPr>
              <w:rPr>
                <w:rFonts w:ascii="宋体" w:hAnsi="宋体" w:cs="Courier New"/>
                <w:b/>
                <w:color w:val="000000"/>
                <w:sz w:val="20"/>
                <w:szCs w:val="20"/>
              </w:rPr>
            </w:pPr>
            <w:r>
              <w:rPr>
                <w:rFonts w:hint="eastAsia" w:ascii="宋体" w:hAnsi="宋体" w:cs="Courier New"/>
                <w:color w:val="000000"/>
                <w:sz w:val="20"/>
                <w:szCs w:val="20"/>
              </w:rPr>
              <w:t>初步设计阶段相关报建、报批成果文件</w:t>
            </w:r>
          </w:p>
        </w:tc>
        <w:tc>
          <w:tcPr>
            <w:tcW w:w="1560" w:type="dxa"/>
            <w:tcBorders>
              <w:top w:val="single" w:color="auto" w:sz="4" w:space="0"/>
              <w:left w:val="nil"/>
              <w:bottom w:val="single" w:color="auto" w:sz="4" w:space="0"/>
              <w:right w:val="single" w:color="auto" w:sz="4" w:space="0"/>
            </w:tcBorders>
            <w:vAlign w:val="center"/>
          </w:tcPr>
          <w:p w14:paraId="447C4FBF">
            <w:pPr>
              <w:rPr>
                <w:rFonts w:ascii="宋体" w:hAnsi="宋体" w:cs="Courier New"/>
                <w:color w:val="000000"/>
                <w:sz w:val="20"/>
                <w:szCs w:val="20"/>
              </w:rPr>
            </w:pPr>
            <w:r>
              <w:rPr>
                <w:rFonts w:hint="eastAsia" w:ascii="宋体" w:hAnsi="宋体" w:cs="Courier New"/>
                <w:color w:val="000000"/>
                <w:sz w:val="20"/>
                <w:szCs w:val="20"/>
              </w:rPr>
              <w:t>按工作计划</w:t>
            </w:r>
          </w:p>
        </w:tc>
        <w:tc>
          <w:tcPr>
            <w:tcW w:w="1559" w:type="dxa"/>
            <w:tcBorders>
              <w:top w:val="single" w:color="auto" w:sz="4" w:space="0"/>
              <w:left w:val="nil"/>
              <w:bottom w:val="single" w:color="auto" w:sz="4" w:space="0"/>
              <w:right w:val="single" w:color="auto" w:sz="4" w:space="0"/>
            </w:tcBorders>
            <w:vAlign w:val="center"/>
          </w:tcPr>
          <w:p w14:paraId="700C3909">
            <w:pPr>
              <w:rPr>
                <w:rFonts w:ascii="宋体" w:hAnsi="宋体" w:cs="Courier New"/>
                <w:color w:val="000000"/>
                <w:sz w:val="20"/>
                <w:szCs w:val="20"/>
              </w:rPr>
            </w:pPr>
            <w:r>
              <w:rPr>
                <w:rFonts w:hint="eastAsia" w:ascii="宋体" w:hAnsi="宋体" w:cs="Courier New"/>
                <w:color w:val="000000"/>
                <w:sz w:val="20"/>
                <w:szCs w:val="20"/>
              </w:rPr>
              <w:t>按报建要求或甲方要求提供</w:t>
            </w:r>
          </w:p>
        </w:tc>
        <w:tc>
          <w:tcPr>
            <w:tcW w:w="1807" w:type="dxa"/>
            <w:tcBorders>
              <w:top w:val="single" w:color="auto" w:sz="4" w:space="0"/>
              <w:left w:val="nil"/>
              <w:bottom w:val="single" w:color="auto" w:sz="4" w:space="0"/>
              <w:right w:val="single" w:color="auto" w:sz="4" w:space="0"/>
            </w:tcBorders>
            <w:vAlign w:val="center"/>
          </w:tcPr>
          <w:p w14:paraId="1FF508A1">
            <w:pPr>
              <w:rPr>
                <w:rFonts w:ascii="宋体" w:hAnsi="宋体" w:cs="Courier New"/>
                <w:color w:val="000000"/>
                <w:sz w:val="20"/>
                <w:szCs w:val="20"/>
              </w:rPr>
            </w:pPr>
            <w:r>
              <w:rPr>
                <w:rFonts w:hint="eastAsia" w:ascii="宋体" w:hAnsi="宋体" w:cs="Courier New"/>
                <w:color w:val="000000"/>
                <w:sz w:val="20"/>
                <w:szCs w:val="20"/>
              </w:rPr>
              <w:t>电子文档1份</w:t>
            </w:r>
          </w:p>
        </w:tc>
      </w:tr>
      <w:tr w14:paraId="2EDC986B">
        <w:tblPrEx>
          <w:tblCellMar>
            <w:top w:w="0" w:type="dxa"/>
            <w:left w:w="108" w:type="dxa"/>
            <w:bottom w:w="0" w:type="dxa"/>
            <w:right w:w="108" w:type="dxa"/>
          </w:tblCellMar>
        </w:tblPrEx>
        <w:trPr>
          <w:trHeight w:val="285" w:hRule="atLeast"/>
        </w:trPr>
        <w:tc>
          <w:tcPr>
            <w:tcW w:w="817" w:type="dxa"/>
            <w:tcBorders>
              <w:top w:val="single" w:color="auto" w:sz="4" w:space="0"/>
              <w:left w:val="single" w:color="auto" w:sz="4" w:space="0"/>
              <w:bottom w:val="single" w:color="auto" w:sz="4" w:space="0"/>
              <w:right w:val="single" w:color="auto" w:sz="4" w:space="0"/>
            </w:tcBorders>
            <w:vAlign w:val="center"/>
          </w:tcPr>
          <w:p w14:paraId="68C1DB46">
            <w:pPr>
              <w:rPr>
                <w:rFonts w:ascii="宋体" w:hAnsi="宋体" w:cs="Courier New"/>
                <w:color w:val="000000"/>
                <w:sz w:val="20"/>
                <w:szCs w:val="20"/>
              </w:rPr>
            </w:pPr>
            <w:r>
              <w:rPr>
                <w:rFonts w:hint="eastAsia" w:ascii="宋体" w:hAnsi="宋体" w:cs="Courier New"/>
                <w:color w:val="000000"/>
                <w:sz w:val="20"/>
                <w:szCs w:val="20"/>
              </w:rPr>
              <w:t>7</w:t>
            </w:r>
          </w:p>
        </w:tc>
        <w:tc>
          <w:tcPr>
            <w:tcW w:w="3827" w:type="dxa"/>
            <w:gridSpan w:val="3"/>
            <w:tcBorders>
              <w:top w:val="single" w:color="auto" w:sz="4" w:space="0"/>
              <w:left w:val="nil"/>
              <w:bottom w:val="single" w:color="auto" w:sz="4" w:space="0"/>
              <w:right w:val="single" w:color="auto" w:sz="4" w:space="0"/>
            </w:tcBorders>
            <w:vAlign w:val="center"/>
          </w:tcPr>
          <w:p w14:paraId="70060609">
            <w:pPr>
              <w:rPr>
                <w:rFonts w:ascii="宋体" w:hAnsi="宋体" w:cs="Courier New"/>
                <w:sz w:val="20"/>
                <w:szCs w:val="20"/>
              </w:rPr>
            </w:pPr>
            <w:r>
              <w:rPr>
                <w:rFonts w:hint="eastAsia" w:ascii="宋体" w:hAnsi="宋体" w:cs="Courier New"/>
                <w:sz w:val="20"/>
                <w:szCs w:val="20"/>
              </w:rPr>
              <w:t>施工图设计成果文件（送施工图审查单位审查，含投资分析报告、主要设备材料技术要求书）</w:t>
            </w:r>
          </w:p>
        </w:tc>
        <w:tc>
          <w:tcPr>
            <w:tcW w:w="1560" w:type="dxa"/>
            <w:tcBorders>
              <w:top w:val="single" w:color="auto" w:sz="4" w:space="0"/>
              <w:left w:val="nil"/>
              <w:bottom w:val="single" w:color="auto" w:sz="4" w:space="0"/>
              <w:right w:val="single" w:color="auto" w:sz="4" w:space="0"/>
            </w:tcBorders>
            <w:vAlign w:val="center"/>
          </w:tcPr>
          <w:p w14:paraId="32227FE8">
            <w:pPr>
              <w:rPr>
                <w:rFonts w:ascii="宋体" w:hAnsi="宋体" w:cs="Courier New"/>
                <w:sz w:val="20"/>
                <w:szCs w:val="20"/>
              </w:rPr>
            </w:pPr>
            <w:r>
              <w:rPr>
                <w:rFonts w:hint="eastAsia" w:ascii="宋体" w:hAnsi="宋体" w:cs="Courier New"/>
                <w:sz w:val="20"/>
                <w:szCs w:val="20"/>
              </w:rPr>
              <w:t>深化方案确定后90天</w:t>
            </w:r>
          </w:p>
        </w:tc>
        <w:tc>
          <w:tcPr>
            <w:tcW w:w="1559" w:type="dxa"/>
            <w:tcBorders>
              <w:top w:val="single" w:color="auto" w:sz="4" w:space="0"/>
              <w:left w:val="nil"/>
              <w:bottom w:val="single" w:color="auto" w:sz="4" w:space="0"/>
              <w:right w:val="single" w:color="auto" w:sz="4" w:space="0"/>
            </w:tcBorders>
            <w:vAlign w:val="center"/>
          </w:tcPr>
          <w:p w14:paraId="7091ABD7">
            <w:pPr>
              <w:rPr>
                <w:rFonts w:ascii="宋体" w:hAnsi="宋体" w:cs="Courier New"/>
                <w:color w:val="000000"/>
                <w:sz w:val="20"/>
                <w:szCs w:val="20"/>
              </w:rPr>
            </w:pPr>
            <w:r>
              <w:rPr>
                <w:rFonts w:hint="eastAsia" w:ascii="宋体" w:hAnsi="宋体" w:cs="Courier New"/>
                <w:color w:val="000000"/>
                <w:sz w:val="20"/>
                <w:szCs w:val="20"/>
              </w:rPr>
              <w:t>20，或按甲方要求提供</w:t>
            </w:r>
          </w:p>
        </w:tc>
        <w:tc>
          <w:tcPr>
            <w:tcW w:w="1807" w:type="dxa"/>
            <w:tcBorders>
              <w:top w:val="single" w:color="auto" w:sz="4" w:space="0"/>
              <w:left w:val="nil"/>
              <w:bottom w:val="single" w:color="auto" w:sz="4" w:space="0"/>
              <w:right w:val="single" w:color="auto" w:sz="4" w:space="0"/>
            </w:tcBorders>
            <w:vAlign w:val="center"/>
          </w:tcPr>
          <w:p w14:paraId="1F7A38AA">
            <w:pPr>
              <w:rPr>
                <w:rFonts w:ascii="宋体" w:hAnsi="宋体" w:cs="Courier New"/>
                <w:color w:val="000000"/>
                <w:sz w:val="20"/>
                <w:szCs w:val="20"/>
              </w:rPr>
            </w:pPr>
            <w:r>
              <w:rPr>
                <w:rFonts w:hint="eastAsia" w:ascii="宋体" w:hAnsi="宋体" w:cs="Courier New"/>
                <w:color w:val="000000"/>
                <w:sz w:val="20"/>
                <w:szCs w:val="20"/>
              </w:rPr>
              <w:t>投资分析报告20份；电子文档2份</w:t>
            </w:r>
          </w:p>
        </w:tc>
      </w:tr>
      <w:tr w14:paraId="7717F588">
        <w:tblPrEx>
          <w:tblCellMar>
            <w:top w:w="0" w:type="dxa"/>
            <w:left w:w="108" w:type="dxa"/>
            <w:bottom w:w="0" w:type="dxa"/>
            <w:right w:w="108" w:type="dxa"/>
          </w:tblCellMar>
        </w:tblPrEx>
        <w:trPr>
          <w:trHeight w:val="660" w:hRule="atLeast"/>
        </w:trPr>
        <w:tc>
          <w:tcPr>
            <w:tcW w:w="817" w:type="dxa"/>
            <w:vMerge w:val="restart"/>
            <w:tcBorders>
              <w:top w:val="single" w:color="auto" w:sz="4" w:space="0"/>
              <w:left w:val="single" w:color="auto" w:sz="4" w:space="0"/>
              <w:bottom w:val="single" w:color="auto" w:sz="4" w:space="0"/>
              <w:right w:val="single" w:color="auto" w:sz="4" w:space="0"/>
            </w:tcBorders>
            <w:vAlign w:val="center"/>
          </w:tcPr>
          <w:p w14:paraId="5FCFFF5C">
            <w:pPr>
              <w:rPr>
                <w:rFonts w:ascii="宋体" w:hAnsi="宋体" w:cs="Courier New"/>
                <w:color w:val="000000"/>
                <w:sz w:val="20"/>
                <w:szCs w:val="20"/>
              </w:rPr>
            </w:pPr>
            <w:r>
              <w:rPr>
                <w:rFonts w:hint="eastAsia" w:ascii="宋体" w:hAnsi="宋体" w:cs="Courier New"/>
                <w:color w:val="000000"/>
                <w:sz w:val="20"/>
                <w:szCs w:val="20"/>
              </w:rPr>
              <w:t>8</w:t>
            </w:r>
          </w:p>
        </w:tc>
        <w:tc>
          <w:tcPr>
            <w:tcW w:w="1135" w:type="dxa"/>
            <w:vMerge w:val="restart"/>
            <w:tcBorders>
              <w:top w:val="single" w:color="auto" w:sz="4" w:space="0"/>
              <w:left w:val="single" w:color="auto" w:sz="4" w:space="0"/>
              <w:bottom w:val="single" w:color="auto" w:sz="4" w:space="0"/>
              <w:right w:val="single" w:color="auto" w:sz="4" w:space="0"/>
            </w:tcBorders>
            <w:vAlign w:val="center"/>
          </w:tcPr>
          <w:p w14:paraId="498458FE">
            <w:pPr>
              <w:rPr>
                <w:rFonts w:ascii="宋体" w:hAnsi="宋体" w:cs="Courier New"/>
                <w:color w:val="000000"/>
                <w:sz w:val="20"/>
                <w:szCs w:val="20"/>
              </w:rPr>
            </w:pPr>
            <w:r>
              <w:rPr>
                <w:rFonts w:hint="eastAsia" w:ascii="宋体" w:hAnsi="宋体" w:cs="Courier New"/>
                <w:color w:val="000000"/>
                <w:sz w:val="20"/>
                <w:szCs w:val="20"/>
              </w:rPr>
              <w:t>施工图（按施工图审查单位意见修改并审批通过，包括预算、主要设备材料清单和技术要求书等文件）</w:t>
            </w:r>
          </w:p>
        </w:tc>
        <w:tc>
          <w:tcPr>
            <w:tcW w:w="2692" w:type="dxa"/>
            <w:gridSpan w:val="2"/>
            <w:tcBorders>
              <w:top w:val="single" w:color="auto" w:sz="4" w:space="0"/>
              <w:left w:val="single" w:color="auto" w:sz="4" w:space="0"/>
              <w:bottom w:val="single" w:color="auto" w:sz="4" w:space="0"/>
              <w:right w:val="single" w:color="auto" w:sz="4" w:space="0"/>
            </w:tcBorders>
            <w:vAlign w:val="center"/>
          </w:tcPr>
          <w:p w14:paraId="7556E9AD">
            <w:pPr>
              <w:rPr>
                <w:rFonts w:ascii="宋体" w:hAnsi="宋体" w:cs="Courier New"/>
                <w:color w:val="000000"/>
                <w:sz w:val="20"/>
                <w:szCs w:val="20"/>
              </w:rPr>
            </w:pPr>
            <w:r>
              <w:rPr>
                <w:rFonts w:hint="eastAsia" w:ascii="宋体" w:hAnsi="宋体" w:cs="Courier New"/>
                <w:color w:val="000000"/>
                <w:sz w:val="20"/>
                <w:szCs w:val="20"/>
              </w:rPr>
              <w:t>施工报建的成果文件</w:t>
            </w:r>
          </w:p>
        </w:tc>
        <w:tc>
          <w:tcPr>
            <w:tcW w:w="1560" w:type="dxa"/>
            <w:tcBorders>
              <w:top w:val="single" w:color="auto" w:sz="4" w:space="0"/>
              <w:left w:val="single" w:color="auto" w:sz="4" w:space="0"/>
              <w:bottom w:val="single" w:color="auto" w:sz="4" w:space="0"/>
              <w:right w:val="single" w:color="auto" w:sz="4" w:space="0"/>
            </w:tcBorders>
            <w:vAlign w:val="center"/>
          </w:tcPr>
          <w:p w14:paraId="224F9726">
            <w:pPr>
              <w:rPr>
                <w:rFonts w:ascii="宋体" w:hAnsi="宋体" w:cs="Courier New"/>
                <w:color w:val="000000"/>
                <w:sz w:val="20"/>
                <w:szCs w:val="20"/>
              </w:rPr>
            </w:pPr>
            <w:r>
              <w:rPr>
                <w:rFonts w:hint="eastAsia" w:ascii="宋体" w:hAnsi="宋体" w:cs="Courier New"/>
                <w:color w:val="000000"/>
                <w:sz w:val="20"/>
                <w:szCs w:val="20"/>
              </w:rPr>
              <w:t>按工作计划</w:t>
            </w:r>
          </w:p>
        </w:tc>
        <w:tc>
          <w:tcPr>
            <w:tcW w:w="1559" w:type="dxa"/>
            <w:tcBorders>
              <w:top w:val="single" w:color="auto" w:sz="4" w:space="0"/>
              <w:left w:val="single" w:color="auto" w:sz="4" w:space="0"/>
              <w:bottom w:val="single" w:color="auto" w:sz="4" w:space="0"/>
              <w:right w:val="single" w:color="auto" w:sz="4" w:space="0"/>
            </w:tcBorders>
            <w:vAlign w:val="center"/>
          </w:tcPr>
          <w:p w14:paraId="626645AC">
            <w:pPr>
              <w:rPr>
                <w:rFonts w:ascii="宋体" w:hAnsi="宋体" w:cs="Courier New"/>
                <w:color w:val="000000"/>
                <w:sz w:val="20"/>
                <w:szCs w:val="20"/>
              </w:rPr>
            </w:pPr>
            <w:r>
              <w:rPr>
                <w:rFonts w:hint="eastAsia" w:ascii="宋体" w:hAnsi="宋体" w:cs="Courier New"/>
                <w:color w:val="000000"/>
                <w:sz w:val="20"/>
                <w:szCs w:val="20"/>
              </w:rPr>
              <w:t>按报建要求或甲方要求提供</w:t>
            </w:r>
          </w:p>
        </w:tc>
        <w:tc>
          <w:tcPr>
            <w:tcW w:w="1807" w:type="dxa"/>
            <w:tcBorders>
              <w:top w:val="single" w:color="auto" w:sz="4" w:space="0"/>
              <w:left w:val="single" w:color="auto" w:sz="4" w:space="0"/>
              <w:bottom w:val="single" w:color="auto" w:sz="4" w:space="0"/>
              <w:right w:val="single" w:color="auto" w:sz="4" w:space="0"/>
            </w:tcBorders>
            <w:vAlign w:val="center"/>
          </w:tcPr>
          <w:p w14:paraId="088BD285">
            <w:pPr>
              <w:rPr>
                <w:rFonts w:ascii="宋体" w:hAnsi="宋体" w:cs="Courier New"/>
                <w:color w:val="000000"/>
                <w:sz w:val="20"/>
                <w:szCs w:val="20"/>
              </w:rPr>
            </w:pPr>
            <w:r>
              <w:rPr>
                <w:rFonts w:hint="eastAsia" w:ascii="宋体" w:hAnsi="宋体" w:cs="Courier New"/>
                <w:color w:val="000000"/>
                <w:sz w:val="20"/>
                <w:szCs w:val="20"/>
              </w:rPr>
              <w:t>电子文档1份</w:t>
            </w:r>
          </w:p>
        </w:tc>
      </w:tr>
      <w:tr w14:paraId="0DC0D16F">
        <w:tblPrEx>
          <w:tblCellMar>
            <w:top w:w="0" w:type="dxa"/>
            <w:left w:w="108" w:type="dxa"/>
            <w:bottom w:w="0" w:type="dxa"/>
            <w:right w:w="108" w:type="dxa"/>
          </w:tblCellMar>
        </w:tblPrEx>
        <w:trPr>
          <w:trHeight w:val="840" w:hRule="atLeast"/>
        </w:trPr>
        <w:tc>
          <w:tcPr>
            <w:tcW w:w="817" w:type="dxa"/>
            <w:vMerge w:val="continue"/>
            <w:tcBorders>
              <w:top w:val="single" w:color="auto" w:sz="4" w:space="0"/>
              <w:left w:val="single" w:color="auto" w:sz="4" w:space="0"/>
              <w:bottom w:val="single" w:color="auto" w:sz="4" w:space="0"/>
              <w:right w:val="single" w:color="auto" w:sz="4" w:space="0"/>
            </w:tcBorders>
            <w:vAlign w:val="center"/>
          </w:tcPr>
          <w:p w14:paraId="6D334B9A">
            <w:pPr>
              <w:widowControl/>
              <w:jc w:val="left"/>
              <w:rPr>
                <w:rFonts w:ascii="宋体" w:hAnsi="宋体" w:cs="Courier New"/>
                <w:color w:val="000000"/>
                <w:sz w:val="20"/>
                <w:szCs w:val="20"/>
              </w:rPr>
            </w:pPr>
          </w:p>
        </w:tc>
        <w:tc>
          <w:tcPr>
            <w:tcW w:w="1135" w:type="dxa"/>
            <w:vMerge w:val="continue"/>
            <w:tcBorders>
              <w:top w:val="single" w:color="auto" w:sz="4" w:space="0"/>
              <w:left w:val="single" w:color="auto" w:sz="4" w:space="0"/>
              <w:bottom w:val="single" w:color="auto" w:sz="4" w:space="0"/>
              <w:right w:val="single" w:color="auto" w:sz="4" w:space="0"/>
            </w:tcBorders>
            <w:vAlign w:val="center"/>
          </w:tcPr>
          <w:p w14:paraId="63E8540B">
            <w:pPr>
              <w:widowControl/>
              <w:jc w:val="left"/>
              <w:rPr>
                <w:rFonts w:ascii="宋体" w:hAnsi="宋体" w:cs="Courier New"/>
                <w:color w:val="000000"/>
                <w:sz w:val="20"/>
                <w:szCs w:val="20"/>
              </w:rPr>
            </w:pPr>
          </w:p>
        </w:tc>
        <w:tc>
          <w:tcPr>
            <w:tcW w:w="2692" w:type="dxa"/>
            <w:gridSpan w:val="2"/>
            <w:tcBorders>
              <w:top w:val="single" w:color="auto" w:sz="4" w:space="0"/>
              <w:left w:val="single" w:color="auto" w:sz="4" w:space="0"/>
              <w:bottom w:val="single" w:color="auto" w:sz="4" w:space="0"/>
              <w:right w:val="single" w:color="auto" w:sz="4" w:space="0"/>
            </w:tcBorders>
            <w:vAlign w:val="center"/>
          </w:tcPr>
          <w:p w14:paraId="62ED28FF">
            <w:pPr>
              <w:rPr>
                <w:rFonts w:ascii="宋体" w:hAnsi="宋体" w:cs="Courier New"/>
                <w:color w:val="000000"/>
                <w:sz w:val="20"/>
                <w:szCs w:val="20"/>
              </w:rPr>
            </w:pPr>
            <w:r>
              <w:rPr>
                <w:rFonts w:hint="eastAsia" w:ascii="宋体" w:hAnsi="宋体" w:cs="Courier New"/>
                <w:color w:val="000000"/>
                <w:sz w:val="20"/>
                <w:szCs w:val="20"/>
              </w:rPr>
              <w:t>施工图</w:t>
            </w:r>
          </w:p>
        </w:tc>
        <w:tc>
          <w:tcPr>
            <w:tcW w:w="1560" w:type="dxa"/>
            <w:tcBorders>
              <w:top w:val="single" w:color="auto" w:sz="4" w:space="0"/>
              <w:left w:val="single" w:color="auto" w:sz="4" w:space="0"/>
              <w:bottom w:val="single" w:color="auto" w:sz="4" w:space="0"/>
              <w:right w:val="single" w:color="auto" w:sz="4" w:space="0"/>
            </w:tcBorders>
            <w:vAlign w:val="center"/>
          </w:tcPr>
          <w:p w14:paraId="3F4ABA45">
            <w:pPr>
              <w:rPr>
                <w:rFonts w:ascii="宋体" w:hAnsi="宋体" w:cs="Courier New"/>
                <w:color w:val="000000"/>
                <w:sz w:val="20"/>
                <w:szCs w:val="20"/>
              </w:rPr>
            </w:pPr>
            <w:r>
              <w:rPr>
                <w:rFonts w:hint="eastAsia" w:ascii="宋体" w:hAnsi="宋体" w:cs="Courier New"/>
                <w:color w:val="000000"/>
                <w:sz w:val="20"/>
                <w:szCs w:val="20"/>
              </w:rPr>
              <w:t>深化方案确定后90天</w:t>
            </w:r>
          </w:p>
        </w:tc>
        <w:tc>
          <w:tcPr>
            <w:tcW w:w="1559" w:type="dxa"/>
            <w:tcBorders>
              <w:top w:val="single" w:color="auto" w:sz="4" w:space="0"/>
              <w:left w:val="single" w:color="auto" w:sz="4" w:space="0"/>
              <w:bottom w:val="single" w:color="auto" w:sz="4" w:space="0"/>
              <w:right w:val="single" w:color="auto" w:sz="4" w:space="0"/>
            </w:tcBorders>
            <w:vAlign w:val="center"/>
          </w:tcPr>
          <w:p w14:paraId="30D8B7AB">
            <w:pPr>
              <w:rPr>
                <w:rFonts w:ascii="宋体" w:hAnsi="宋体" w:cs="Courier New"/>
                <w:color w:val="000000"/>
                <w:sz w:val="20"/>
                <w:szCs w:val="20"/>
              </w:rPr>
            </w:pPr>
            <w:r>
              <w:rPr>
                <w:rFonts w:hint="eastAsia" w:ascii="宋体" w:hAnsi="宋体" w:cs="Courier New"/>
                <w:color w:val="000000"/>
                <w:sz w:val="20"/>
                <w:szCs w:val="20"/>
              </w:rPr>
              <w:t>21，或按甲方要求提供</w:t>
            </w:r>
          </w:p>
        </w:tc>
        <w:tc>
          <w:tcPr>
            <w:tcW w:w="1807" w:type="dxa"/>
            <w:tcBorders>
              <w:top w:val="single" w:color="auto" w:sz="4" w:space="0"/>
              <w:left w:val="single" w:color="auto" w:sz="4" w:space="0"/>
              <w:bottom w:val="single" w:color="auto" w:sz="4" w:space="0"/>
              <w:right w:val="single" w:color="auto" w:sz="4" w:space="0"/>
            </w:tcBorders>
            <w:vAlign w:val="center"/>
          </w:tcPr>
          <w:p w14:paraId="050AE35B">
            <w:pPr>
              <w:rPr>
                <w:rFonts w:ascii="宋体" w:hAnsi="宋体" w:cs="Courier New"/>
                <w:color w:val="000000"/>
                <w:sz w:val="20"/>
                <w:szCs w:val="20"/>
              </w:rPr>
            </w:pPr>
            <w:r>
              <w:rPr>
                <w:rFonts w:hint="eastAsia" w:ascii="宋体" w:hAnsi="宋体" w:cs="Courier New"/>
                <w:color w:val="000000"/>
                <w:sz w:val="20"/>
                <w:szCs w:val="20"/>
              </w:rPr>
              <w:t>电子文档1份</w:t>
            </w:r>
          </w:p>
        </w:tc>
      </w:tr>
      <w:tr w14:paraId="6EDD70A5">
        <w:tblPrEx>
          <w:tblCellMar>
            <w:top w:w="0" w:type="dxa"/>
            <w:left w:w="108" w:type="dxa"/>
            <w:bottom w:w="0" w:type="dxa"/>
            <w:right w:w="108" w:type="dxa"/>
          </w:tblCellMar>
        </w:tblPrEx>
        <w:trPr>
          <w:trHeight w:val="1110" w:hRule="atLeast"/>
        </w:trPr>
        <w:tc>
          <w:tcPr>
            <w:tcW w:w="817" w:type="dxa"/>
            <w:vMerge w:val="continue"/>
            <w:tcBorders>
              <w:top w:val="single" w:color="auto" w:sz="4" w:space="0"/>
              <w:left w:val="single" w:color="auto" w:sz="4" w:space="0"/>
              <w:bottom w:val="single" w:color="auto" w:sz="4" w:space="0"/>
              <w:right w:val="single" w:color="auto" w:sz="4" w:space="0"/>
            </w:tcBorders>
            <w:vAlign w:val="center"/>
          </w:tcPr>
          <w:p w14:paraId="392F4BB8">
            <w:pPr>
              <w:widowControl/>
              <w:jc w:val="left"/>
              <w:rPr>
                <w:rFonts w:ascii="宋体" w:hAnsi="宋体" w:cs="Courier New"/>
                <w:color w:val="000000"/>
                <w:sz w:val="20"/>
                <w:szCs w:val="20"/>
              </w:rPr>
            </w:pPr>
          </w:p>
        </w:tc>
        <w:tc>
          <w:tcPr>
            <w:tcW w:w="1135" w:type="dxa"/>
            <w:vMerge w:val="continue"/>
            <w:tcBorders>
              <w:top w:val="single" w:color="auto" w:sz="4" w:space="0"/>
              <w:left w:val="single" w:color="auto" w:sz="4" w:space="0"/>
              <w:bottom w:val="single" w:color="auto" w:sz="4" w:space="0"/>
              <w:right w:val="single" w:color="auto" w:sz="4" w:space="0"/>
            </w:tcBorders>
            <w:vAlign w:val="center"/>
          </w:tcPr>
          <w:p w14:paraId="667894C1">
            <w:pPr>
              <w:widowControl/>
              <w:jc w:val="left"/>
              <w:rPr>
                <w:rFonts w:ascii="宋体" w:hAnsi="宋体" w:cs="Courier New"/>
                <w:color w:val="000000"/>
                <w:sz w:val="20"/>
                <w:szCs w:val="20"/>
              </w:rPr>
            </w:pPr>
          </w:p>
        </w:tc>
        <w:tc>
          <w:tcPr>
            <w:tcW w:w="2692" w:type="dxa"/>
            <w:gridSpan w:val="2"/>
            <w:tcBorders>
              <w:top w:val="single" w:color="auto" w:sz="4" w:space="0"/>
              <w:left w:val="single" w:color="auto" w:sz="4" w:space="0"/>
              <w:bottom w:val="single" w:color="auto" w:sz="4" w:space="0"/>
              <w:right w:val="single" w:color="auto" w:sz="4" w:space="0"/>
            </w:tcBorders>
            <w:vAlign w:val="center"/>
          </w:tcPr>
          <w:p w14:paraId="3AEF91D2">
            <w:pPr>
              <w:jc w:val="left"/>
              <w:rPr>
                <w:rFonts w:ascii="宋体" w:hAnsi="宋体" w:cs="Courier New"/>
                <w:color w:val="000000"/>
                <w:sz w:val="20"/>
                <w:szCs w:val="20"/>
              </w:rPr>
            </w:pPr>
            <w:r>
              <w:rPr>
                <w:rFonts w:hint="eastAsia" w:ascii="宋体" w:hAnsi="宋体" w:cs="Courier New"/>
                <w:sz w:val="22"/>
                <w:lang w:bidi="ar"/>
              </w:rPr>
              <w:t>施工图预算</w:t>
            </w:r>
          </w:p>
        </w:tc>
        <w:tc>
          <w:tcPr>
            <w:tcW w:w="1560" w:type="dxa"/>
            <w:tcBorders>
              <w:top w:val="single" w:color="auto" w:sz="4" w:space="0"/>
              <w:left w:val="single" w:color="auto" w:sz="4" w:space="0"/>
              <w:bottom w:val="single" w:color="auto" w:sz="4" w:space="0"/>
              <w:right w:val="single" w:color="auto" w:sz="4" w:space="0"/>
            </w:tcBorders>
            <w:vAlign w:val="center"/>
          </w:tcPr>
          <w:p w14:paraId="13B9F9BC">
            <w:pPr>
              <w:jc w:val="left"/>
              <w:rPr>
                <w:rFonts w:ascii="宋体" w:hAnsi="宋体" w:cs="Courier New"/>
                <w:color w:val="000000"/>
                <w:sz w:val="20"/>
                <w:szCs w:val="20"/>
              </w:rPr>
            </w:pPr>
            <w:r>
              <w:rPr>
                <w:rFonts w:hint="eastAsia" w:ascii="宋体" w:hAnsi="宋体" w:cs="Courier New"/>
                <w:sz w:val="22"/>
                <w:lang w:bidi="ar"/>
              </w:rPr>
              <w:t>施工图设计完成后30</w:t>
            </w:r>
            <w:r>
              <w:rPr>
                <w:rFonts w:ascii="宋体" w:hAnsi="宋体" w:cs="Courier New"/>
                <w:sz w:val="22"/>
                <w:lang w:bidi="ar"/>
              </w:rPr>
              <w:t>个工作日内</w:t>
            </w:r>
          </w:p>
        </w:tc>
        <w:tc>
          <w:tcPr>
            <w:tcW w:w="1559" w:type="dxa"/>
            <w:tcBorders>
              <w:top w:val="single" w:color="auto" w:sz="4" w:space="0"/>
              <w:left w:val="single" w:color="auto" w:sz="4" w:space="0"/>
              <w:bottom w:val="single" w:color="auto" w:sz="4" w:space="0"/>
              <w:right w:val="single" w:color="auto" w:sz="4" w:space="0"/>
            </w:tcBorders>
            <w:vAlign w:val="center"/>
          </w:tcPr>
          <w:p w14:paraId="60AE6FF8">
            <w:pPr>
              <w:rPr>
                <w:rFonts w:ascii="宋体" w:hAnsi="宋体" w:cs="Courier New"/>
                <w:color w:val="000000"/>
                <w:sz w:val="20"/>
                <w:szCs w:val="20"/>
              </w:rPr>
            </w:pPr>
            <w:r>
              <w:rPr>
                <w:rFonts w:hint="eastAsia" w:ascii="宋体" w:hAnsi="宋体" w:cs="Courier New"/>
                <w:color w:val="000000"/>
                <w:sz w:val="20"/>
                <w:szCs w:val="20"/>
              </w:rPr>
              <w:t>21，或按甲方要求提供</w:t>
            </w:r>
          </w:p>
        </w:tc>
        <w:tc>
          <w:tcPr>
            <w:tcW w:w="1807" w:type="dxa"/>
            <w:tcBorders>
              <w:top w:val="single" w:color="auto" w:sz="4" w:space="0"/>
              <w:left w:val="single" w:color="auto" w:sz="4" w:space="0"/>
              <w:bottom w:val="single" w:color="auto" w:sz="4" w:space="0"/>
              <w:right w:val="single" w:color="auto" w:sz="4" w:space="0"/>
            </w:tcBorders>
            <w:vAlign w:val="center"/>
          </w:tcPr>
          <w:p w14:paraId="1F0A72A9">
            <w:pPr>
              <w:rPr>
                <w:rFonts w:ascii="宋体" w:hAnsi="宋体" w:cs="Courier New"/>
                <w:color w:val="000000"/>
                <w:sz w:val="20"/>
                <w:szCs w:val="20"/>
              </w:rPr>
            </w:pPr>
            <w:r>
              <w:rPr>
                <w:rFonts w:hint="eastAsia" w:ascii="宋体" w:hAnsi="宋体" w:cs="Courier New"/>
                <w:color w:val="000000"/>
                <w:sz w:val="20"/>
                <w:szCs w:val="20"/>
              </w:rPr>
              <w:t>电子文档1份</w:t>
            </w:r>
          </w:p>
        </w:tc>
      </w:tr>
      <w:tr w14:paraId="5868B4CC">
        <w:tblPrEx>
          <w:tblCellMar>
            <w:top w:w="0" w:type="dxa"/>
            <w:left w:w="108" w:type="dxa"/>
            <w:bottom w:w="0" w:type="dxa"/>
            <w:right w:w="108" w:type="dxa"/>
          </w:tblCellMar>
        </w:tblPrEx>
        <w:trPr>
          <w:trHeight w:val="525" w:hRule="atLeast"/>
        </w:trPr>
        <w:tc>
          <w:tcPr>
            <w:tcW w:w="817" w:type="dxa"/>
            <w:tcBorders>
              <w:top w:val="single" w:color="auto" w:sz="4" w:space="0"/>
              <w:left w:val="single" w:color="auto" w:sz="4" w:space="0"/>
              <w:bottom w:val="single" w:color="auto" w:sz="4" w:space="0"/>
              <w:right w:val="single" w:color="auto" w:sz="4" w:space="0"/>
            </w:tcBorders>
            <w:vAlign w:val="center"/>
          </w:tcPr>
          <w:p w14:paraId="40374D12">
            <w:pPr>
              <w:rPr>
                <w:rFonts w:ascii="宋体" w:hAnsi="宋体" w:cs="Courier New"/>
                <w:color w:val="000000"/>
                <w:sz w:val="20"/>
                <w:szCs w:val="20"/>
              </w:rPr>
            </w:pPr>
            <w:r>
              <w:rPr>
                <w:rFonts w:hint="eastAsia" w:ascii="宋体" w:hAnsi="宋体" w:cs="Courier New"/>
                <w:color w:val="000000"/>
                <w:sz w:val="20"/>
                <w:szCs w:val="20"/>
              </w:rPr>
              <w:t>9</w:t>
            </w:r>
          </w:p>
        </w:tc>
        <w:tc>
          <w:tcPr>
            <w:tcW w:w="3827" w:type="dxa"/>
            <w:gridSpan w:val="3"/>
            <w:tcBorders>
              <w:top w:val="single" w:color="auto" w:sz="4" w:space="0"/>
              <w:left w:val="nil"/>
              <w:bottom w:val="single" w:color="auto" w:sz="4" w:space="0"/>
              <w:right w:val="single" w:color="auto" w:sz="4" w:space="0"/>
            </w:tcBorders>
            <w:vAlign w:val="center"/>
          </w:tcPr>
          <w:p w14:paraId="2494915E">
            <w:pPr>
              <w:rPr>
                <w:rFonts w:ascii="宋体" w:hAnsi="宋体" w:cs="Courier New"/>
                <w:color w:val="000000"/>
                <w:sz w:val="20"/>
                <w:szCs w:val="20"/>
              </w:rPr>
            </w:pPr>
            <w:r>
              <w:rPr>
                <w:rFonts w:hint="eastAsia" w:ascii="宋体" w:hAnsi="宋体" w:cs="Courier New"/>
                <w:color w:val="000000"/>
                <w:sz w:val="20"/>
                <w:szCs w:val="20"/>
              </w:rPr>
              <w:t>总图设计成果文件（包括区域内各相关专业、管线综合、园林景观等内容）</w:t>
            </w:r>
          </w:p>
        </w:tc>
        <w:tc>
          <w:tcPr>
            <w:tcW w:w="1560" w:type="dxa"/>
            <w:tcBorders>
              <w:top w:val="single" w:color="auto" w:sz="4" w:space="0"/>
              <w:left w:val="nil"/>
              <w:bottom w:val="single" w:color="auto" w:sz="4" w:space="0"/>
              <w:right w:val="single" w:color="auto" w:sz="4" w:space="0"/>
            </w:tcBorders>
            <w:vAlign w:val="center"/>
          </w:tcPr>
          <w:p w14:paraId="72999737">
            <w:pPr>
              <w:rPr>
                <w:rFonts w:ascii="宋体" w:hAnsi="宋体" w:cs="Courier New"/>
                <w:color w:val="000000"/>
                <w:sz w:val="20"/>
                <w:szCs w:val="20"/>
              </w:rPr>
            </w:pPr>
            <w:r>
              <w:rPr>
                <w:rFonts w:hint="eastAsia" w:ascii="宋体" w:hAnsi="宋体" w:cs="Courier New"/>
                <w:color w:val="000000"/>
                <w:sz w:val="20"/>
                <w:szCs w:val="20"/>
              </w:rPr>
              <w:t>根据实际情况，按工作计划</w:t>
            </w:r>
          </w:p>
        </w:tc>
        <w:tc>
          <w:tcPr>
            <w:tcW w:w="1559" w:type="dxa"/>
            <w:tcBorders>
              <w:top w:val="single" w:color="auto" w:sz="4" w:space="0"/>
              <w:left w:val="nil"/>
              <w:bottom w:val="single" w:color="auto" w:sz="4" w:space="0"/>
              <w:right w:val="single" w:color="auto" w:sz="4" w:space="0"/>
            </w:tcBorders>
            <w:vAlign w:val="center"/>
          </w:tcPr>
          <w:p w14:paraId="094B118B">
            <w:pPr>
              <w:rPr>
                <w:rFonts w:ascii="宋体" w:hAnsi="宋体" w:cs="Courier New"/>
                <w:color w:val="000000"/>
                <w:sz w:val="20"/>
                <w:szCs w:val="20"/>
              </w:rPr>
            </w:pPr>
            <w:r>
              <w:rPr>
                <w:rFonts w:hint="eastAsia" w:ascii="宋体" w:hAnsi="宋体" w:cs="Courier New"/>
                <w:color w:val="000000"/>
                <w:sz w:val="20"/>
                <w:szCs w:val="20"/>
              </w:rPr>
              <w:t>按甲方要求提供</w:t>
            </w:r>
          </w:p>
        </w:tc>
        <w:tc>
          <w:tcPr>
            <w:tcW w:w="1807" w:type="dxa"/>
            <w:tcBorders>
              <w:top w:val="single" w:color="auto" w:sz="4" w:space="0"/>
              <w:left w:val="nil"/>
              <w:bottom w:val="single" w:color="auto" w:sz="4" w:space="0"/>
              <w:right w:val="single" w:color="auto" w:sz="4" w:space="0"/>
            </w:tcBorders>
            <w:vAlign w:val="center"/>
          </w:tcPr>
          <w:p w14:paraId="1FECBF04">
            <w:pPr>
              <w:rPr>
                <w:rFonts w:ascii="宋体" w:hAnsi="宋体" w:cs="Courier New"/>
                <w:color w:val="000000"/>
                <w:sz w:val="20"/>
                <w:szCs w:val="20"/>
              </w:rPr>
            </w:pPr>
            <w:r>
              <w:rPr>
                <w:rFonts w:hint="eastAsia" w:ascii="宋体" w:hAnsi="宋体" w:cs="Courier New"/>
                <w:color w:val="000000"/>
                <w:sz w:val="20"/>
                <w:szCs w:val="20"/>
              </w:rPr>
              <w:t>电子文档1份</w:t>
            </w:r>
          </w:p>
        </w:tc>
      </w:tr>
      <w:tr w14:paraId="1A2ECA6C">
        <w:tblPrEx>
          <w:tblCellMar>
            <w:top w:w="0" w:type="dxa"/>
            <w:left w:w="108" w:type="dxa"/>
            <w:bottom w:w="0" w:type="dxa"/>
            <w:right w:w="108" w:type="dxa"/>
          </w:tblCellMar>
        </w:tblPrEx>
        <w:trPr>
          <w:trHeight w:val="525" w:hRule="atLeast"/>
        </w:trPr>
        <w:tc>
          <w:tcPr>
            <w:tcW w:w="817" w:type="dxa"/>
            <w:tcBorders>
              <w:top w:val="single" w:color="auto" w:sz="4" w:space="0"/>
              <w:left w:val="single" w:color="auto" w:sz="4" w:space="0"/>
              <w:bottom w:val="single" w:color="auto" w:sz="4" w:space="0"/>
              <w:right w:val="single" w:color="auto" w:sz="4" w:space="0"/>
            </w:tcBorders>
            <w:vAlign w:val="center"/>
          </w:tcPr>
          <w:p w14:paraId="43ECE6BA">
            <w:pPr>
              <w:rPr>
                <w:rFonts w:ascii="宋体" w:hAnsi="宋体" w:cs="Courier New"/>
                <w:color w:val="000000"/>
                <w:sz w:val="20"/>
                <w:szCs w:val="20"/>
              </w:rPr>
            </w:pPr>
            <w:r>
              <w:rPr>
                <w:rFonts w:hint="eastAsia" w:ascii="宋体" w:hAnsi="宋体" w:cs="Courier New"/>
                <w:color w:val="000000"/>
                <w:sz w:val="20"/>
                <w:szCs w:val="20"/>
              </w:rPr>
              <w:t>1</w:t>
            </w:r>
            <w:r>
              <w:rPr>
                <w:rFonts w:ascii="宋体" w:hAnsi="宋体" w:cs="Courier New"/>
                <w:color w:val="000000"/>
                <w:sz w:val="20"/>
                <w:szCs w:val="20"/>
              </w:rPr>
              <w:t>0</w:t>
            </w:r>
          </w:p>
        </w:tc>
        <w:tc>
          <w:tcPr>
            <w:tcW w:w="3827" w:type="dxa"/>
            <w:gridSpan w:val="3"/>
            <w:tcBorders>
              <w:top w:val="single" w:color="auto" w:sz="4" w:space="0"/>
              <w:left w:val="nil"/>
              <w:bottom w:val="single" w:color="auto" w:sz="4" w:space="0"/>
              <w:right w:val="single" w:color="auto" w:sz="4" w:space="0"/>
            </w:tcBorders>
            <w:vAlign w:val="center"/>
          </w:tcPr>
          <w:p w14:paraId="725C47A2">
            <w:pPr>
              <w:rPr>
                <w:rFonts w:ascii="宋体" w:hAnsi="宋体" w:cs="Courier New"/>
                <w:color w:val="000000"/>
                <w:sz w:val="20"/>
                <w:szCs w:val="20"/>
              </w:rPr>
            </w:pPr>
            <w:r>
              <w:rPr>
                <w:rFonts w:hint="eastAsia" w:ascii="宋体" w:hAnsi="宋体" w:cs="Courier New"/>
                <w:color w:val="000000"/>
                <w:sz w:val="20"/>
                <w:szCs w:val="20"/>
              </w:rPr>
              <w:t>物探及管线摸查成果</w:t>
            </w:r>
          </w:p>
        </w:tc>
        <w:tc>
          <w:tcPr>
            <w:tcW w:w="1560" w:type="dxa"/>
            <w:tcBorders>
              <w:top w:val="single" w:color="auto" w:sz="4" w:space="0"/>
              <w:left w:val="nil"/>
              <w:bottom w:val="single" w:color="auto" w:sz="4" w:space="0"/>
              <w:right w:val="single" w:color="auto" w:sz="4" w:space="0"/>
            </w:tcBorders>
            <w:vAlign w:val="center"/>
          </w:tcPr>
          <w:p w14:paraId="5934F86D">
            <w:pPr>
              <w:rPr>
                <w:rFonts w:ascii="宋体" w:hAnsi="宋体" w:cs="Courier New"/>
                <w:color w:val="000000"/>
                <w:sz w:val="20"/>
                <w:szCs w:val="20"/>
              </w:rPr>
            </w:pPr>
            <w:r>
              <w:rPr>
                <w:rFonts w:hint="eastAsia" w:ascii="宋体" w:hAnsi="宋体" w:cs="Courier New"/>
                <w:color w:val="000000"/>
                <w:sz w:val="20"/>
                <w:szCs w:val="20"/>
              </w:rPr>
              <w:t>按工作计划</w:t>
            </w:r>
          </w:p>
        </w:tc>
        <w:tc>
          <w:tcPr>
            <w:tcW w:w="1559" w:type="dxa"/>
            <w:tcBorders>
              <w:top w:val="single" w:color="auto" w:sz="4" w:space="0"/>
              <w:left w:val="nil"/>
              <w:bottom w:val="single" w:color="auto" w:sz="4" w:space="0"/>
              <w:right w:val="single" w:color="auto" w:sz="4" w:space="0"/>
            </w:tcBorders>
            <w:vAlign w:val="center"/>
          </w:tcPr>
          <w:p w14:paraId="602B610F">
            <w:pPr>
              <w:rPr>
                <w:rFonts w:ascii="宋体" w:hAnsi="宋体" w:cs="Courier New"/>
                <w:color w:val="000000"/>
                <w:sz w:val="20"/>
                <w:szCs w:val="20"/>
              </w:rPr>
            </w:pPr>
            <w:r>
              <w:rPr>
                <w:rFonts w:ascii="宋体" w:hAnsi="宋体" w:cs="Courier New"/>
                <w:color w:val="000000"/>
                <w:sz w:val="20"/>
                <w:szCs w:val="20"/>
              </w:rPr>
              <w:t>6</w:t>
            </w:r>
            <w:r>
              <w:rPr>
                <w:rFonts w:hint="eastAsia" w:ascii="宋体" w:hAnsi="宋体" w:cs="Courier New"/>
                <w:color w:val="000000"/>
                <w:sz w:val="20"/>
                <w:szCs w:val="20"/>
              </w:rPr>
              <w:t>，或按甲方要求提供</w:t>
            </w:r>
          </w:p>
        </w:tc>
        <w:tc>
          <w:tcPr>
            <w:tcW w:w="1807" w:type="dxa"/>
            <w:tcBorders>
              <w:top w:val="single" w:color="auto" w:sz="4" w:space="0"/>
              <w:left w:val="nil"/>
              <w:bottom w:val="single" w:color="auto" w:sz="4" w:space="0"/>
              <w:right w:val="single" w:color="auto" w:sz="4" w:space="0"/>
            </w:tcBorders>
            <w:vAlign w:val="center"/>
          </w:tcPr>
          <w:p w14:paraId="7B377920">
            <w:pPr>
              <w:rPr>
                <w:rFonts w:ascii="宋体" w:hAnsi="宋体" w:cs="Courier New"/>
                <w:color w:val="000000"/>
                <w:sz w:val="20"/>
                <w:szCs w:val="20"/>
              </w:rPr>
            </w:pPr>
            <w:r>
              <w:rPr>
                <w:rFonts w:hint="eastAsia" w:ascii="宋体" w:hAnsi="宋体" w:cs="Courier New"/>
                <w:color w:val="000000"/>
                <w:sz w:val="20"/>
                <w:szCs w:val="20"/>
              </w:rPr>
              <w:t>电子文档1份</w:t>
            </w:r>
          </w:p>
        </w:tc>
      </w:tr>
    </w:tbl>
    <w:p w14:paraId="10184636">
      <w:pPr>
        <w:spacing w:line="360" w:lineRule="auto"/>
        <w:ind w:firstLine="480" w:firstLineChars="200"/>
        <w:rPr>
          <w:rFonts w:ascii="宋体" w:hAnsi="宋体" w:cs="Courier New"/>
          <w:snapToGrid w:val="0"/>
          <w:color w:val="000000"/>
          <w:sz w:val="24"/>
          <w:szCs w:val="21"/>
        </w:rPr>
      </w:pPr>
      <w:r>
        <w:rPr>
          <w:rFonts w:hint="eastAsia" w:ascii="宋体" w:hAnsi="宋体" w:cs="Courier New"/>
          <w:color w:val="000000"/>
          <w:sz w:val="24"/>
          <w:szCs w:val="21"/>
        </w:rPr>
        <w:t>（备注：上述各阶段成果提交时间由建设管理单位控制，可根据实际情况调整。）</w:t>
      </w:r>
    </w:p>
    <w:p w14:paraId="0E4A4935">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2.各阶段所有提供的效果图必须同时提交PSD或PDF电子版文件，精度要求：分辨率不低于4kx4k。</w:t>
      </w:r>
    </w:p>
    <w:p w14:paraId="52E72396">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3.设计文件除应提供本设计全标段的设计图、设计说明、土方平衡图、工程项目及数量汇总表外，还应按施工标段分别提供所需设计图纸、工程量清单、招标技术规范、设备资料表和技术需求书（深度要求要达到建设管理单位提供的范本），以及必要的设计资料、分区示意图和设计计算书。每次交付设计文件和资料时应附带清单。</w:t>
      </w:r>
    </w:p>
    <w:p w14:paraId="084D0737">
      <w:pPr>
        <w:spacing w:line="360" w:lineRule="auto"/>
        <w:ind w:firstLine="360" w:firstLineChars="150"/>
        <w:rPr>
          <w:rFonts w:ascii="宋体" w:hAnsi="宋体" w:cs="Courier New"/>
          <w:snapToGrid w:val="0"/>
          <w:sz w:val="24"/>
          <w:szCs w:val="21"/>
        </w:rPr>
      </w:pPr>
      <w:r>
        <w:rPr>
          <w:rFonts w:hint="eastAsia" w:ascii="宋体" w:hAnsi="宋体" w:cs="Courier New"/>
          <w:snapToGrid w:val="0"/>
          <w:sz w:val="24"/>
          <w:szCs w:val="21"/>
        </w:rPr>
        <w:t>4.在规划红线范围内，设计人应保证按规划及建筑功能要求、配套设施要求完成本工程造价中包含的全部项目的专业专项设计。限于专业资质问题不能进行的专项设计（如10千伏高压供电、红线外市政给排水及供电工程、环保工程、燃气工程、幕墙、装修、园林景观、泛光照明等），由设计人报甲方同意后进行分包，专项分包设计费由设计人承担。建筑主体设计单位全面负责管理和协调专业分包单位。专项分包各阶段设计文件中，须设计人校核确认，并由项目负责人及专项分包方人员进行会签、盖章确认（设计图要求含有两个单位的图签，双图签出图）。</w:t>
      </w:r>
    </w:p>
    <w:p w14:paraId="0E1A74AB">
      <w:pPr>
        <w:spacing w:line="360" w:lineRule="auto"/>
        <w:ind w:firstLine="480" w:firstLineChars="200"/>
        <w:rPr>
          <w:rFonts w:ascii="宋体" w:hAnsi="宋体" w:cs="Courier New"/>
          <w:sz w:val="24"/>
          <w:szCs w:val="21"/>
        </w:rPr>
      </w:pPr>
      <w:r>
        <w:rPr>
          <w:rFonts w:hint="eastAsia" w:ascii="宋体" w:hAnsi="宋体" w:cs="Courier New"/>
          <w:snapToGrid w:val="0"/>
          <w:sz w:val="24"/>
          <w:szCs w:val="21"/>
        </w:rPr>
        <w:t>5.若中标设计单位为建筑主体设计单位，对整个项目的设计进行总体技术把控，由项目承建单位另行招标的设计内容，相关设计图须经过建筑主体设计单位全面审核确认（以建筑主体设计单位签名盖公章形式或项目承建单位指定方式确认）。</w:t>
      </w:r>
    </w:p>
    <w:p w14:paraId="27FA73A1">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6.中标设计单位按合同约定的时限将设计成果文件或资料交付至本项目建设管理单位指定的地点，相关费用（包括运输、邮寄、电传、关税等费用）已经含于设计费中。</w:t>
      </w:r>
    </w:p>
    <w:p w14:paraId="4E32A11C">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7.在报建过程中需要提供设计成果文件或设计中间资料的电子文档的，中标设计单位应无偿提供，交至政府有关部门的报建图纸文件需按该部门的具体要求进行提供</w:t>
      </w:r>
      <w:r>
        <w:rPr>
          <w:rFonts w:hint="eastAsia" w:ascii="宋体" w:hAnsi="宋体" w:cs="Courier New"/>
          <w:color w:val="FF0000"/>
          <w:sz w:val="24"/>
          <w:szCs w:val="21"/>
        </w:rPr>
        <w:t>，</w:t>
      </w:r>
      <w:r>
        <w:rPr>
          <w:rFonts w:hint="eastAsia" w:ascii="宋体" w:hAnsi="宋体" w:cs="Courier New"/>
          <w:color w:val="000000"/>
          <w:sz w:val="24"/>
          <w:szCs w:val="21"/>
        </w:rPr>
        <w:t>并负责网上填报资料。</w:t>
      </w:r>
      <w:r>
        <w:rPr>
          <w:rFonts w:ascii="宋体" w:hAnsi="宋体" w:cs="Courier New"/>
          <w:color w:val="000000"/>
          <w:sz w:val="24"/>
          <w:szCs w:val="21"/>
        </w:rPr>
        <w:t>报建费用</w:t>
      </w:r>
      <w:r>
        <w:rPr>
          <w:rFonts w:hint="eastAsia" w:ascii="宋体" w:hAnsi="宋体" w:cs="Courier New"/>
          <w:color w:val="000000"/>
          <w:sz w:val="24"/>
          <w:szCs w:val="21"/>
        </w:rPr>
        <w:t>（除</w:t>
      </w:r>
      <w:r>
        <w:rPr>
          <w:rFonts w:ascii="宋体" w:hAnsi="宋体" w:cs="Courier New"/>
          <w:color w:val="000000"/>
          <w:sz w:val="24"/>
          <w:szCs w:val="21"/>
        </w:rPr>
        <w:t>行政事业性收费由甲方负责缴纳</w:t>
      </w:r>
      <w:r>
        <w:rPr>
          <w:rFonts w:hint="eastAsia" w:ascii="宋体" w:hAnsi="宋体" w:cs="Courier New"/>
          <w:color w:val="000000"/>
          <w:sz w:val="24"/>
          <w:szCs w:val="21"/>
        </w:rPr>
        <w:t>外）</w:t>
      </w:r>
      <w:r>
        <w:rPr>
          <w:rFonts w:ascii="宋体" w:hAnsi="宋体" w:cs="Courier New"/>
          <w:color w:val="000000"/>
          <w:sz w:val="24"/>
          <w:szCs w:val="21"/>
        </w:rPr>
        <w:t>由</w:t>
      </w:r>
      <w:r>
        <w:rPr>
          <w:rFonts w:hint="eastAsia" w:ascii="宋体" w:hAnsi="宋体" w:cs="Courier New"/>
          <w:color w:val="000000"/>
          <w:sz w:val="24"/>
          <w:szCs w:val="21"/>
        </w:rPr>
        <w:t>设计单位</w:t>
      </w:r>
      <w:r>
        <w:rPr>
          <w:rFonts w:ascii="宋体" w:hAnsi="宋体" w:cs="Courier New"/>
          <w:color w:val="000000"/>
          <w:sz w:val="24"/>
          <w:szCs w:val="21"/>
        </w:rPr>
        <w:t>负责</w:t>
      </w:r>
      <w:r>
        <w:rPr>
          <w:rFonts w:hint="eastAsia" w:ascii="宋体" w:hAnsi="宋体" w:cs="Courier New"/>
          <w:color w:val="000000"/>
          <w:sz w:val="24"/>
          <w:szCs w:val="21"/>
        </w:rPr>
        <w:t>，包括放线测量费（含控制点，不含放线册，不含基础现状地形图测量）、公示费、</w:t>
      </w:r>
      <w:r>
        <w:rPr>
          <w:rFonts w:ascii="宋体" w:hAnsi="宋体" w:cs="Courier New"/>
          <w:color w:val="000000"/>
          <w:sz w:val="24"/>
          <w:szCs w:val="21"/>
        </w:rPr>
        <w:t>购买地形图、管线图纸</w:t>
      </w:r>
      <w:r>
        <w:rPr>
          <w:rFonts w:hint="eastAsia" w:ascii="宋体" w:hAnsi="宋体" w:cs="Courier New"/>
          <w:color w:val="000000"/>
          <w:sz w:val="24"/>
          <w:szCs w:val="21"/>
        </w:rPr>
        <w:t>、加晒加印图纸资料、修详通、报建通编制（含各阶段报建通、含二维及三维）</w:t>
      </w:r>
      <w:r>
        <w:rPr>
          <w:rFonts w:ascii="宋体" w:hAnsi="宋体" w:cs="Courier New"/>
          <w:color w:val="000000"/>
          <w:sz w:val="24"/>
          <w:szCs w:val="21"/>
        </w:rPr>
        <w:t>等，不再单独计取。各阶段的汇报文件和送审文件晒制费用包含在设计费中，不再单独计取。</w:t>
      </w:r>
    </w:p>
    <w:p w14:paraId="075B7CCD">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8.按照《市重点办建设项目初步设计和施工图设计成果质量审核实施办法》等要求</w:t>
      </w:r>
      <w:r>
        <w:rPr>
          <w:rFonts w:hint="eastAsia" w:ascii="宋体" w:hAnsi="宋体"/>
          <w:color w:val="000000"/>
          <w:sz w:val="24"/>
        </w:rPr>
        <w:t>，甲方可根据项目推进情况及重要性，组织相关专家对乙方提供的方案、初步设计（含概算）、施工图设计、深化设计、节能和绿色建筑咨询及评估工作等设计成果进行评审。</w:t>
      </w:r>
      <w:r>
        <w:rPr>
          <w:rFonts w:hint="eastAsia" w:ascii="宋体" w:hAnsi="宋体"/>
          <w:b/>
          <w:color w:val="000000"/>
          <w:sz w:val="24"/>
        </w:rPr>
        <w:t>甲方</w:t>
      </w:r>
      <w:r>
        <w:rPr>
          <w:rFonts w:hint="eastAsia" w:ascii="宋体" w:hAnsi="宋体" w:cs="Courier New"/>
          <w:b/>
          <w:color w:val="000000"/>
          <w:sz w:val="24"/>
          <w:szCs w:val="21"/>
        </w:rPr>
        <w:t>根据需要召开的各阶段设计成果（含概预算）专家评审/审核会的场地费、专家费、交通费、餐费等相关费用</w:t>
      </w:r>
      <w:r>
        <w:rPr>
          <w:rFonts w:hint="eastAsia" w:ascii="宋体" w:hAnsi="宋体"/>
          <w:b/>
          <w:color w:val="000000"/>
          <w:sz w:val="24"/>
        </w:rPr>
        <w:t>已包含在本合同勘察设计收费里</w:t>
      </w:r>
      <w:r>
        <w:rPr>
          <w:rFonts w:hint="eastAsia" w:ascii="宋体" w:hAnsi="宋体"/>
          <w:color w:val="000000"/>
          <w:sz w:val="24"/>
        </w:rPr>
        <w:t>，</w:t>
      </w:r>
      <w:r>
        <w:rPr>
          <w:rFonts w:hint="eastAsia" w:ascii="宋体" w:hAnsi="宋体" w:cs="Courier New"/>
          <w:b/>
          <w:color w:val="000000"/>
          <w:sz w:val="24"/>
          <w:szCs w:val="21"/>
        </w:rPr>
        <w:t>不另外计取</w:t>
      </w:r>
      <w:r>
        <w:rPr>
          <w:rFonts w:hint="eastAsia" w:ascii="宋体" w:hAnsi="宋体"/>
          <w:color w:val="000000"/>
          <w:sz w:val="24"/>
        </w:rPr>
        <w:t>。</w:t>
      </w:r>
      <w:r>
        <w:rPr>
          <w:rFonts w:hint="eastAsia" w:ascii="宋体" w:hAnsi="宋体" w:cs="Courier New"/>
          <w:color w:val="000000"/>
          <w:sz w:val="24"/>
          <w:szCs w:val="21"/>
        </w:rPr>
        <w:t>设计成果（含概预算）必须经过乙方内部各专业总工审核（分包的单项设计、预算由乙方统筹负责，所以也要由乙方内部各专业总工审核）、施工图审查单位审查并修改完善后方可提交专家评审/审核会。</w:t>
      </w:r>
    </w:p>
    <w:p w14:paraId="5BCF7ED7">
      <w:pPr>
        <w:spacing w:line="360" w:lineRule="auto"/>
        <w:ind w:firstLine="480" w:firstLineChars="200"/>
        <w:rPr>
          <w:rFonts w:ascii="宋体" w:hAnsi="宋体"/>
          <w:sz w:val="24"/>
        </w:rPr>
      </w:pPr>
      <w:r>
        <w:rPr>
          <w:rFonts w:hint="eastAsia" w:ascii="宋体" w:hAnsi="宋体"/>
          <w:sz w:val="24"/>
        </w:rPr>
        <w:t>建筑节能新技术的应用及设计：包括节能、环保、绿色建筑等专项工程设计。乙方必须按照广州市绿色建筑和建筑节能管理规定开展设计工作提交绿色建筑设计专题报告（包括本项目采用</w:t>
      </w:r>
      <w:r>
        <w:rPr>
          <w:rFonts w:hint="eastAsia" w:ascii="宋体" w:hAnsi="宋体"/>
          <w:b/>
          <w:sz w:val="24"/>
        </w:rPr>
        <w:t>绿色二星</w:t>
      </w:r>
      <w:r>
        <w:rPr>
          <w:rFonts w:hint="eastAsia" w:ascii="宋体" w:hAnsi="宋体"/>
          <w:sz w:val="24"/>
        </w:rPr>
        <w:t>以上标准进行设计的论证报告及造价分析），确保达到业主要求的星级标准设计。</w:t>
      </w:r>
    </w:p>
    <w:p w14:paraId="4241EB0D">
      <w:pPr>
        <w:spacing w:line="360" w:lineRule="auto"/>
        <w:ind w:firstLine="480" w:firstLineChars="200"/>
        <w:rPr>
          <w:rFonts w:ascii="宋体" w:hAnsi="宋体" w:cs="Courier New"/>
          <w:snapToGrid w:val="0"/>
          <w:color w:val="000000"/>
          <w:sz w:val="24"/>
          <w:szCs w:val="21"/>
        </w:rPr>
      </w:pPr>
      <w:r>
        <w:rPr>
          <w:rFonts w:hint="eastAsia" w:ascii="宋体" w:hAnsi="宋体" w:cs="Courier New"/>
          <w:snapToGrid w:val="0"/>
          <w:color w:val="000000"/>
          <w:sz w:val="24"/>
          <w:szCs w:val="21"/>
        </w:rPr>
        <w:t>如乙方未能在设计评审的最终意见发出之日起3日内积极响应或逾期未能完成相关设计成果文件的修改完善工作，乙方应按合同条款的相关约定承担违约责任。甲方有权直接按设计评审的最终评审意见实施（但不因此免除乙方的相关设计责任）或直接委托其他设计单位进行相关的设计修改和完善，另行委托设计的相关费用（按需要进行修改完善部分的建安工程费占审定概算建安工程费之和的比例乘以本合同设计费计取）从本合同设计收费中扣取。</w:t>
      </w:r>
    </w:p>
    <w:p w14:paraId="75E32F9B">
      <w:pPr>
        <w:spacing w:line="360" w:lineRule="auto"/>
        <w:ind w:firstLine="480" w:firstLineChars="200"/>
        <w:jc w:val="left"/>
        <w:rPr>
          <w:rFonts w:ascii="宋体" w:hAnsi="宋体" w:cs="Courier New"/>
          <w:color w:val="000000"/>
          <w:sz w:val="24"/>
          <w:szCs w:val="21"/>
        </w:rPr>
      </w:pPr>
    </w:p>
    <w:p w14:paraId="35B49ED8">
      <w:pPr>
        <w:sectPr>
          <w:headerReference r:id="rId8" w:type="default"/>
          <w:footerReference r:id="rId9" w:type="default"/>
          <w:footnotePr>
            <w:numRestart w:val="eachPage"/>
          </w:footnotePr>
          <w:pgSz w:w="11906" w:h="16838"/>
          <w:pgMar w:top="1418" w:right="1418" w:bottom="1418" w:left="1418" w:header="851" w:footer="992" w:gutter="0"/>
          <w:pgBorders w:offsetFrom="page">
            <w:top w:val="single" w:color="auto" w:sz="4" w:space="24"/>
            <w:left w:val="single" w:color="auto" w:sz="4" w:space="24"/>
            <w:bottom w:val="single" w:color="auto" w:sz="4" w:space="24"/>
            <w:right w:val="single" w:color="auto" w:sz="4" w:space="24"/>
          </w:pgBorders>
          <w:cols w:space="720" w:num="1"/>
          <w:docGrid w:type="lines" w:linePitch="312" w:charSpace="0"/>
        </w:sectPr>
      </w:pPr>
    </w:p>
    <w:p w14:paraId="2FA56709">
      <w:pPr>
        <w:pStyle w:val="2"/>
        <w:rPr>
          <w:color w:val="000000"/>
        </w:rPr>
      </w:pPr>
      <w:bookmarkStart w:id="146" w:name="_Toc447612894"/>
      <w:bookmarkStart w:id="147" w:name="_Toc452558341"/>
      <w:bookmarkStart w:id="148" w:name="_Toc452558111"/>
      <w:bookmarkStart w:id="149" w:name="_Toc168047431"/>
      <w:bookmarkStart w:id="150" w:name="_Toc447612415"/>
      <w:bookmarkStart w:id="151" w:name="_Toc452973750"/>
      <w:bookmarkStart w:id="152" w:name="_Toc17317"/>
      <w:r>
        <w:rPr>
          <w:rFonts w:hint="eastAsia"/>
          <w:color w:val="000000"/>
        </w:rPr>
        <w:t>第六章附则</w:t>
      </w:r>
      <w:bookmarkEnd w:id="146"/>
      <w:bookmarkEnd w:id="147"/>
      <w:bookmarkEnd w:id="148"/>
      <w:bookmarkEnd w:id="149"/>
      <w:bookmarkEnd w:id="150"/>
      <w:bookmarkEnd w:id="151"/>
      <w:bookmarkEnd w:id="152"/>
    </w:p>
    <w:p w14:paraId="776E805C">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1．本设计任务书对于设计技术审查与评审办法、中标实施方案的规定、及相关法律责任等方面的规定参照设计招标文件相应内容执行。</w:t>
      </w:r>
    </w:p>
    <w:p w14:paraId="653F3D2F">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2．设计成果评审后不予退回。</w:t>
      </w:r>
    </w:p>
    <w:p w14:paraId="461B2657">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3．项目业主有权使用实施方案的设计成果，并根据需要要求设计方对选定的实施方案进行调整或修改。</w:t>
      </w:r>
    </w:p>
    <w:p w14:paraId="1A9AB186">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4．投标单位在此前所收到的公告、邀请函、通知等文件内容与本技术文件有矛盾时，以技术文件为准；招标期间由招标组织单位发出的有关投标答疑文件与其它文件内容有矛盾时，以日期较晚的文件为准。</w:t>
      </w:r>
    </w:p>
    <w:p w14:paraId="3B9913F5">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5．投标设计成果有下列情况之一者无效：提交的成果不符合本技术文件规定的成果内容和格式；逾期送达；图示和文字辨认不清、内容不全、深度不够或粗制滥造；投标方案经技术委员会和评审委员会鉴定有明显的抄袭行为；将设计任务转包其他单位；未经招标组织单位同意与其它单位或其他单位个人合作完成设计成果；提交成果未按要求密封。技术审查委员会、评审委员会、招标委员会任一委员会均可裁决投标设计成果无效。</w:t>
      </w:r>
    </w:p>
    <w:p w14:paraId="7A9F7345">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6．如对本任务书有疑问，按照招标文件的相关规定进行答疑。</w:t>
      </w:r>
    </w:p>
    <w:p w14:paraId="52161307">
      <w:pPr>
        <w:spacing w:line="360" w:lineRule="auto"/>
        <w:ind w:firstLine="480" w:firstLineChars="200"/>
        <w:rPr>
          <w:rFonts w:ascii="宋体" w:hAnsi="宋体" w:cs="Courier New"/>
          <w:color w:val="000000"/>
          <w:sz w:val="24"/>
          <w:szCs w:val="21"/>
        </w:rPr>
      </w:pPr>
      <w:r>
        <w:rPr>
          <w:rFonts w:hint="eastAsia" w:ascii="宋体" w:hAnsi="宋体" w:cs="Courier New"/>
          <w:color w:val="000000"/>
          <w:sz w:val="24"/>
          <w:szCs w:val="21"/>
        </w:rPr>
        <w:t>7．本文件的解释权归本次招标委员会所有。本次招标提供的各种技术资料都只能在此次项目中使用，未经招标委员会允许，任何个人、公司及各种机构在任何其他方面的使用都将被视为违反技术文件要求行为，招标委员会将保留追究其法律责任的权利。</w:t>
      </w:r>
    </w:p>
    <w:p w14:paraId="33E4E237">
      <w:pPr>
        <w:spacing w:line="360" w:lineRule="auto"/>
        <w:ind w:firstLine="480" w:firstLineChars="200"/>
        <w:rPr>
          <w:rFonts w:ascii="宋体" w:hAnsi="宋体" w:cs="Courier New"/>
          <w:color w:val="000000"/>
          <w:sz w:val="24"/>
          <w:szCs w:val="21"/>
        </w:rPr>
      </w:pPr>
    </w:p>
    <w:p w14:paraId="6EC71651">
      <w:pPr>
        <w:spacing w:line="360" w:lineRule="auto"/>
        <w:ind w:firstLine="480" w:firstLineChars="200"/>
        <w:rPr>
          <w:rFonts w:ascii="宋体" w:hAnsi="宋体" w:cs="Courier New"/>
          <w:color w:val="000000"/>
          <w:sz w:val="24"/>
          <w:szCs w:val="21"/>
        </w:rPr>
      </w:pPr>
    </w:p>
    <w:p w14:paraId="66B0266C">
      <w:pPr>
        <w:spacing w:line="360" w:lineRule="auto"/>
        <w:ind w:firstLine="480" w:firstLineChars="200"/>
        <w:rPr>
          <w:rFonts w:ascii="宋体" w:hAnsi="宋体" w:cs="Courier New"/>
          <w:color w:val="000000"/>
          <w:sz w:val="24"/>
          <w:szCs w:val="21"/>
        </w:rPr>
      </w:pPr>
    </w:p>
    <w:p w14:paraId="0EBEE6F6">
      <w:pPr>
        <w:spacing w:line="360" w:lineRule="auto"/>
        <w:ind w:firstLine="480" w:firstLineChars="200"/>
        <w:rPr>
          <w:rFonts w:ascii="宋体" w:hAnsi="宋体" w:cs="Courier New"/>
          <w:color w:val="000000"/>
          <w:sz w:val="24"/>
          <w:szCs w:val="21"/>
        </w:rPr>
      </w:pPr>
    </w:p>
    <w:p w14:paraId="4CAF2A28">
      <w:pPr>
        <w:spacing w:line="360" w:lineRule="auto"/>
        <w:ind w:firstLine="480" w:firstLineChars="200"/>
        <w:rPr>
          <w:rFonts w:ascii="宋体" w:hAnsi="宋体" w:cs="Courier New"/>
          <w:color w:val="000000"/>
          <w:sz w:val="24"/>
          <w:szCs w:val="21"/>
        </w:rPr>
      </w:pPr>
    </w:p>
    <w:p w14:paraId="76F1229C">
      <w:pPr>
        <w:spacing w:line="360" w:lineRule="auto"/>
        <w:ind w:firstLine="480" w:firstLineChars="200"/>
        <w:rPr>
          <w:rFonts w:ascii="宋体" w:hAnsi="宋体" w:cs="Courier New"/>
          <w:color w:val="000000"/>
          <w:sz w:val="24"/>
          <w:szCs w:val="21"/>
        </w:rPr>
      </w:pPr>
    </w:p>
    <w:p w14:paraId="1BC9B1F6">
      <w:pPr>
        <w:spacing w:line="360" w:lineRule="auto"/>
        <w:ind w:firstLine="480" w:firstLineChars="200"/>
        <w:rPr>
          <w:rFonts w:ascii="宋体" w:hAnsi="宋体" w:cs="Courier New"/>
          <w:color w:val="000000"/>
          <w:sz w:val="24"/>
          <w:szCs w:val="21"/>
        </w:rPr>
      </w:pPr>
    </w:p>
    <w:p w14:paraId="23BCE470">
      <w:pPr>
        <w:spacing w:line="360" w:lineRule="auto"/>
        <w:ind w:firstLine="480" w:firstLineChars="200"/>
        <w:rPr>
          <w:rFonts w:ascii="宋体" w:hAnsi="宋体" w:cs="Courier New"/>
          <w:color w:val="000000"/>
          <w:sz w:val="24"/>
          <w:szCs w:val="21"/>
        </w:rPr>
      </w:pPr>
    </w:p>
    <w:p w14:paraId="20946DC3">
      <w:pPr>
        <w:spacing w:line="360" w:lineRule="auto"/>
        <w:jc w:val="center"/>
        <w:rPr>
          <w:rFonts w:ascii="黑体" w:hAnsi="黑体" w:eastAsia="黑体"/>
          <w:color w:val="000000"/>
          <w:sz w:val="30"/>
          <w:szCs w:val="30"/>
        </w:rPr>
      </w:pPr>
      <w:r>
        <w:rPr>
          <w:rFonts w:hint="eastAsia" w:ascii="黑体" w:hAnsi="黑体" w:eastAsia="黑体"/>
          <w:color w:val="000000"/>
          <w:sz w:val="30"/>
          <w:szCs w:val="30"/>
        </w:rPr>
        <w:t>附件目录</w:t>
      </w:r>
    </w:p>
    <w:p w14:paraId="794399D8">
      <w:pPr>
        <w:spacing w:line="360" w:lineRule="auto"/>
        <w:ind w:firstLine="1320" w:firstLineChars="550"/>
        <w:rPr>
          <w:rFonts w:ascii="宋体" w:hAnsi="宋体" w:cs="Courier New"/>
          <w:snapToGrid w:val="0"/>
          <w:color w:val="000000"/>
          <w:sz w:val="24"/>
          <w:szCs w:val="21"/>
        </w:rPr>
      </w:pPr>
    </w:p>
    <w:p w14:paraId="14B96932">
      <w:pPr>
        <w:spacing w:line="360" w:lineRule="auto"/>
        <w:ind w:firstLine="1"/>
        <w:rPr>
          <w:rFonts w:ascii="宋体" w:hAnsi="宋体" w:cs="Courier New"/>
          <w:snapToGrid w:val="0"/>
          <w:color w:val="000000"/>
          <w:sz w:val="24"/>
          <w:szCs w:val="21"/>
        </w:rPr>
      </w:pPr>
      <w:r>
        <w:rPr>
          <w:rFonts w:hint="eastAsia" w:ascii="宋体" w:hAnsi="宋体" w:cs="Courier New"/>
          <w:snapToGrid w:val="0"/>
          <w:color w:val="000000"/>
          <w:sz w:val="24"/>
          <w:szCs w:val="21"/>
        </w:rPr>
        <w:t>1.华南理工大学大学城校区研究生宿舍（二期）立项批复</w:t>
      </w:r>
    </w:p>
    <w:p w14:paraId="28055EBC">
      <w:pPr>
        <w:spacing w:line="360" w:lineRule="auto"/>
        <w:ind w:firstLine="1"/>
        <w:rPr>
          <w:rFonts w:ascii="宋体" w:hAnsi="宋体" w:cs="Courier New"/>
          <w:snapToGrid w:val="0"/>
          <w:color w:val="000000"/>
          <w:sz w:val="24"/>
          <w:szCs w:val="21"/>
        </w:rPr>
      </w:pPr>
      <w:r>
        <w:rPr>
          <w:rFonts w:hint="eastAsia" w:ascii="宋体" w:hAnsi="宋体" w:cs="Courier New"/>
          <w:snapToGrid w:val="0"/>
          <w:color w:val="000000"/>
          <w:sz w:val="24"/>
          <w:szCs w:val="21"/>
        </w:rPr>
        <w:t>2.控制性详细规划、房产证及附图等</w:t>
      </w:r>
    </w:p>
    <w:p w14:paraId="71101548">
      <w:pPr>
        <w:spacing w:line="360" w:lineRule="auto"/>
        <w:ind w:firstLine="1"/>
        <w:rPr>
          <w:rFonts w:ascii="宋体" w:hAnsi="宋体" w:cs="Courier New"/>
          <w:snapToGrid w:val="0"/>
          <w:color w:val="000000"/>
          <w:sz w:val="24"/>
          <w:szCs w:val="21"/>
        </w:rPr>
      </w:pPr>
      <w:r>
        <w:rPr>
          <w:rFonts w:hint="eastAsia" w:ascii="宋体" w:hAnsi="宋体" w:cs="Courier New"/>
          <w:snapToGrid w:val="0"/>
          <w:color w:val="000000"/>
          <w:sz w:val="24"/>
          <w:szCs w:val="21"/>
        </w:rPr>
        <w:t>3.现状地形图</w:t>
      </w:r>
    </w:p>
    <w:p w14:paraId="110D53D6">
      <w:pPr>
        <w:spacing w:line="360" w:lineRule="auto"/>
        <w:ind w:firstLine="1"/>
        <w:rPr>
          <w:rFonts w:ascii="宋体" w:hAnsi="宋体" w:cs="Courier New"/>
          <w:snapToGrid w:val="0"/>
          <w:color w:val="000000"/>
          <w:sz w:val="24"/>
          <w:szCs w:val="21"/>
        </w:rPr>
      </w:pPr>
      <w:r>
        <w:rPr>
          <w:rFonts w:hint="eastAsia" w:ascii="宋体" w:hAnsi="宋体" w:cs="Courier New"/>
          <w:snapToGrid w:val="0"/>
          <w:color w:val="000000"/>
          <w:sz w:val="24"/>
          <w:szCs w:val="21"/>
        </w:rPr>
        <w:t>4.广州市重点公共建设项目管理办公室建设工程管理制度汇编</w:t>
      </w:r>
    </w:p>
    <w:p w14:paraId="4755E2C7">
      <w:pPr>
        <w:spacing w:line="360" w:lineRule="auto"/>
        <w:ind w:firstLine="1"/>
        <w:rPr>
          <w:rFonts w:ascii="宋体" w:hAnsi="宋体" w:cs="Courier New"/>
          <w:snapToGrid w:val="0"/>
          <w:color w:val="000000"/>
          <w:sz w:val="24"/>
          <w:szCs w:val="21"/>
        </w:rPr>
      </w:pPr>
      <w:r>
        <w:rPr>
          <w:rFonts w:hint="eastAsia" w:ascii="宋体" w:hAnsi="宋体" w:cs="Courier New"/>
          <w:snapToGrid w:val="0"/>
          <w:color w:val="000000"/>
          <w:sz w:val="24"/>
          <w:szCs w:val="21"/>
        </w:rPr>
        <w:t>5.广州市重点公共建设项目风景园林工程技术指引（铺装、绿化及园林附属设施篇）</w:t>
      </w:r>
    </w:p>
    <w:p w14:paraId="44E9C250">
      <w:pPr>
        <w:spacing w:line="360" w:lineRule="auto"/>
        <w:ind w:firstLine="1"/>
        <w:rPr>
          <w:rFonts w:ascii="宋体" w:hAnsi="宋体" w:cs="Courier New"/>
          <w:snapToGrid w:val="0"/>
          <w:color w:val="000000"/>
          <w:sz w:val="24"/>
          <w:szCs w:val="21"/>
        </w:rPr>
      </w:pPr>
      <w:r>
        <w:rPr>
          <w:rFonts w:hint="eastAsia" w:ascii="宋体" w:hAnsi="宋体" w:cs="Courier New"/>
          <w:snapToGrid w:val="0"/>
          <w:color w:val="000000"/>
          <w:sz w:val="24"/>
          <w:szCs w:val="21"/>
        </w:rPr>
        <w:t>6.《市重点办建设项目初步设计概算和施工图预算编制、内容评审及配合评审工作组织管理实施办法》</w:t>
      </w:r>
    </w:p>
    <w:p w14:paraId="56D03E9E">
      <w:pPr>
        <w:spacing w:line="360" w:lineRule="auto"/>
        <w:ind w:firstLine="1"/>
        <w:rPr>
          <w:rFonts w:hint="eastAsia" w:ascii="宋体" w:hAnsi="宋体" w:cs="Courier New"/>
          <w:snapToGrid w:val="0"/>
          <w:color w:val="000000"/>
          <w:sz w:val="24"/>
          <w:szCs w:val="21"/>
        </w:rPr>
      </w:pPr>
      <w:r>
        <w:rPr>
          <w:rFonts w:hint="eastAsia" w:ascii="宋体" w:hAnsi="宋体" w:cs="Courier New"/>
          <w:snapToGrid w:val="0"/>
          <w:color w:val="000000"/>
          <w:sz w:val="24"/>
          <w:szCs w:val="21"/>
        </w:rPr>
        <w:t xml:space="preserve">7.广州市重点公共建设项目BIM协同管理平台技术标准体系-设计阶段BIM技术应用任务书 </w:t>
      </w:r>
    </w:p>
    <w:p w14:paraId="1275812B">
      <w:pPr>
        <w:spacing w:line="360" w:lineRule="auto"/>
        <w:ind w:firstLine="1"/>
        <w:rPr>
          <w:rFonts w:hint="eastAsia" w:ascii="宋体" w:hAnsi="宋体" w:cs="Courier New"/>
          <w:snapToGrid w:val="0"/>
          <w:color w:val="FF0000"/>
          <w:sz w:val="24"/>
          <w:szCs w:val="21"/>
          <w:lang w:val="en-US" w:eastAsia="zh-CN"/>
        </w:rPr>
      </w:pPr>
      <w:r>
        <w:rPr>
          <w:rFonts w:hint="eastAsia" w:ascii="宋体" w:hAnsi="宋体" w:cs="Courier New"/>
          <w:snapToGrid w:val="0"/>
          <w:color w:val="FF0000"/>
          <w:sz w:val="24"/>
          <w:szCs w:val="21"/>
          <w:lang w:val="en-US" w:eastAsia="zh-CN"/>
        </w:rPr>
        <w:t>8.《广州市重点公共建设项目管理中心设计变更管理办法》</w:t>
      </w:r>
    </w:p>
    <w:p w14:paraId="6CCFACA0">
      <w:pPr>
        <w:spacing w:line="360" w:lineRule="auto"/>
        <w:ind w:firstLine="1"/>
        <w:rPr>
          <w:rFonts w:hint="eastAsia" w:ascii="宋体" w:hAnsi="宋体" w:cs="Courier New"/>
          <w:snapToGrid w:val="0"/>
          <w:color w:val="FF0000"/>
          <w:sz w:val="24"/>
          <w:szCs w:val="21"/>
          <w:lang w:val="en-US" w:eastAsia="zh-CN"/>
        </w:rPr>
      </w:pPr>
      <w:r>
        <w:rPr>
          <w:rFonts w:hint="eastAsia" w:ascii="宋体" w:hAnsi="宋体" w:cs="Courier New"/>
          <w:snapToGrid w:val="0"/>
          <w:color w:val="FF0000"/>
          <w:sz w:val="24"/>
          <w:szCs w:val="21"/>
          <w:lang w:val="en-US" w:eastAsia="zh-CN"/>
        </w:rPr>
        <w:t>9.《广州市重点公共建设项目管理中心深化设计管理办法》</w:t>
      </w:r>
    </w:p>
    <w:p w14:paraId="0DFF1F26">
      <w:pPr>
        <w:spacing w:line="360" w:lineRule="auto"/>
        <w:ind w:firstLine="1"/>
        <w:rPr>
          <w:rFonts w:ascii="宋体" w:hAnsi="宋体" w:cs="Courier New"/>
          <w:snapToGrid w:val="0"/>
          <w:color w:val="000000"/>
          <w:sz w:val="24"/>
          <w:szCs w:val="21"/>
        </w:rPr>
      </w:pPr>
    </w:p>
    <w:p w14:paraId="72D697B5">
      <w:pPr>
        <w:spacing w:line="360" w:lineRule="auto"/>
        <w:ind w:firstLine="1"/>
        <w:rPr>
          <w:rFonts w:ascii="宋体" w:hAnsi="宋体" w:cs="Courier New"/>
          <w:snapToGrid w:val="0"/>
          <w:color w:val="000000"/>
          <w:sz w:val="24"/>
          <w:szCs w:val="21"/>
        </w:rPr>
      </w:pPr>
      <w:r>
        <w:rPr>
          <w:rFonts w:hint="eastAsia" w:ascii="宋体" w:hAnsi="宋体" w:cs="Courier New"/>
          <w:snapToGrid w:val="0"/>
          <w:color w:val="000000"/>
          <w:sz w:val="24"/>
          <w:szCs w:val="21"/>
        </w:rPr>
        <w:t>（4~</w:t>
      </w:r>
      <w:r>
        <w:rPr>
          <w:rFonts w:hint="eastAsia" w:ascii="宋体" w:hAnsi="宋体" w:cs="Courier New"/>
          <w:snapToGrid w:val="0"/>
          <w:color w:val="000000"/>
          <w:sz w:val="24"/>
          <w:szCs w:val="21"/>
          <w:lang w:val="en-US" w:eastAsia="zh-CN"/>
        </w:rPr>
        <w:t>9</w:t>
      </w:r>
      <w:r>
        <w:rPr>
          <w:rFonts w:hint="eastAsia" w:ascii="宋体" w:hAnsi="宋体" w:cs="Courier New"/>
          <w:snapToGrid w:val="0"/>
          <w:color w:val="000000"/>
          <w:sz w:val="24"/>
          <w:szCs w:val="21"/>
        </w:rPr>
        <w:t>中标后提供）</w:t>
      </w:r>
    </w:p>
    <w:sectPr>
      <w:headerReference r:id="rId10" w:type="default"/>
      <w:footerReference r:id="rId11" w:type="default"/>
      <w:footnotePr>
        <w:numRestart w:val="eachPage"/>
      </w:footnotePr>
      <w:pgSz w:w="11906" w:h="16838"/>
      <w:pgMar w:top="1418" w:right="1418" w:bottom="1418" w:left="1418" w:header="851" w:footer="992" w:gutter="0"/>
      <w:pgBorders w:offsetFrom="page">
        <w:top w:val="single" w:color="auto" w:sz="4" w:space="24"/>
        <w:left w:val="single" w:color="auto" w:sz="4" w:space="24"/>
        <w:bottom w:val="single" w:color="auto" w:sz="4" w:space="24"/>
        <w:right w:val="single" w:color="auto" w:sz="4" w:space="24"/>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TF46827ACtCID-WinCharSetFFFF-H">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67460">
    <w:pPr>
      <w:pStyle w:val="28"/>
    </w:pPr>
  </w:p>
  <w:p w14:paraId="1A6B4C7C">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7DF63">
    <w:pPr>
      <w:pStyle w:val="2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9890918"/>
    </w:sdtPr>
    <w:sdtContent>
      <w:p w14:paraId="055251B0">
        <w:pPr>
          <w:pStyle w:val="28"/>
          <w:jc w:val="center"/>
        </w:pPr>
        <w:r>
          <w:fldChar w:fldCharType="begin"/>
        </w:r>
        <w:r>
          <w:instrText xml:space="preserve">PAGE   \* MERGEFORMAT</w:instrText>
        </w:r>
        <w:r>
          <w:fldChar w:fldCharType="separate"/>
        </w:r>
        <w:r>
          <w:rPr>
            <w:lang w:val="zh-CN"/>
          </w:rPr>
          <w:t>14</w:t>
        </w:r>
        <w:r>
          <w:fldChar w:fldCharType="end"/>
        </w:r>
      </w:p>
    </w:sdtContent>
  </w:sdt>
  <w:p w14:paraId="4214806A">
    <w:pPr>
      <w:pStyle w:val="28"/>
      <w:jc w:val="center"/>
    </w:pPr>
  </w:p>
  <w:p w14:paraId="278F4B2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505580"/>
    </w:sdtPr>
    <w:sdtContent>
      <w:p w14:paraId="6B823C6B">
        <w:pPr>
          <w:pStyle w:val="28"/>
          <w:jc w:val="center"/>
        </w:pPr>
        <w:r>
          <w:fldChar w:fldCharType="begin"/>
        </w:r>
        <w:r>
          <w:instrText xml:space="preserve">PAGE   \* MERGEFORMAT</w:instrText>
        </w:r>
        <w:r>
          <w:fldChar w:fldCharType="separate"/>
        </w:r>
        <w:r>
          <w:t>33</w:t>
        </w:r>
        <w:r>
          <w:fldChar w:fldCharType="end"/>
        </w:r>
      </w:p>
    </w:sdtContent>
  </w:sdt>
  <w:p w14:paraId="7E54D5D2">
    <w:pPr>
      <w:pStyle w:val="2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C0BFF">
    <w:pPr>
      <w:pStyle w:val="2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35255" cy="162560"/>
              <wp:effectExtent l="0" t="0" r="0" b="0"/>
              <wp:wrapNone/>
              <wp:docPr id="1" name="0000c6"/>
              <wp:cNvGraphicFramePr/>
              <a:graphic xmlns:a="http://schemas.openxmlformats.org/drawingml/2006/main">
                <a:graphicData uri="http://schemas.microsoft.com/office/word/2010/wordprocessingShape">
                  <wps:wsp>
                    <wps:cNvSpPr txBox="1">
                      <a:spLocks noChangeArrowheads="1"/>
                    </wps:cNvSpPr>
                    <wps:spPr bwMode="auto">
                      <a:xfrm>
                        <a:off x="0" y="0"/>
                        <a:ext cx="135255" cy="162560"/>
                      </a:xfrm>
                      <a:prstGeom prst="rect">
                        <a:avLst/>
                      </a:prstGeom>
                      <a:noFill/>
                      <a:ln>
                        <a:noFill/>
                      </a:ln>
                    </wps:spPr>
                    <wps:txbx>
                      <w:txbxContent>
                        <w:p w14:paraId="3721366E">
                          <w:pPr>
                            <w:snapToGrid w:val="0"/>
                            <w:rPr>
                              <w:sz w:val="18"/>
                            </w:rPr>
                          </w:pPr>
                          <w:r>
                            <w:rPr>
                              <w:rFonts w:hint="eastAsia"/>
                              <w:sz w:val="18"/>
                            </w:rPr>
                            <w:fldChar w:fldCharType="begin"/>
                          </w:r>
                          <w:r>
                            <w:instrText xml:space="preserve"> PAGE  \* MERGEFORMAT </w:instrText>
                          </w:r>
                          <w:r>
                            <w:rPr>
                              <w:rFonts w:hint="eastAsia"/>
                              <w:sz w:val="18"/>
                            </w:rPr>
                            <w:fldChar w:fldCharType="separate"/>
                          </w:r>
                          <w:r>
                            <w:t>35</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0000c6" o:spid="_x0000_s1026" o:spt="202" type="#_x0000_t202" style="position:absolute;left:0pt;margin-top:0pt;height:12.8pt;width:10.65pt;mso-position-horizontal:center;mso-position-horizontal-relative:margin;mso-wrap-style:none;z-index:251659264;mso-width-relative:page;mso-height-relative:page;" filled="f" stroked="f" coordsize="21600,21600" o:gfxdata="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9HMHRAAAAAwEAAA8AAAAAAAAAAQAgAAAAIgAAAGRycy9kb3ducmV2LnhtbFBLAQIUABQA&#10;AAAIAIdO4kD1nZoL9wEAAP0DAAAOAAAAAAAAAAEAIAAAACABAABkcnMvZTJvRG9jLnhtbFBLBQYA&#10;AAAABgAGAFkBAACJBQAAAAA=&#10;">
              <v:fill on="f" focussize="0,0"/>
              <v:stroke on="f"/>
              <v:imagedata o:title=""/>
              <o:lock v:ext="edit" aspectratio="f"/>
              <v:textbox inset="0mm,0mm,0mm,0mm" style="mso-fit-shape-to-text:t;">
                <w:txbxContent>
                  <w:p w14:paraId="3721366E">
                    <w:pPr>
                      <w:snapToGrid w:val="0"/>
                      <w:rPr>
                        <w:sz w:val="18"/>
                      </w:rPr>
                    </w:pPr>
                    <w:r>
                      <w:rPr>
                        <w:rFonts w:hint="eastAsia"/>
                        <w:sz w:val="18"/>
                      </w:rPr>
                      <w:fldChar w:fldCharType="begin"/>
                    </w:r>
                    <w:r>
                      <w:instrText xml:space="preserve"> PAGE  \* MERGEFORMAT </w:instrText>
                    </w:r>
                    <w:r>
                      <w:rPr>
                        <w:rFonts w:hint="eastAsia"/>
                        <w:sz w:val="18"/>
                      </w:rPr>
                      <w:fldChar w:fldCharType="separate"/>
                    </w:r>
                    <w:r>
                      <w:t>35</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0E622">
    <w:pPr>
      <w:pStyle w:val="2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FE914">
    <w:pPr>
      <w:pStyle w:val="29"/>
      <w:pBdr>
        <w:bottom w:val="none" w:color="auto" w:sz="0" w:space="0"/>
      </w:pBdr>
      <w:jc w:val="both"/>
    </w:pPr>
  </w:p>
  <w:p w14:paraId="0E2D806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BA8EB">
    <w:pPr>
      <w:pStyle w:val="29"/>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EE2A5">
    <w:pPr>
      <w:pStyle w:val="2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4D95C0"/>
    <w:multiLevelType w:val="singleLevel"/>
    <w:tmpl w:val="934D95C0"/>
    <w:lvl w:ilvl="0" w:tentative="0">
      <w:start w:val="1"/>
      <w:numFmt w:val="decimal"/>
      <w:lvlText w:val="%1."/>
      <w:lvlJc w:val="left"/>
      <w:pPr>
        <w:ind w:left="425" w:hanging="425"/>
      </w:pPr>
      <w:rPr>
        <w:rFonts w:hint="default"/>
      </w:rPr>
    </w:lvl>
  </w:abstractNum>
  <w:abstractNum w:abstractNumId="1">
    <w:nsid w:val="17BF423A"/>
    <w:multiLevelType w:val="multilevel"/>
    <w:tmpl w:val="17BF423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07C079E"/>
    <w:multiLevelType w:val="multilevel"/>
    <w:tmpl w:val="707C079E"/>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DDE0DAD"/>
    <w:multiLevelType w:val="multilevel"/>
    <w:tmpl w:val="7DDE0DAD"/>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lvlOverride w:ilvl="0">
      <w:startOverride w:val="1"/>
    </w:lvlOverride>
  </w:num>
  <w:num w:numId="2">
    <w:abstractNumId w:val="0"/>
  </w:num>
  <w:num w:numId="3">
    <w:abstractNumId w:val="2"/>
    <w:lvlOverride w:ilvl="0">
      <w:startOverride w:val="1"/>
    </w:lvlOverride>
  </w:num>
  <w:num w:numId="4">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Q4N2U5ZTEyYTZiN2E1YjY1MDU0ZDhiMGFjMGQ5YzQifQ=="/>
  </w:docVars>
  <w:rsids>
    <w:rsidRoot w:val="00387A64"/>
    <w:rsid w:val="000013F9"/>
    <w:rsid w:val="000146C7"/>
    <w:rsid w:val="000228B9"/>
    <w:rsid w:val="00025576"/>
    <w:rsid w:val="00027CE8"/>
    <w:rsid w:val="00064FF0"/>
    <w:rsid w:val="00080FF9"/>
    <w:rsid w:val="000968AC"/>
    <w:rsid w:val="000A3CA1"/>
    <w:rsid w:val="000A6D4B"/>
    <w:rsid w:val="000C03CC"/>
    <w:rsid w:val="000C2B8C"/>
    <w:rsid w:val="000C6F55"/>
    <w:rsid w:val="000D2321"/>
    <w:rsid w:val="000D3CA6"/>
    <w:rsid w:val="000D5FC0"/>
    <w:rsid w:val="000E1B19"/>
    <w:rsid w:val="000E53C4"/>
    <w:rsid w:val="00104772"/>
    <w:rsid w:val="00110F74"/>
    <w:rsid w:val="001169A6"/>
    <w:rsid w:val="00121F02"/>
    <w:rsid w:val="00130B0E"/>
    <w:rsid w:val="001479F1"/>
    <w:rsid w:val="0016076D"/>
    <w:rsid w:val="001673FC"/>
    <w:rsid w:val="001855C2"/>
    <w:rsid w:val="00187D99"/>
    <w:rsid w:val="001967B6"/>
    <w:rsid w:val="001A4D85"/>
    <w:rsid w:val="001D390A"/>
    <w:rsid w:val="001D4827"/>
    <w:rsid w:val="001E09A5"/>
    <w:rsid w:val="001F527C"/>
    <w:rsid w:val="001F598D"/>
    <w:rsid w:val="001F5BD2"/>
    <w:rsid w:val="0023688D"/>
    <w:rsid w:val="002425AA"/>
    <w:rsid w:val="002666F9"/>
    <w:rsid w:val="00281BCB"/>
    <w:rsid w:val="002F3F42"/>
    <w:rsid w:val="002F6DA4"/>
    <w:rsid w:val="00305D57"/>
    <w:rsid w:val="00341F68"/>
    <w:rsid w:val="0035244A"/>
    <w:rsid w:val="003537A5"/>
    <w:rsid w:val="00364CF9"/>
    <w:rsid w:val="003655C1"/>
    <w:rsid w:val="00381598"/>
    <w:rsid w:val="0038630F"/>
    <w:rsid w:val="00387A64"/>
    <w:rsid w:val="003A3651"/>
    <w:rsid w:val="003A41A0"/>
    <w:rsid w:val="003A6152"/>
    <w:rsid w:val="003B0E97"/>
    <w:rsid w:val="003C15EF"/>
    <w:rsid w:val="003C597E"/>
    <w:rsid w:val="003E365A"/>
    <w:rsid w:val="003F78A7"/>
    <w:rsid w:val="00400691"/>
    <w:rsid w:val="00410C70"/>
    <w:rsid w:val="004239B1"/>
    <w:rsid w:val="0042745E"/>
    <w:rsid w:val="00442A9C"/>
    <w:rsid w:val="004668E4"/>
    <w:rsid w:val="00467509"/>
    <w:rsid w:val="004705A3"/>
    <w:rsid w:val="004805CF"/>
    <w:rsid w:val="00480A11"/>
    <w:rsid w:val="00482352"/>
    <w:rsid w:val="00482AF6"/>
    <w:rsid w:val="00496B8D"/>
    <w:rsid w:val="004A6FB1"/>
    <w:rsid w:val="004C046B"/>
    <w:rsid w:val="004C2B21"/>
    <w:rsid w:val="004C2DE9"/>
    <w:rsid w:val="004D4525"/>
    <w:rsid w:val="004E3853"/>
    <w:rsid w:val="0050344E"/>
    <w:rsid w:val="005034BD"/>
    <w:rsid w:val="00505A6B"/>
    <w:rsid w:val="00515EAF"/>
    <w:rsid w:val="00520FDD"/>
    <w:rsid w:val="005238FB"/>
    <w:rsid w:val="00527EFE"/>
    <w:rsid w:val="005377BD"/>
    <w:rsid w:val="00545E24"/>
    <w:rsid w:val="00551BF7"/>
    <w:rsid w:val="0055313C"/>
    <w:rsid w:val="00584074"/>
    <w:rsid w:val="005A4C23"/>
    <w:rsid w:val="005A68E4"/>
    <w:rsid w:val="005B6154"/>
    <w:rsid w:val="005D69EF"/>
    <w:rsid w:val="005E408C"/>
    <w:rsid w:val="005F0FAE"/>
    <w:rsid w:val="00603358"/>
    <w:rsid w:val="006225CC"/>
    <w:rsid w:val="00624FA3"/>
    <w:rsid w:val="00626E32"/>
    <w:rsid w:val="006316BC"/>
    <w:rsid w:val="006415D3"/>
    <w:rsid w:val="006431F8"/>
    <w:rsid w:val="006468A2"/>
    <w:rsid w:val="00647751"/>
    <w:rsid w:val="00670F70"/>
    <w:rsid w:val="00675E0F"/>
    <w:rsid w:val="00696464"/>
    <w:rsid w:val="006B54BD"/>
    <w:rsid w:val="006D1B4F"/>
    <w:rsid w:val="006D75EA"/>
    <w:rsid w:val="006E6FB6"/>
    <w:rsid w:val="006F20FA"/>
    <w:rsid w:val="007028BC"/>
    <w:rsid w:val="00706237"/>
    <w:rsid w:val="007073E8"/>
    <w:rsid w:val="0070778C"/>
    <w:rsid w:val="00711F5B"/>
    <w:rsid w:val="007121F2"/>
    <w:rsid w:val="00713BEB"/>
    <w:rsid w:val="00720E1E"/>
    <w:rsid w:val="0072294B"/>
    <w:rsid w:val="00725592"/>
    <w:rsid w:val="007255C2"/>
    <w:rsid w:val="0073086F"/>
    <w:rsid w:val="00730FBF"/>
    <w:rsid w:val="00734EE9"/>
    <w:rsid w:val="00740098"/>
    <w:rsid w:val="00762AAD"/>
    <w:rsid w:val="00772DD0"/>
    <w:rsid w:val="00795DFE"/>
    <w:rsid w:val="007A2FFA"/>
    <w:rsid w:val="007B0085"/>
    <w:rsid w:val="007B6401"/>
    <w:rsid w:val="007B76BD"/>
    <w:rsid w:val="007D3AE1"/>
    <w:rsid w:val="007D75FF"/>
    <w:rsid w:val="00806CA4"/>
    <w:rsid w:val="008409D7"/>
    <w:rsid w:val="00847156"/>
    <w:rsid w:val="008860F4"/>
    <w:rsid w:val="008A0173"/>
    <w:rsid w:val="008A0CE6"/>
    <w:rsid w:val="008A4576"/>
    <w:rsid w:val="008C2952"/>
    <w:rsid w:val="0090306F"/>
    <w:rsid w:val="0091259D"/>
    <w:rsid w:val="00922603"/>
    <w:rsid w:val="00924083"/>
    <w:rsid w:val="009352A7"/>
    <w:rsid w:val="009357B6"/>
    <w:rsid w:val="009364E0"/>
    <w:rsid w:val="00945252"/>
    <w:rsid w:val="00952BE0"/>
    <w:rsid w:val="00972DC8"/>
    <w:rsid w:val="00980C15"/>
    <w:rsid w:val="009A3096"/>
    <w:rsid w:val="009D0247"/>
    <w:rsid w:val="009D0E6A"/>
    <w:rsid w:val="009D79CB"/>
    <w:rsid w:val="009E0684"/>
    <w:rsid w:val="009F0FE6"/>
    <w:rsid w:val="009F3C6E"/>
    <w:rsid w:val="009F75B1"/>
    <w:rsid w:val="00A031A4"/>
    <w:rsid w:val="00A05B82"/>
    <w:rsid w:val="00A17B51"/>
    <w:rsid w:val="00A22A0D"/>
    <w:rsid w:val="00A2695A"/>
    <w:rsid w:val="00A34B3B"/>
    <w:rsid w:val="00A36FE0"/>
    <w:rsid w:val="00A4106F"/>
    <w:rsid w:val="00A43F50"/>
    <w:rsid w:val="00A53477"/>
    <w:rsid w:val="00A62BF7"/>
    <w:rsid w:val="00A772D6"/>
    <w:rsid w:val="00A920B3"/>
    <w:rsid w:val="00A928E0"/>
    <w:rsid w:val="00AD360F"/>
    <w:rsid w:val="00AD43AD"/>
    <w:rsid w:val="00AE7B24"/>
    <w:rsid w:val="00B00056"/>
    <w:rsid w:val="00B0214F"/>
    <w:rsid w:val="00B0769A"/>
    <w:rsid w:val="00B13001"/>
    <w:rsid w:val="00B50845"/>
    <w:rsid w:val="00B82BEF"/>
    <w:rsid w:val="00B839A4"/>
    <w:rsid w:val="00BA6668"/>
    <w:rsid w:val="00BD1BA0"/>
    <w:rsid w:val="00BE113D"/>
    <w:rsid w:val="00BE3AF8"/>
    <w:rsid w:val="00BF5ED1"/>
    <w:rsid w:val="00C0037E"/>
    <w:rsid w:val="00C01026"/>
    <w:rsid w:val="00C02711"/>
    <w:rsid w:val="00C106B6"/>
    <w:rsid w:val="00C11B6E"/>
    <w:rsid w:val="00C36812"/>
    <w:rsid w:val="00C57D92"/>
    <w:rsid w:val="00C7597F"/>
    <w:rsid w:val="00C77870"/>
    <w:rsid w:val="00C87853"/>
    <w:rsid w:val="00C9456D"/>
    <w:rsid w:val="00C960F0"/>
    <w:rsid w:val="00CA66F6"/>
    <w:rsid w:val="00CB1E81"/>
    <w:rsid w:val="00CC12EA"/>
    <w:rsid w:val="00CC58FF"/>
    <w:rsid w:val="00CC7C58"/>
    <w:rsid w:val="00CF15FF"/>
    <w:rsid w:val="00D1163C"/>
    <w:rsid w:val="00D122B4"/>
    <w:rsid w:val="00D26072"/>
    <w:rsid w:val="00D516EB"/>
    <w:rsid w:val="00D55578"/>
    <w:rsid w:val="00D648A6"/>
    <w:rsid w:val="00D64C77"/>
    <w:rsid w:val="00D8091A"/>
    <w:rsid w:val="00D810BE"/>
    <w:rsid w:val="00D852F4"/>
    <w:rsid w:val="00D91563"/>
    <w:rsid w:val="00DA2717"/>
    <w:rsid w:val="00DA4AD9"/>
    <w:rsid w:val="00DB3A67"/>
    <w:rsid w:val="00DF0A36"/>
    <w:rsid w:val="00DF7676"/>
    <w:rsid w:val="00E00C18"/>
    <w:rsid w:val="00E0127F"/>
    <w:rsid w:val="00E06CD9"/>
    <w:rsid w:val="00E11FEB"/>
    <w:rsid w:val="00E1353B"/>
    <w:rsid w:val="00E17498"/>
    <w:rsid w:val="00E220FD"/>
    <w:rsid w:val="00E46173"/>
    <w:rsid w:val="00E63F7E"/>
    <w:rsid w:val="00E868C1"/>
    <w:rsid w:val="00EB0E60"/>
    <w:rsid w:val="00EB3CC8"/>
    <w:rsid w:val="00ED0D66"/>
    <w:rsid w:val="00ED416F"/>
    <w:rsid w:val="00EE3B73"/>
    <w:rsid w:val="00EE6055"/>
    <w:rsid w:val="00EF25D3"/>
    <w:rsid w:val="00EF5955"/>
    <w:rsid w:val="00F01D0E"/>
    <w:rsid w:val="00F245A8"/>
    <w:rsid w:val="00F30EE7"/>
    <w:rsid w:val="00F355C8"/>
    <w:rsid w:val="00F37C17"/>
    <w:rsid w:val="00F52DDA"/>
    <w:rsid w:val="00F66251"/>
    <w:rsid w:val="00F71B26"/>
    <w:rsid w:val="00FB3873"/>
    <w:rsid w:val="00FB4047"/>
    <w:rsid w:val="00FB4DF1"/>
    <w:rsid w:val="00FD2971"/>
    <w:rsid w:val="00FE3E87"/>
    <w:rsid w:val="00FF0E08"/>
    <w:rsid w:val="04C25FAC"/>
    <w:rsid w:val="04EC44CD"/>
    <w:rsid w:val="0C3F1FFD"/>
    <w:rsid w:val="0E1B4801"/>
    <w:rsid w:val="1287328D"/>
    <w:rsid w:val="179518BE"/>
    <w:rsid w:val="1E1077BF"/>
    <w:rsid w:val="20126D60"/>
    <w:rsid w:val="21372D0F"/>
    <w:rsid w:val="216D265E"/>
    <w:rsid w:val="27B751F2"/>
    <w:rsid w:val="37531CE0"/>
    <w:rsid w:val="3A7C007D"/>
    <w:rsid w:val="43B82D3F"/>
    <w:rsid w:val="4AC75E32"/>
    <w:rsid w:val="4B2B4AF8"/>
    <w:rsid w:val="4CDA6ED2"/>
    <w:rsid w:val="4E920EE8"/>
    <w:rsid w:val="567C40F9"/>
    <w:rsid w:val="56CD792C"/>
    <w:rsid w:val="5C4D65DB"/>
    <w:rsid w:val="6C0F217E"/>
    <w:rsid w:val="7DD30A52"/>
    <w:rsid w:val="7E720840"/>
    <w:rsid w:val="7EC11C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6"/>
    <w:qFormat/>
    <w:uiPriority w:val="0"/>
    <w:pPr>
      <w:keepNext/>
      <w:keepLines/>
      <w:spacing w:before="340" w:after="330" w:line="578" w:lineRule="auto"/>
      <w:jc w:val="center"/>
      <w:outlineLvl w:val="0"/>
    </w:pPr>
    <w:rPr>
      <w:rFonts w:ascii="Times New Roman" w:hAnsi="Times New Roman" w:eastAsia="华文中宋" w:cs="Times New Roman"/>
      <w:b/>
      <w:bCs/>
      <w:kern w:val="44"/>
      <w:sz w:val="44"/>
      <w:szCs w:val="44"/>
    </w:rPr>
  </w:style>
  <w:style w:type="paragraph" w:styleId="3">
    <w:name w:val="heading 2"/>
    <w:basedOn w:val="1"/>
    <w:next w:val="1"/>
    <w:link w:val="60"/>
    <w:qFormat/>
    <w:uiPriority w:val="0"/>
    <w:pPr>
      <w:keepNext/>
      <w:keepLines/>
      <w:spacing w:beforeLines="50" w:afterLines="50"/>
      <w:contextualSpacing/>
      <w:outlineLvl w:val="1"/>
    </w:pPr>
    <w:rPr>
      <w:rFonts w:ascii="Arial" w:hAnsi="Arial" w:eastAsia="黑体" w:cs="Times New Roman"/>
      <w:bCs/>
      <w:kern w:val="0"/>
      <w:sz w:val="30"/>
      <w:szCs w:val="32"/>
    </w:rPr>
  </w:style>
  <w:style w:type="paragraph" w:styleId="4">
    <w:name w:val="heading 3"/>
    <w:basedOn w:val="1"/>
    <w:next w:val="1"/>
    <w:link w:val="87"/>
    <w:qFormat/>
    <w:uiPriority w:val="0"/>
    <w:pPr>
      <w:keepNext/>
      <w:keepLines/>
      <w:spacing w:before="260" w:after="260" w:line="416" w:lineRule="auto"/>
      <w:outlineLvl w:val="2"/>
    </w:pPr>
    <w:rPr>
      <w:rFonts w:ascii="Times New Roman" w:hAnsi="Times New Roman" w:eastAsia="黑体" w:cs="Times New Roman"/>
      <w:bCs/>
      <w:kern w:val="0"/>
      <w:sz w:val="28"/>
      <w:szCs w:val="32"/>
    </w:rPr>
  </w:style>
  <w:style w:type="paragraph" w:styleId="5">
    <w:name w:val="heading 4"/>
    <w:basedOn w:val="4"/>
    <w:next w:val="1"/>
    <w:link w:val="51"/>
    <w:qFormat/>
    <w:uiPriority w:val="0"/>
    <w:pPr>
      <w:spacing w:line="415" w:lineRule="auto"/>
      <w:outlineLvl w:val="3"/>
    </w:pPr>
    <w:rPr>
      <w:rFonts w:ascii="宋体" w:hAnsi="宋体"/>
      <w:color w:val="000000"/>
    </w:rPr>
  </w:style>
  <w:style w:type="paragraph" w:styleId="6">
    <w:name w:val="heading 5"/>
    <w:basedOn w:val="1"/>
    <w:next w:val="1"/>
    <w:link w:val="93"/>
    <w:qFormat/>
    <w:uiPriority w:val="0"/>
    <w:pPr>
      <w:keepNext/>
      <w:keepLines/>
      <w:spacing w:before="280" w:after="290" w:line="376" w:lineRule="auto"/>
      <w:outlineLvl w:val="4"/>
    </w:pPr>
    <w:rPr>
      <w:rFonts w:ascii="Times New Roman" w:hAnsi="Times New Roman" w:eastAsia="黑体" w:cs="Times New Roman"/>
      <w:bCs/>
      <w:kern w:val="0"/>
      <w:sz w:val="24"/>
      <w:szCs w:val="28"/>
    </w:rPr>
  </w:style>
  <w:style w:type="paragraph" w:styleId="7">
    <w:name w:val="heading 6"/>
    <w:basedOn w:val="1"/>
    <w:next w:val="1"/>
    <w:link w:val="109"/>
    <w:qFormat/>
    <w:uiPriority w:val="0"/>
    <w:pPr>
      <w:keepNext/>
      <w:keepLines/>
      <w:spacing w:before="240" w:after="64" w:line="320" w:lineRule="auto"/>
      <w:outlineLvl w:val="5"/>
    </w:pPr>
    <w:rPr>
      <w:rFonts w:ascii="Arial" w:hAnsi="Arial" w:eastAsia="黑体" w:cs="Times New Roman"/>
      <w:b/>
      <w:bCs/>
      <w:kern w:val="0"/>
      <w:sz w:val="24"/>
      <w:szCs w:val="24"/>
    </w:rPr>
  </w:style>
  <w:style w:type="paragraph" w:styleId="8">
    <w:name w:val="heading 7"/>
    <w:basedOn w:val="1"/>
    <w:next w:val="1"/>
    <w:link w:val="121"/>
    <w:qFormat/>
    <w:uiPriority w:val="0"/>
    <w:pPr>
      <w:keepNext/>
      <w:keepLines/>
      <w:tabs>
        <w:tab w:val="left" w:pos="1296"/>
      </w:tabs>
      <w:spacing w:before="240" w:after="64" w:line="320" w:lineRule="auto"/>
      <w:ind w:left="1296" w:hanging="1296"/>
      <w:outlineLvl w:val="6"/>
    </w:pPr>
    <w:rPr>
      <w:rFonts w:ascii="Times New Roman" w:hAnsi="Times New Roman" w:eastAsia="宋体" w:cs="Times New Roman"/>
      <w:b/>
      <w:bCs/>
      <w:kern w:val="0"/>
      <w:sz w:val="24"/>
      <w:szCs w:val="24"/>
    </w:rPr>
  </w:style>
  <w:style w:type="paragraph" w:styleId="9">
    <w:name w:val="heading 8"/>
    <w:basedOn w:val="1"/>
    <w:next w:val="1"/>
    <w:link w:val="153"/>
    <w:qFormat/>
    <w:uiPriority w:val="0"/>
    <w:pPr>
      <w:keepNext/>
      <w:keepLines/>
      <w:tabs>
        <w:tab w:val="left" w:pos="1440"/>
      </w:tabs>
      <w:spacing w:before="240" w:after="64" w:line="320" w:lineRule="auto"/>
      <w:ind w:left="1440" w:hanging="1440"/>
      <w:outlineLvl w:val="7"/>
    </w:pPr>
    <w:rPr>
      <w:rFonts w:ascii="Arial" w:hAnsi="Arial" w:eastAsia="黑体" w:cs="Times New Roman"/>
      <w:kern w:val="0"/>
      <w:sz w:val="24"/>
      <w:szCs w:val="24"/>
    </w:rPr>
  </w:style>
  <w:style w:type="paragraph" w:styleId="10">
    <w:name w:val="heading 9"/>
    <w:basedOn w:val="1"/>
    <w:next w:val="1"/>
    <w:link w:val="98"/>
    <w:qFormat/>
    <w:uiPriority w:val="0"/>
    <w:pPr>
      <w:keepNext/>
      <w:keepLines/>
      <w:tabs>
        <w:tab w:val="left" w:pos="1584"/>
      </w:tabs>
      <w:spacing w:before="240" w:after="64" w:line="320" w:lineRule="auto"/>
      <w:ind w:left="1584" w:hanging="1584"/>
      <w:outlineLvl w:val="8"/>
    </w:pPr>
    <w:rPr>
      <w:rFonts w:ascii="Arial" w:hAnsi="Arial" w:eastAsia="黑体" w:cs="Times New Roman"/>
      <w:kern w:val="0"/>
      <w:sz w:val="20"/>
      <w:szCs w:val="21"/>
    </w:rPr>
  </w:style>
  <w:style w:type="character" w:default="1" w:styleId="44">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ascii="Times New Roman" w:hAnsi="Times New Roman" w:eastAsia="宋体" w:cs="Times New Roman"/>
      <w:szCs w:val="24"/>
    </w:rPr>
  </w:style>
  <w:style w:type="paragraph" w:styleId="12">
    <w:name w:val="toc 7"/>
    <w:basedOn w:val="1"/>
    <w:next w:val="1"/>
    <w:autoRedefine/>
    <w:unhideWhenUsed/>
    <w:qFormat/>
    <w:uiPriority w:val="39"/>
    <w:pPr>
      <w:ind w:left="1260"/>
      <w:jc w:val="left"/>
    </w:pPr>
    <w:rPr>
      <w:rFonts w:ascii="Calibri" w:hAnsi="Calibri" w:eastAsia="宋体" w:cs="Calibri"/>
      <w:sz w:val="18"/>
      <w:szCs w:val="18"/>
    </w:rPr>
  </w:style>
  <w:style w:type="paragraph" w:styleId="13">
    <w:name w:val="Normal Indent"/>
    <w:basedOn w:val="1"/>
    <w:link w:val="129"/>
    <w:qFormat/>
    <w:uiPriority w:val="0"/>
    <w:pPr>
      <w:ind w:firstLine="420" w:firstLineChars="200"/>
    </w:pPr>
    <w:rPr>
      <w:rFonts w:eastAsia="宋体"/>
      <w:szCs w:val="24"/>
    </w:rPr>
  </w:style>
  <w:style w:type="paragraph" w:styleId="14">
    <w:name w:val="caption"/>
    <w:basedOn w:val="1"/>
    <w:next w:val="1"/>
    <w:qFormat/>
    <w:uiPriority w:val="35"/>
    <w:rPr>
      <w:rFonts w:ascii="Arial" w:hAnsi="Arial" w:eastAsia="黑体" w:cs="Arial"/>
      <w:sz w:val="20"/>
      <w:szCs w:val="20"/>
    </w:rPr>
  </w:style>
  <w:style w:type="paragraph" w:styleId="15">
    <w:name w:val="Document Map"/>
    <w:basedOn w:val="1"/>
    <w:link w:val="76"/>
    <w:semiHidden/>
    <w:qFormat/>
    <w:uiPriority w:val="0"/>
    <w:pPr>
      <w:shd w:val="clear" w:color="auto" w:fill="000080"/>
    </w:pPr>
    <w:rPr>
      <w:rFonts w:eastAsia="宋体"/>
      <w:szCs w:val="24"/>
    </w:rPr>
  </w:style>
  <w:style w:type="paragraph" w:styleId="16">
    <w:name w:val="annotation text"/>
    <w:basedOn w:val="1"/>
    <w:link w:val="106"/>
    <w:unhideWhenUsed/>
    <w:qFormat/>
    <w:uiPriority w:val="99"/>
    <w:pPr>
      <w:jc w:val="left"/>
    </w:pPr>
    <w:rPr>
      <w:rFonts w:ascii="Times New Roman" w:hAnsi="Times New Roman" w:eastAsia="宋体" w:cs="Times New Roman"/>
      <w:szCs w:val="24"/>
    </w:rPr>
  </w:style>
  <w:style w:type="paragraph" w:styleId="17">
    <w:name w:val="Salutation"/>
    <w:basedOn w:val="1"/>
    <w:next w:val="1"/>
    <w:link w:val="127"/>
    <w:qFormat/>
    <w:uiPriority w:val="0"/>
    <w:rPr>
      <w:sz w:val="32"/>
      <w:szCs w:val="24"/>
    </w:rPr>
  </w:style>
  <w:style w:type="paragraph" w:styleId="18">
    <w:name w:val="Body Text 3"/>
    <w:basedOn w:val="1"/>
    <w:link w:val="137"/>
    <w:qFormat/>
    <w:uiPriority w:val="0"/>
    <w:pPr>
      <w:spacing w:after="120"/>
    </w:pPr>
    <w:rPr>
      <w:rFonts w:eastAsia="宋体"/>
      <w:sz w:val="16"/>
      <w:szCs w:val="16"/>
    </w:rPr>
  </w:style>
  <w:style w:type="paragraph" w:styleId="19">
    <w:name w:val="Body Text"/>
    <w:basedOn w:val="1"/>
    <w:link w:val="85"/>
    <w:unhideWhenUsed/>
    <w:qFormat/>
    <w:uiPriority w:val="99"/>
    <w:pPr>
      <w:spacing w:after="120"/>
    </w:pPr>
    <w:rPr>
      <w:rFonts w:ascii="Times New Roman" w:hAnsi="Times New Roman" w:eastAsia="宋体" w:cs="Times New Roman"/>
      <w:szCs w:val="24"/>
    </w:rPr>
  </w:style>
  <w:style w:type="paragraph" w:styleId="20">
    <w:name w:val="Body Text Indent"/>
    <w:basedOn w:val="1"/>
    <w:link w:val="67"/>
    <w:unhideWhenUsed/>
    <w:qFormat/>
    <w:uiPriority w:val="99"/>
    <w:pPr>
      <w:spacing w:after="120"/>
      <w:ind w:left="420" w:leftChars="200"/>
    </w:pPr>
  </w:style>
  <w:style w:type="paragraph" w:styleId="21">
    <w:name w:val="toc 5"/>
    <w:basedOn w:val="1"/>
    <w:next w:val="1"/>
    <w:autoRedefine/>
    <w:unhideWhenUsed/>
    <w:qFormat/>
    <w:uiPriority w:val="39"/>
    <w:pPr>
      <w:ind w:left="840"/>
      <w:jc w:val="left"/>
    </w:pPr>
    <w:rPr>
      <w:rFonts w:ascii="Calibri" w:hAnsi="Calibri" w:eastAsia="宋体" w:cs="Calibri"/>
      <w:sz w:val="18"/>
      <w:szCs w:val="18"/>
    </w:rPr>
  </w:style>
  <w:style w:type="paragraph" w:styleId="22">
    <w:name w:val="toc 3"/>
    <w:basedOn w:val="1"/>
    <w:next w:val="1"/>
    <w:qFormat/>
    <w:uiPriority w:val="39"/>
    <w:pPr>
      <w:ind w:left="420"/>
      <w:jc w:val="left"/>
    </w:pPr>
    <w:rPr>
      <w:rFonts w:ascii="Calibri" w:hAnsi="Calibri" w:eastAsia="宋体" w:cs="Calibri"/>
      <w:i/>
      <w:iCs/>
      <w:sz w:val="20"/>
      <w:szCs w:val="20"/>
    </w:rPr>
  </w:style>
  <w:style w:type="paragraph" w:styleId="23">
    <w:name w:val="Plain Text"/>
    <w:basedOn w:val="1"/>
    <w:link w:val="53"/>
    <w:qFormat/>
    <w:uiPriority w:val="0"/>
    <w:rPr>
      <w:rFonts w:ascii="宋体" w:hAnsi="Courier New" w:eastAsia="宋体" w:cs="Courier New"/>
      <w:szCs w:val="21"/>
    </w:rPr>
  </w:style>
  <w:style w:type="paragraph" w:styleId="24">
    <w:name w:val="toc 8"/>
    <w:basedOn w:val="1"/>
    <w:next w:val="1"/>
    <w:autoRedefine/>
    <w:unhideWhenUsed/>
    <w:qFormat/>
    <w:uiPriority w:val="39"/>
    <w:pPr>
      <w:ind w:left="1470"/>
      <w:jc w:val="left"/>
    </w:pPr>
    <w:rPr>
      <w:rFonts w:ascii="Calibri" w:hAnsi="Calibri" w:eastAsia="宋体" w:cs="Calibri"/>
      <w:sz w:val="18"/>
      <w:szCs w:val="18"/>
    </w:rPr>
  </w:style>
  <w:style w:type="paragraph" w:styleId="25">
    <w:name w:val="Date"/>
    <w:basedOn w:val="1"/>
    <w:next w:val="1"/>
    <w:link w:val="101"/>
    <w:qFormat/>
    <w:uiPriority w:val="0"/>
    <w:pPr>
      <w:ind w:left="100" w:leftChars="2500"/>
    </w:pPr>
    <w:rPr>
      <w:rFonts w:eastAsia="宋体"/>
      <w:szCs w:val="24"/>
    </w:rPr>
  </w:style>
  <w:style w:type="paragraph" w:styleId="26">
    <w:name w:val="Body Text Indent 2"/>
    <w:basedOn w:val="1"/>
    <w:link w:val="115"/>
    <w:qFormat/>
    <w:uiPriority w:val="0"/>
    <w:pPr>
      <w:spacing w:after="120" w:line="480" w:lineRule="auto"/>
      <w:ind w:left="420" w:leftChars="200"/>
    </w:pPr>
    <w:rPr>
      <w:rFonts w:eastAsia="Courier New"/>
    </w:rPr>
  </w:style>
  <w:style w:type="paragraph" w:styleId="27">
    <w:name w:val="Balloon Text"/>
    <w:basedOn w:val="1"/>
    <w:link w:val="143"/>
    <w:semiHidden/>
    <w:qFormat/>
    <w:uiPriority w:val="0"/>
    <w:rPr>
      <w:rFonts w:eastAsia="宋体"/>
      <w:sz w:val="18"/>
      <w:szCs w:val="18"/>
    </w:rPr>
  </w:style>
  <w:style w:type="paragraph" w:styleId="28">
    <w:name w:val="footer"/>
    <w:basedOn w:val="1"/>
    <w:link w:val="89"/>
    <w:unhideWhenUsed/>
    <w:qFormat/>
    <w:uiPriority w:val="99"/>
    <w:pPr>
      <w:tabs>
        <w:tab w:val="center" w:pos="4153"/>
        <w:tab w:val="right" w:pos="8306"/>
      </w:tabs>
      <w:snapToGrid w:val="0"/>
      <w:jc w:val="left"/>
    </w:pPr>
    <w:rPr>
      <w:sz w:val="18"/>
      <w:szCs w:val="18"/>
    </w:rPr>
  </w:style>
  <w:style w:type="paragraph" w:styleId="29">
    <w:name w:val="header"/>
    <w:basedOn w:val="1"/>
    <w:link w:val="120"/>
    <w:unhideWhenUsed/>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spacing w:before="120" w:after="120"/>
      <w:jc w:val="left"/>
    </w:pPr>
    <w:rPr>
      <w:rFonts w:ascii="Calibri" w:hAnsi="Calibri" w:eastAsia="宋体" w:cs="Calibri"/>
      <w:b/>
      <w:bCs/>
      <w:caps/>
      <w:sz w:val="20"/>
      <w:szCs w:val="20"/>
    </w:rPr>
  </w:style>
  <w:style w:type="paragraph" w:styleId="31">
    <w:name w:val="toc 4"/>
    <w:basedOn w:val="1"/>
    <w:next w:val="1"/>
    <w:autoRedefine/>
    <w:unhideWhenUsed/>
    <w:qFormat/>
    <w:uiPriority w:val="39"/>
    <w:pPr>
      <w:ind w:left="630"/>
      <w:jc w:val="left"/>
    </w:pPr>
    <w:rPr>
      <w:rFonts w:ascii="Calibri" w:hAnsi="Calibri" w:eastAsia="宋体" w:cs="Calibri"/>
      <w:sz w:val="18"/>
      <w:szCs w:val="18"/>
    </w:rPr>
  </w:style>
  <w:style w:type="paragraph" w:styleId="32">
    <w:name w:val="toc 6"/>
    <w:basedOn w:val="1"/>
    <w:next w:val="1"/>
    <w:autoRedefine/>
    <w:unhideWhenUsed/>
    <w:qFormat/>
    <w:uiPriority w:val="39"/>
    <w:pPr>
      <w:ind w:left="1050"/>
      <w:jc w:val="left"/>
    </w:pPr>
    <w:rPr>
      <w:rFonts w:ascii="Calibri" w:hAnsi="Calibri" w:eastAsia="宋体" w:cs="Calibri"/>
      <w:sz w:val="18"/>
      <w:szCs w:val="18"/>
    </w:rPr>
  </w:style>
  <w:style w:type="paragraph" w:styleId="33">
    <w:name w:val="Body Text Indent 3"/>
    <w:basedOn w:val="1"/>
    <w:link w:val="92"/>
    <w:qFormat/>
    <w:uiPriority w:val="0"/>
    <w:pPr>
      <w:spacing w:after="120"/>
      <w:ind w:left="420" w:leftChars="200"/>
    </w:pPr>
    <w:rPr>
      <w:sz w:val="16"/>
    </w:rPr>
  </w:style>
  <w:style w:type="paragraph" w:styleId="34">
    <w:name w:val="toc 2"/>
    <w:basedOn w:val="1"/>
    <w:next w:val="1"/>
    <w:qFormat/>
    <w:uiPriority w:val="39"/>
    <w:pPr>
      <w:ind w:left="210"/>
      <w:jc w:val="left"/>
    </w:pPr>
    <w:rPr>
      <w:rFonts w:ascii="Calibri" w:hAnsi="Calibri" w:eastAsia="宋体" w:cs="Calibri"/>
      <w:smallCaps/>
      <w:sz w:val="20"/>
      <w:szCs w:val="20"/>
    </w:rPr>
  </w:style>
  <w:style w:type="paragraph" w:styleId="35">
    <w:name w:val="toc 9"/>
    <w:basedOn w:val="1"/>
    <w:next w:val="1"/>
    <w:autoRedefine/>
    <w:unhideWhenUsed/>
    <w:qFormat/>
    <w:uiPriority w:val="39"/>
    <w:pPr>
      <w:ind w:left="1680"/>
      <w:jc w:val="left"/>
    </w:pPr>
    <w:rPr>
      <w:rFonts w:ascii="Calibri" w:hAnsi="Calibri" w:eastAsia="宋体" w:cs="Calibri"/>
      <w:sz w:val="18"/>
      <w:szCs w:val="18"/>
    </w:rPr>
  </w:style>
  <w:style w:type="paragraph" w:styleId="36">
    <w:name w:val="Body Text 2"/>
    <w:basedOn w:val="1"/>
    <w:link w:val="78"/>
    <w:qFormat/>
    <w:uiPriority w:val="0"/>
    <w:pPr>
      <w:spacing w:after="120" w:line="480" w:lineRule="auto"/>
    </w:pPr>
    <w:rPr>
      <w:rFonts w:eastAsia="宋体"/>
      <w:szCs w:val="24"/>
    </w:rPr>
  </w:style>
  <w:style w:type="paragraph" w:styleId="37">
    <w:name w:val="HTML Preformatted"/>
    <w:basedOn w:val="1"/>
    <w:link w:val="7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szCs w:val="21"/>
    </w:rPr>
  </w:style>
  <w:style w:type="paragraph" w:styleId="38">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39">
    <w:name w:val="Title"/>
    <w:basedOn w:val="1"/>
    <w:link w:val="77"/>
    <w:qFormat/>
    <w:uiPriority w:val="0"/>
    <w:pPr>
      <w:spacing w:before="240" w:after="60"/>
      <w:jc w:val="center"/>
      <w:outlineLvl w:val="0"/>
    </w:pPr>
    <w:rPr>
      <w:rFonts w:ascii="Arial" w:hAnsi="Arial" w:eastAsia="宋体" w:cs="Arial"/>
      <w:b/>
      <w:bCs/>
      <w:sz w:val="32"/>
      <w:szCs w:val="32"/>
    </w:rPr>
  </w:style>
  <w:style w:type="paragraph" w:styleId="40">
    <w:name w:val="annotation subject"/>
    <w:basedOn w:val="16"/>
    <w:next w:val="16"/>
    <w:link w:val="168"/>
    <w:semiHidden/>
    <w:qFormat/>
    <w:uiPriority w:val="0"/>
    <w:rPr>
      <w:rFonts w:asciiTheme="minorHAnsi" w:hAnsiTheme="minorHAnsi" w:cstheme="minorBidi"/>
      <w:b/>
      <w:bCs/>
    </w:rPr>
  </w:style>
  <w:style w:type="paragraph" w:styleId="41">
    <w:name w:val="Body Text First Indent"/>
    <w:basedOn w:val="19"/>
    <w:link w:val="163"/>
    <w:qFormat/>
    <w:uiPriority w:val="0"/>
    <w:pPr>
      <w:ind w:firstLine="420" w:firstLineChars="100"/>
    </w:pPr>
    <w:rPr>
      <w:rFonts w:ascii="Calibri" w:hAnsi="Calibri"/>
    </w:rPr>
  </w:style>
  <w:style w:type="paragraph" w:styleId="42">
    <w:name w:val="Body Text First Indent 2"/>
    <w:basedOn w:val="20"/>
    <w:link w:val="126"/>
    <w:qFormat/>
    <w:uiPriority w:val="0"/>
    <w:pPr>
      <w:ind w:firstLine="420" w:firstLineChars="200"/>
    </w:pPr>
    <w:rPr>
      <w:rFonts w:ascii="Calibri" w:hAnsi="Calibri" w:eastAsia="宋体" w:cs="Times New Roman"/>
      <w:kern w:val="0"/>
      <w:sz w:val="20"/>
      <w:szCs w:val="24"/>
    </w:rPr>
  </w:style>
  <w:style w:type="character" w:styleId="45">
    <w:name w:val="page number"/>
    <w:qFormat/>
    <w:uiPriority w:val="0"/>
  </w:style>
  <w:style w:type="character" w:styleId="46">
    <w:name w:val="FollowedHyperlink"/>
    <w:qFormat/>
    <w:uiPriority w:val="0"/>
    <w:rPr>
      <w:color w:val="800080"/>
      <w:u w:val="single"/>
    </w:rPr>
  </w:style>
  <w:style w:type="character" w:styleId="47">
    <w:name w:val="Emphasis"/>
    <w:qFormat/>
    <w:uiPriority w:val="20"/>
    <w:rPr>
      <w:i/>
      <w:iCs/>
    </w:rPr>
  </w:style>
  <w:style w:type="character" w:styleId="48">
    <w:name w:val="Hyperlink"/>
    <w:qFormat/>
    <w:uiPriority w:val="99"/>
    <w:rPr>
      <w:color w:val="0000FF"/>
      <w:u w:val="single"/>
    </w:rPr>
  </w:style>
  <w:style w:type="character" w:styleId="49">
    <w:name w:val="annotation reference"/>
    <w:unhideWhenUsed/>
    <w:qFormat/>
    <w:uiPriority w:val="99"/>
    <w:rPr>
      <w:sz w:val="21"/>
      <w:szCs w:val="21"/>
    </w:rPr>
  </w:style>
  <w:style w:type="paragraph" w:customStyle="1" w:styleId="50">
    <w:name w:val="_Style 59"/>
    <w:qFormat/>
    <w:uiPriority w:val="0"/>
    <w:pPr>
      <w:spacing w:after="160" w:line="240" w:lineRule="exact"/>
    </w:pPr>
    <w:rPr>
      <w:rFonts w:ascii="Times New Roman" w:hAnsi="Times New Roman" w:eastAsia="宋体" w:cs="Times New Roman"/>
      <w:lang w:val="en-US" w:eastAsia="zh-CN" w:bidi="ar-SA"/>
    </w:rPr>
  </w:style>
  <w:style w:type="character" w:customStyle="1" w:styleId="51">
    <w:name w:val="标题 4 字符"/>
    <w:basedOn w:val="44"/>
    <w:link w:val="5"/>
    <w:qFormat/>
    <w:uiPriority w:val="0"/>
    <w:rPr>
      <w:rFonts w:ascii="宋体" w:hAnsi="宋体" w:eastAsia="黑体" w:cs="Times New Roman"/>
      <w:bCs/>
      <w:color w:val="000000"/>
      <w:kern w:val="0"/>
      <w:sz w:val="28"/>
      <w:szCs w:val="32"/>
    </w:rPr>
  </w:style>
  <w:style w:type="character" w:customStyle="1" w:styleId="52">
    <w:name w:val="纯文本 Char2"/>
    <w:semiHidden/>
    <w:qFormat/>
    <w:uiPriority w:val="99"/>
    <w:rPr>
      <w:rFonts w:ascii="宋体" w:hAnsi="Courier New" w:eastAsia="宋体" w:cs="Courier New"/>
      <w:szCs w:val="21"/>
    </w:rPr>
  </w:style>
  <w:style w:type="character" w:customStyle="1" w:styleId="53">
    <w:name w:val="纯文本 字符"/>
    <w:link w:val="23"/>
    <w:qFormat/>
    <w:uiPriority w:val="0"/>
    <w:rPr>
      <w:rFonts w:ascii="宋体" w:hAnsi="Courier New" w:eastAsia="宋体" w:cs="Courier New"/>
      <w:szCs w:val="21"/>
    </w:rPr>
  </w:style>
  <w:style w:type="character" w:customStyle="1" w:styleId="54">
    <w:name w:val="批注文字 Char2"/>
    <w:semiHidden/>
    <w:qFormat/>
    <w:uiPriority w:val="99"/>
    <w:rPr>
      <w:rFonts w:ascii="Times New Roman" w:hAnsi="Times New Roman" w:eastAsia="宋体" w:cs="Times New Roman"/>
      <w:szCs w:val="24"/>
    </w:rPr>
  </w:style>
  <w:style w:type="character" w:customStyle="1" w:styleId="55">
    <w:name w:val="文档结构图 Char2"/>
    <w:semiHidden/>
    <w:qFormat/>
    <w:uiPriority w:val="99"/>
    <w:rPr>
      <w:rFonts w:ascii="宋体" w:hAnsi="Times New Roman" w:eastAsia="宋体" w:cs="Times New Roman"/>
      <w:sz w:val="18"/>
      <w:szCs w:val="18"/>
    </w:rPr>
  </w:style>
  <w:style w:type="character" w:customStyle="1" w:styleId="56">
    <w:name w:val="纯文本 Char3"/>
    <w:basedOn w:val="44"/>
    <w:semiHidden/>
    <w:qFormat/>
    <w:uiPriority w:val="99"/>
    <w:rPr>
      <w:rFonts w:ascii="宋体" w:hAnsi="Courier New" w:eastAsia="宋体" w:cs="Courier New"/>
      <w:szCs w:val="21"/>
    </w:rPr>
  </w:style>
  <w:style w:type="character" w:customStyle="1" w:styleId="57">
    <w:name w:val="批注框文本 Char3"/>
    <w:basedOn w:val="44"/>
    <w:semiHidden/>
    <w:qFormat/>
    <w:uiPriority w:val="99"/>
    <w:rPr>
      <w:sz w:val="18"/>
      <w:szCs w:val="18"/>
    </w:rPr>
  </w:style>
  <w:style w:type="character" w:customStyle="1" w:styleId="58">
    <w:name w:val="称呼 Char1"/>
    <w:semiHidden/>
    <w:qFormat/>
    <w:uiPriority w:val="99"/>
    <w:rPr>
      <w:rFonts w:ascii="Times New Roman" w:hAnsi="Times New Roman" w:eastAsia="宋体" w:cs="Times New Roman"/>
      <w:szCs w:val="24"/>
    </w:rPr>
  </w:style>
  <w:style w:type="character" w:customStyle="1" w:styleId="59">
    <w:name w:val="Char Char15"/>
    <w:qFormat/>
    <w:uiPriority w:val="0"/>
    <w:rPr>
      <w:rFonts w:eastAsia="黑体"/>
      <w:bCs/>
      <w:kern w:val="2"/>
      <w:sz w:val="24"/>
      <w:szCs w:val="32"/>
    </w:rPr>
  </w:style>
  <w:style w:type="character" w:customStyle="1" w:styleId="60">
    <w:name w:val="标题 2 字符"/>
    <w:basedOn w:val="44"/>
    <w:link w:val="3"/>
    <w:qFormat/>
    <w:uiPriority w:val="0"/>
    <w:rPr>
      <w:rFonts w:ascii="Arial" w:hAnsi="Arial" w:eastAsia="黑体" w:cs="Times New Roman"/>
      <w:bCs/>
      <w:kern w:val="0"/>
      <w:sz w:val="30"/>
      <w:szCs w:val="32"/>
    </w:rPr>
  </w:style>
  <w:style w:type="character" w:customStyle="1" w:styleId="61">
    <w:name w:val="Char Char13"/>
    <w:qFormat/>
    <w:uiPriority w:val="0"/>
    <w:rPr>
      <w:rFonts w:ascii="宋体" w:hAnsi="Courier New" w:eastAsia="宋体"/>
      <w:kern w:val="2"/>
      <w:sz w:val="21"/>
      <w:lang w:val="en-US" w:eastAsia="zh-CN"/>
    </w:rPr>
  </w:style>
  <w:style w:type="paragraph" w:customStyle="1" w:styleId="6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63">
    <w:name w:val="正文图标题"/>
    <w:next w:val="1"/>
    <w:qFormat/>
    <w:uiPriority w:val="0"/>
    <w:pPr>
      <w:jc w:val="center"/>
    </w:pPr>
    <w:rPr>
      <w:rFonts w:ascii="黑体" w:hAnsi="Times New Roman" w:eastAsia="黑体" w:cs="Times New Roman"/>
      <w:sz w:val="21"/>
      <w:lang w:val="en-US" w:eastAsia="zh-CN" w:bidi="ar-SA"/>
    </w:rPr>
  </w:style>
  <w:style w:type="paragraph" w:customStyle="1" w:styleId="64">
    <w:name w:val="1eee"/>
    <w:basedOn w:val="2"/>
    <w:qFormat/>
    <w:uiPriority w:val="0"/>
    <w:rPr>
      <w:rFonts w:eastAsia="黑体" w:cs="宋体"/>
      <w:b w:val="0"/>
      <w:sz w:val="30"/>
    </w:rPr>
  </w:style>
  <w:style w:type="paragraph" w:customStyle="1" w:styleId="65">
    <w:name w:val="修订1"/>
    <w:unhideWhenUsed/>
    <w:qFormat/>
    <w:uiPriority w:val="99"/>
    <w:rPr>
      <w:rFonts w:ascii="Times New Roman" w:hAnsi="Times New Roman" w:eastAsia="宋体" w:cs="Times New Roman"/>
      <w:kern w:val="2"/>
      <w:sz w:val="21"/>
      <w:szCs w:val="24"/>
      <w:lang w:val="en-US" w:eastAsia="zh-CN" w:bidi="ar-SA"/>
    </w:rPr>
  </w:style>
  <w:style w:type="character" w:customStyle="1" w:styleId="66">
    <w:name w:val="标题 Char1"/>
    <w:qFormat/>
    <w:uiPriority w:val="10"/>
    <w:rPr>
      <w:rFonts w:ascii="Cambria" w:hAnsi="Cambria" w:eastAsia="宋体" w:cs="Times New Roman"/>
      <w:b/>
      <w:bCs/>
      <w:sz w:val="32"/>
      <w:szCs w:val="32"/>
    </w:rPr>
  </w:style>
  <w:style w:type="character" w:customStyle="1" w:styleId="67">
    <w:name w:val="正文文本缩进 字符"/>
    <w:basedOn w:val="44"/>
    <w:link w:val="20"/>
    <w:semiHidden/>
    <w:qFormat/>
    <w:uiPriority w:val="99"/>
  </w:style>
  <w:style w:type="character" w:customStyle="1" w:styleId="68">
    <w:name w:val="纯文本 Char1"/>
    <w:semiHidden/>
    <w:qFormat/>
    <w:uiPriority w:val="99"/>
    <w:rPr>
      <w:rFonts w:ascii="宋体" w:hAnsi="Courier New" w:eastAsia="宋体" w:cs="Courier New"/>
      <w:szCs w:val="21"/>
    </w:rPr>
  </w:style>
  <w:style w:type="character" w:customStyle="1" w:styleId="69">
    <w:name w:val="正文首行缩进 Char2"/>
    <w:basedOn w:val="70"/>
    <w:semiHidden/>
    <w:qFormat/>
    <w:uiPriority w:val="99"/>
    <w:rPr>
      <w:rFonts w:ascii="Times New Roman" w:hAnsi="Times New Roman" w:eastAsia="宋体" w:cs="Times New Roman"/>
      <w:szCs w:val="24"/>
    </w:rPr>
  </w:style>
  <w:style w:type="character" w:customStyle="1" w:styleId="70">
    <w:name w:val="正文文本 Char2"/>
    <w:semiHidden/>
    <w:qFormat/>
    <w:uiPriority w:val="99"/>
    <w:rPr>
      <w:rFonts w:ascii="Times New Roman" w:hAnsi="Times New Roman" w:eastAsia="宋体" w:cs="Times New Roman"/>
      <w:szCs w:val="24"/>
    </w:rPr>
  </w:style>
  <w:style w:type="character" w:customStyle="1" w:styleId="71">
    <w:name w:val="HTML 预设格式 字符"/>
    <w:link w:val="37"/>
    <w:qFormat/>
    <w:uiPriority w:val="0"/>
    <w:rPr>
      <w:szCs w:val="21"/>
    </w:rPr>
  </w:style>
  <w:style w:type="character" w:customStyle="1" w:styleId="72">
    <w:name w:val="样式3 Char"/>
    <w:link w:val="73"/>
    <w:qFormat/>
    <w:uiPriority w:val="0"/>
    <w:rPr>
      <w:rFonts w:eastAsia="Times New Roman"/>
      <w:b/>
      <w:sz w:val="24"/>
    </w:rPr>
  </w:style>
  <w:style w:type="paragraph" w:customStyle="1" w:styleId="73">
    <w:name w:val="样式3"/>
    <w:link w:val="72"/>
    <w:qFormat/>
    <w:uiPriority w:val="0"/>
    <w:pPr>
      <w:tabs>
        <w:tab w:val="left" w:pos="1140"/>
      </w:tabs>
      <w:spacing w:line="480" w:lineRule="exact"/>
      <w:ind w:left="1140" w:hanging="720"/>
    </w:pPr>
    <w:rPr>
      <w:rFonts w:eastAsia="Times New Roman" w:asciiTheme="minorHAnsi" w:hAnsiTheme="minorHAnsi" w:cstheme="minorBidi"/>
      <w:b/>
      <w:kern w:val="2"/>
      <w:sz w:val="24"/>
      <w:szCs w:val="22"/>
      <w:lang w:val="en-US" w:eastAsia="zh-CN" w:bidi="ar-SA"/>
    </w:rPr>
  </w:style>
  <w:style w:type="paragraph" w:customStyle="1" w:styleId="74">
    <w:name w:val="插图名称"/>
    <w:link w:val="141"/>
    <w:qFormat/>
    <w:uiPriority w:val="0"/>
    <w:pPr>
      <w:jc w:val="center"/>
      <w:outlineLvl w:val="8"/>
    </w:pPr>
    <w:rPr>
      <w:rFonts w:eastAsia="Times New Roman" w:asciiTheme="minorHAnsi" w:hAnsiTheme="minorHAnsi" w:cstheme="minorBidi"/>
      <w:kern w:val="2"/>
      <w:sz w:val="21"/>
      <w:szCs w:val="24"/>
      <w:lang w:val="en-US" w:eastAsia="zh-CN" w:bidi="ar-SA"/>
    </w:rPr>
  </w:style>
  <w:style w:type="character" w:customStyle="1" w:styleId="75">
    <w:name w:val="标题1.1.1 Char Char"/>
    <w:qFormat/>
    <w:uiPriority w:val="0"/>
    <w:rPr>
      <w:b/>
      <w:bCs/>
      <w:sz w:val="32"/>
      <w:szCs w:val="32"/>
    </w:rPr>
  </w:style>
  <w:style w:type="character" w:customStyle="1" w:styleId="76">
    <w:name w:val="文档结构图 字符"/>
    <w:link w:val="15"/>
    <w:semiHidden/>
    <w:qFormat/>
    <w:uiPriority w:val="0"/>
    <w:rPr>
      <w:rFonts w:eastAsia="宋体"/>
      <w:szCs w:val="24"/>
      <w:shd w:val="clear" w:color="auto" w:fill="000080"/>
    </w:rPr>
  </w:style>
  <w:style w:type="character" w:customStyle="1" w:styleId="77">
    <w:name w:val="标题 字符"/>
    <w:link w:val="39"/>
    <w:qFormat/>
    <w:uiPriority w:val="0"/>
    <w:rPr>
      <w:rFonts w:ascii="Arial" w:hAnsi="Arial" w:eastAsia="宋体" w:cs="Arial"/>
      <w:b/>
      <w:bCs/>
      <w:sz w:val="32"/>
      <w:szCs w:val="32"/>
    </w:rPr>
  </w:style>
  <w:style w:type="character" w:customStyle="1" w:styleId="78">
    <w:name w:val="正文文本 2 字符"/>
    <w:link w:val="36"/>
    <w:qFormat/>
    <w:uiPriority w:val="0"/>
    <w:rPr>
      <w:rFonts w:eastAsia="宋体"/>
      <w:szCs w:val="24"/>
    </w:rPr>
  </w:style>
  <w:style w:type="paragraph" w:styleId="79">
    <w:name w:val="No Spacing"/>
    <w:link w:val="111"/>
    <w:qFormat/>
    <w:uiPriority w:val="0"/>
    <w:pPr>
      <w:widowControl w:val="0"/>
      <w:jc w:val="both"/>
    </w:pPr>
    <w:rPr>
      <w:rFonts w:eastAsia="Times New Roman" w:asciiTheme="minorHAnsi" w:hAnsiTheme="minorHAnsi" w:cstheme="minorBidi"/>
      <w:kern w:val="2"/>
      <w:sz w:val="24"/>
      <w:szCs w:val="24"/>
      <w:lang w:val="en-US" w:eastAsia="zh-CN" w:bidi="ar-SA"/>
    </w:rPr>
  </w:style>
  <w:style w:type="paragraph" w:styleId="80">
    <w:name w:val="List Paragraph"/>
    <w:basedOn w:val="1"/>
    <w:qFormat/>
    <w:uiPriority w:val="0"/>
    <w:pPr>
      <w:ind w:firstLine="420" w:firstLineChars="200"/>
    </w:pPr>
    <w:rPr>
      <w:rFonts w:ascii="Calibri" w:hAnsi="Calibri" w:eastAsia="宋体" w:cs="Times New Roman"/>
    </w:rPr>
  </w:style>
  <w:style w:type="character" w:customStyle="1" w:styleId="81">
    <w:name w:val="HTML 预设格式 Char3"/>
    <w:basedOn w:val="44"/>
    <w:semiHidden/>
    <w:qFormat/>
    <w:uiPriority w:val="99"/>
    <w:rPr>
      <w:rFonts w:ascii="Courier New" w:hAnsi="Courier New" w:cs="Courier New"/>
      <w:sz w:val="20"/>
      <w:szCs w:val="20"/>
    </w:rPr>
  </w:style>
  <w:style w:type="character" w:customStyle="1" w:styleId="82">
    <w:name w:val="正文文本 3 Char1"/>
    <w:semiHidden/>
    <w:qFormat/>
    <w:uiPriority w:val="99"/>
    <w:rPr>
      <w:rFonts w:ascii="Times New Roman" w:hAnsi="Times New Roman" w:eastAsia="宋体" w:cs="Times New Roman"/>
      <w:sz w:val="16"/>
      <w:szCs w:val="16"/>
    </w:rPr>
  </w:style>
  <w:style w:type="character" w:customStyle="1" w:styleId="83">
    <w:name w:val="批注主题 Char3"/>
    <w:basedOn w:val="84"/>
    <w:semiHidden/>
    <w:qFormat/>
    <w:uiPriority w:val="99"/>
    <w:rPr>
      <w:b/>
      <w:bCs/>
    </w:rPr>
  </w:style>
  <w:style w:type="character" w:customStyle="1" w:styleId="84">
    <w:name w:val="批注文字 Char3"/>
    <w:basedOn w:val="44"/>
    <w:semiHidden/>
    <w:qFormat/>
    <w:uiPriority w:val="99"/>
  </w:style>
  <w:style w:type="character" w:customStyle="1" w:styleId="85">
    <w:name w:val="正文文本 字符"/>
    <w:link w:val="19"/>
    <w:qFormat/>
    <w:uiPriority w:val="99"/>
    <w:rPr>
      <w:rFonts w:ascii="Times New Roman" w:hAnsi="Times New Roman" w:eastAsia="宋体" w:cs="Times New Roman"/>
      <w:szCs w:val="24"/>
    </w:rPr>
  </w:style>
  <w:style w:type="character" w:customStyle="1" w:styleId="86">
    <w:name w:val="标题 1 字符"/>
    <w:basedOn w:val="44"/>
    <w:link w:val="2"/>
    <w:qFormat/>
    <w:uiPriority w:val="0"/>
    <w:rPr>
      <w:rFonts w:ascii="Times New Roman" w:hAnsi="Times New Roman" w:eastAsia="华文中宋" w:cs="Times New Roman"/>
      <w:b/>
      <w:bCs/>
      <w:kern w:val="44"/>
      <w:sz w:val="44"/>
      <w:szCs w:val="44"/>
    </w:rPr>
  </w:style>
  <w:style w:type="character" w:customStyle="1" w:styleId="87">
    <w:name w:val="标题 3 字符"/>
    <w:basedOn w:val="44"/>
    <w:link w:val="4"/>
    <w:qFormat/>
    <w:uiPriority w:val="0"/>
    <w:rPr>
      <w:rFonts w:ascii="Times New Roman" w:hAnsi="Times New Roman" w:eastAsia="黑体" w:cs="Times New Roman"/>
      <w:bCs/>
      <w:kern w:val="0"/>
      <w:sz w:val="28"/>
      <w:szCs w:val="32"/>
    </w:rPr>
  </w:style>
  <w:style w:type="character" w:customStyle="1" w:styleId="88">
    <w:name w:val="正文文本 3 Char2"/>
    <w:semiHidden/>
    <w:qFormat/>
    <w:uiPriority w:val="99"/>
    <w:rPr>
      <w:rFonts w:ascii="Times New Roman" w:hAnsi="Times New Roman" w:eastAsia="宋体" w:cs="Times New Roman"/>
      <w:sz w:val="16"/>
      <w:szCs w:val="16"/>
    </w:rPr>
  </w:style>
  <w:style w:type="character" w:customStyle="1" w:styleId="89">
    <w:name w:val="页脚 字符"/>
    <w:basedOn w:val="44"/>
    <w:link w:val="28"/>
    <w:qFormat/>
    <w:uiPriority w:val="99"/>
    <w:rPr>
      <w:sz w:val="18"/>
      <w:szCs w:val="18"/>
    </w:rPr>
  </w:style>
  <w:style w:type="character" w:customStyle="1" w:styleId="90">
    <w:name w:val="文档结构图 Char1"/>
    <w:semiHidden/>
    <w:qFormat/>
    <w:uiPriority w:val="99"/>
    <w:rPr>
      <w:rFonts w:ascii="宋体" w:hAnsi="Times New Roman" w:eastAsia="宋体" w:cs="Times New Roman"/>
      <w:sz w:val="18"/>
      <w:szCs w:val="18"/>
    </w:rPr>
  </w:style>
  <w:style w:type="character" w:customStyle="1" w:styleId="91">
    <w:name w:val="标题 1 1 Char4"/>
    <w:qFormat/>
    <w:uiPriority w:val="0"/>
    <w:rPr>
      <w:rFonts w:eastAsia="宋体"/>
      <w:b/>
      <w:bCs/>
      <w:kern w:val="44"/>
      <w:sz w:val="44"/>
      <w:szCs w:val="44"/>
      <w:lang w:val="en-US" w:eastAsia="zh-CN" w:bidi="ar-SA"/>
    </w:rPr>
  </w:style>
  <w:style w:type="character" w:customStyle="1" w:styleId="92">
    <w:name w:val="正文文本缩进 3 字符"/>
    <w:link w:val="33"/>
    <w:qFormat/>
    <w:uiPriority w:val="0"/>
    <w:rPr>
      <w:sz w:val="16"/>
    </w:rPr>
  </w:style>
  <w:style w:type="character" w:customStyle="1" w:styleId="93">
    <w:name w:val="标题 5 字符"/>
    <w:basedOn w:val="44"/>
    <w:link w:val="6"/>
    <w:qFormat/>
    <w:uiPriority w:val="0"/>
    <w:rPr>
      <w:rFonts w:ascii="Times New Roman" w:hAnsi="Times New Roman" w:eastAsia="黑体" w:cs="Times New Roman"/>
      <w:bCs/>
      <w:kern w:val="0"/>
      <w:sz w:val="24"/>
      <w:szCs w:val="28"/>
    </w:rPr>
  </w:style>
  <w:style w:type="character" w:customStyle="1" w:styleId="94">
    <w:name w:val="正文文本缩进 3 Char1"/>
    <w:semiHidden/>
    <w:qFormat/>
    <w:uiPriority w:val="99"/>
    <w:rPr>
      <w:rFonts w:ascii="Times New Roman" w:hAnsi="Times New Roman" w:eastAsia="宋体" w:cs="Times New Roman"/>
      <w:sz w:val="16"/>
      <w:szCs w:val="16"/>
    </w:rPr>
  </w:style>
  <w:style w:type="paragraph" w:customStyle="1" w:styleId="95">
    <w:name w:val="3eee"/>
    <w:basedOn w:val="1"/>
    <w:link w:val="112"/>
    <w:qFormat/>
    <w:uiPriority w:val="0"/>
    <w:pPr>
      <w:spacing w:line="440" w:lineRule="exact"/>
      <w:ind w:firstLine="480" w:firstLineChars="200"/>
    </w:pPr>
    <w:rPr>
      <w:rFonts w:ascii="Courier New" w:hAnsi="Courier New" w:eastAsia="Courier New" w:cs="Courier New"/>
      <w:sz w:val="24"/>
      <w:szCs w:val="24"/>
    </w:rPr>
  </w:style>
  <w:style w:type="character" w:customStyle="1" w:styleId="96">
    <w:name w:val="表格00 Char1"/>
    <w:link w:val="97"/>
    <w:qFormat/>
    <w:uiPriority w:val="0"/>
    <w:rPr>
      <w:rFonts w:eastAsia="Times New Roman"/>
      <w:szCs w:val="21"/>
    </w:rPr>
  </w:style>
  <w:style w:type="paragraph" w:customStyle="1" w:styleId="97">
    <w:name w:val="表格00"/>
    <w:link w:val="96"/>
    <w:qFormat/>
    <w:uiPriority w:val="0"/>
    <w:pPr>
      <w:widowControl w:val="0"/>
      <w:adjustRightInd w:val="0"/>
      <w:spacing w:line="140" w:lineRule="atLeast"/>
      <w:jc w:val="center"/>
      <w:outlineLvl w:val="8"/>
    </w:pPr>
    <w:rPr>
      <w:rFonts w:eastAsia="Times New Roman" w:asciiTheme="minorHAnsi" w:hAnsiTheme="minorHAnsi" w:cstheme="minorBidi"/>
      <w:kern w:val="2"/>
      <w:sz w:val="21"/>
      <w:szCs w:val="21"/>
      <w:lang w:val="en-US" w:eastAsia="zh-CN" w:bidi="ar-SA"/>
    </w:rPr>
  </w:style>
  <w:style w:type="character" w:customStyle="1" w:styleId="98">
    <w:name w:val="标题 9 字符"/>
    <w:basedOn w:val="44"/>
    <w:link w:val="10"/>
    <w:qFormat/>
    <w:uiPriority w:val="0"/>
    <w:rPr>
      <w:rFonts w:ascii="Arial" w:hAnsi="Arial" w:eastAsia="黑体" w:cs="Times New Roman"/>
      <w:kern w:val="0"/>
      <w:sz w:val="20"/>
      <w:szCs w:val="21"/>
    </w:rPr>
  </w:style>
  <w:style w:type="character" w:customStyle="1" w:styleId="99">
    <w:name w:val="正文文本缩进 Char1"/>
    <w:qFormat/>
    <w:uiPriority w:val="99"/>
    <w:rPr>
      <w:rFonts w:ascii="Times New Roman" w:hAnsi="Times New Roman" w:eastAsia="宋体" w:cs="Times New Roman"/>
      <w:szCs w:val="24"/>
    </w:rPr>
  </w:style>
  <w:style w:type="character" w:customStyle="1" w:styleId="100">
    <w:name w:val="正文文本缩进 Char"/>
    <w:qFormat/>
    <w:uiPriority w:val="0"/>
    <w:rPr>
      <w:rFonts w:eastAsia="宋体"/>
      <w:kern w:val="2"/>
      <w:sz w:val="21"/>
      <w:szCs w:val="24"/>
      <w:lang w:val="en-US" w:eastAsia="zh-CN" w:bidi="ar-SA"/>
    </w:rPr>
  </w:style>
  <w:style w:type="character" w:customStyle="1" w:styleId="101">
    <w:name w:val="日期 字符"/>
    <w:link w:val="25"/>
    <w:qFormat/>
    <w:uiPriority w:val="0"/>
    <w:rPr>
      <w:rFonts w:eastAsia="宋体"/>
      <w:szCs w:val="24"/>
    </w:rPr>
  </w:style>
  <w:style w:type="character" w:customStyle="1" w:styleId="102">
    <w:name w:val="正文文本缩进 2 Char2"/>
    <w:semiHidden/>
    <w:qFormat/>
    <w:uiPriority w:val="99"/>
    <w:rPr>
      <w:rFonts w:ascii="Times New Roman" w:hAnsi="Times New Roman" w:eastAsia="宋体" w:cs="Times New Roman"/>
      <w:szCs w:val="24"/>
    </w:rPr>
  </w:style>
  <w:style w:type="character" w:customStyle="1" w:styleId="103">
    <w:name w:val="正文文本 2 Char2"/>
    <w:semiHidden/>
    <w:qFormat/>
    <w:uiPriority w:val="99"/>
    <w:rPr>
      <w:rFonts w:ascii="Times New Roman" w:hAnsi="Times New Roman" w:eastAsia="宋体" w:cs="Times New Roman"/>
      <w:szCs w:val="24"/>
    </w:rPr>
  </w:style>
  <w:style w:type="character" w:customStyle="1" w:styleId="104">
    <w:name w:val="正文(仿)首缩 Char"/>
    <w:link w:val="105"/>
    <w:qFormat/>
    <w:uiPriority w:val="0"/>
    <w:rPr>
      <w:rFonts w:ascii="仿宋_GB2312" w:hAnsi="仿宋_GB2312" w:eastAsia="仿宋_GB2312"/>
      <w:sz w:val="28"/>
    </w:rPr>
  </w:style>
  <w:style w:type="paragraph" w:customStyle="1" w:styleId="105">
    <w:name w:val="正文(仿)首缩"/>
    <w:basedOn w:val="1"/>
    <w:link w:val="104"/>
    <w:qFormat/>
    <w:uiPriority w:val="0"/>
    <w:pPr>
      <w:spacing w:line="360" w:lineRule="auto"/>
      <w:ind w:firstLine="488" w:firstLineChars="200"/>
    </w:pPr>
    <w:rPr>
      <w:rFonts w:ascii="仿宋_GB2312" w:hAnsi="仿宋_GB2312" w:eastAsia="仿宋_GB2312"/>
      <w:sz w:val="28"/>
    </w:rPr>
  </w:style>
  <w:style w:type="character" w:customStyle="1" w:styleId="106">
    <w:name w:val="批注文字 字符"/>
    <w:link w:val="16"/>
    <w:qFormat/>
    <w:uiPriority w:val="99"/>
    <w:rPr>
      <w:rFonts w:ascii="Times New Roman" w:hAnsi="Times New Roman" w:eastAsia="宋体" w:cs="Times New Roman"/>
      <w:szCs w:val="24"/>
    </w:rPr>
  </w:style>
  <w:style w:type="character" w:customStyle="1" w:styleId="107">
    <w:name w:val="批注主题 Char2"/>
    <w:semiHidden/>
    <w:qFormat/>
    <w:uiPriority w:val="99"/>
    <w:rPr>
      <w:rFonts w:ascii="Times New Roman" w:hAnsi="Times New Roman" w:eastAsia="宋体" w:cs="Times New Roman"/>
      <w:b/>
      <w:bCs/>
      <w:szCs w:val="24"/>
    </w:rPr>
  </w:style>
  <w:style w:type="character" w:customStyle="1" w:styleId="108">
    <w:name w:val="页脚 Char1"/>
    <w:semiHidden/>
    <w:qFormat/>
    <w:uiPriority w:val="99"/>
    <w:rPr>
      <w:rFonts w:ascii="Times New Roman" w:hAnsi="Times New Roman" w:eastAsia="宋体" w:cs="Times New Roman"/>
      <w:sz w:val="18"/>
      <w:szCs w:val="18"/>
    </w:rPr>
  </w:style>
  <w:style w:type="character" w:customStyle="1" w:styleId="109">
    <w:name w:val="标题 6 字符"/>
    <w:basedOn w:val="44"/>
    <w:link w:val="7"/>
    <w:qFormat/>
    <w:uiPriority w:val="0"/>
    <w:rPr>
      <w:rFonts w:ascii="Arial" w:hAnsi="Arial" w:eastAsia="黑体" w:cs="Times New Roman"/>
      <w:b/>
      <w:bCs/>
      <w:kern w:val="0"/>
      <w:sz w:val="24"/>
      <w:szCs w:val="24"/>
    </w:rPr>
  </w:style>
  <w:style w:type="paragraph" w:customStyle="1" w:styleId="110">
    <w:name w:val="样式 首行缩进:  2 字符"/>
    <w:basedOn w:val="1"/>
    <w:qFormat/>
    <w:uiPriority w:val="0"/>
    <w:pPr>
      <w:adjustRightInd w:val="0"/>
      <w:snapToGrid w:val="0"/>
      <w:spacing w:line="360" w:lineRule="auto"/>
      <w:ind w:firstLine="200" w:firstLineChars="200"/>
    </w:pPr>
    <w:rPr>
      <w:rFonts w:ascii="Times New Roman" w:hAnsi="Times New Roman" w:eastAsia="仿宋_GB2312" w:cs="宋体"/>
      <w:sz w:val="28"/>
      <w:szCs w:val="20"/>
    </w:rPr>
  </w:style>
  <w:style w:type="character" w:customStyle="1" w:styleId="111">
    <w:name w:val="无间隔 字符"/>
    <w:link w:val="79"/>
    <w:qFormat/>
    <w:uiPriority w:val="0"/>
    <w:rPr>
      <w:rFonts w:eastAsia="Times New Roman"/>
      <w:sz w:val="24"/>
      <w:szCs w:val="24"/>
    </w:rPr>
  </w:style>
  <w:style w:type="character" w:customStyle="1" w:styleId="112">
    <w:name w:val="3eee Char"/>
    <w:link w:val="95"/>
    <w:qFormat/>
    <w:uiPriority w:val="0"/>
    <w:rPr>
      <w:rFonts w:ascii="Courier New" w:hAnsi="Courier New" w:eastAsia="Courier New" w:cs="Courier New"/>
      <w:sz w:val="24"/>
      <w:szCs w:val="24"/>
    </w:rPr>
  </w:style>
  <w:style w:type="character" w:customStyle="1" w:styleId="113">
    <w:name w:val="HTML 预设格式 Char1"/>
    <w:semiHidden/>
    <w:qFormat/>
    <w:uiPriority w:val="99"/>
    <w:rPr>
      <w:rFonts w:ascii="Courier New" w:hAnsi="Courier New" w:eastAsia="宋体" w:cs="Courier New"/>
      <w:sz w:val="20"/>
      <w:szCs w:val="20"/>
    </w:rPr>
  </w:style>
  <w:style w:type="character" w:customStyle="1" w:styleId="114">
    <w:name w:val="称呼 Char2"/>
    <w:semiHidden/>
    <w:qFormat/>
    <w:uiPriority w:val="99"/>
    <w:rPr>
      <w:rFonts w:ascii="Times New Roman" w:hAnsi="Times New Roman" w:eastAsia="宋体" w:cs="Times New Roman"/>
      <w:szCs w:val="24"/>
    </w:rPr>
  </w:style>
  <w:style w:type="character" w:customStyle="1" w:styleId="115">
    <w:name w:val="正文文本缩进 2 字符"/>
    <w:link w:val="26"/>
    <w:qFormat/>
    <w:uiPriority w:val="0"/>
    <w:rPr>
      <w:rFonts w:eastAsia="Courier New"/>
    </w:rPr>
  </w:style>
  <w:style w:type="character" w:customStyle="1" w:styleId="116">
    <w:name w:val="正文文本 Char3"/>
    <w:basedOn w:val="44"/>
    <w:semiHidden/>
    <w:qFormat/>
    <w:uiPriority w:val="99"/>
  </w:style>
  <w:style w:type="character" w:customStyle="1" w:styleId="117">
    <w:name w:val="正文首行缩进 2 Char1"/>
    <w:semiHidden/>
    <w:qFormat/>
    <w:uiPriority w:val="99"/>
  </w:style>
  <w:style w:type="character" w:customStyle="1" w:styleId="118">
    <w:name w:val="正文首行缩进 Char3"/>
    <w:basedOn w:val="116"/>
    <w:semiHidden/>
    <w:qFormat/>
    <w:uiPriority w:val="99"/>
  </w:style>
  <w:style w:type="character" w:customStyle="1" w:styleId="119">
    <w:name w:val="页眉 Char2"/>
    <w:semiHidden/>
    <w:qFormat/>
    <w:uiPriority w:val="99"/>
    <w:rPr>
      <w:rFonts w:ascii="Times New Roman" w:hAnsi="Times New Roman" w:eastAsia="宋体" w:cs="Times New Roman"/>
      <w:sz w:val="18"/>
      <w:szCs w:val="18"/>
    </w:rPr>
  </w:style>
  <w:style w:type="character" w:customStyle="1" w:styleId="120">
    <w:name w:val="页眉 字符"/>
    <w:basedOn w:val="44"/>
    <w:link w:val="29"/>
    <w:qFormat/>
    <w:uiPriority w:val="0"/>
    <w:rPr>
      <w:sz w:val="18"/>
      <w:szCs w:val="18"/>
    </w:rPr>
  </w:style>
  <w:style w:type="character" w:customStyle="1" w:styleId="121">
    <w:name w:val="标题 7 字符"/>
    <w:basedOn w:val="44"/>
    <w:link w:val="8"/>
    <w:qFormat/>
    <w:uiPriority w:val="0"/>
    <w:rPr>
      <w:rFonts w:ascii="Times New Roman" w:hAnsi="Times New Roman" w:eastAsia="宋体" w:cs="Times New Roman"/>
      <w:b/>
      <w:bCs/>
      <w:kern w:val="0"/>
      <w:sz w:val="24"/>
      <w:szCs w:val="24"/>
    </w:rPr>
  </w:style>
  <w:style w:type="character" w:customStyle="1" w:styleId="122">
    <w:name w:val="正文首行缩进 Char1"/>
    <w:semiHidden/>
    <w:qFormat/>
    <w:uiPriority w:val="99"/>
  </w:style>
  <w:style w:type="character" w:customStyle="1" w:styleId="123">
    <w:name w:val="正文文本缩进 3 Char3"/>
    <w:basedOn w:val="44"/>
    <w:semiHidden/>
    <w:qFormat/>
    <w:uiPriority w:val="99"/>
    <w:rPr>
      <w:sz w:val="16"/>
      <w:szCs w:val="16"/>
    </w:rPr>
  </w:style>
  <w:style w:type="character" w:customStyle="1" w:styleId="124">
    <w:name w:val="样式 宋体 小四 Char"/>
    <w:link w:val="125"/>
    <w:qFormat/>
    <w:uiPriority w:val="0"/>
    <w:rPr>
      <w:rFonts w:ascii="Courier New" w:hAnsi="Courier New" w:eastAsia="Courier New"/>
      <w:sz w:val="24"/>
    </w:rPr>
  </w:style>
  <w:style w:type="paragraph" w:customStyle="1" w:styleId="125">
    <w:name w:val="样式 宋体 小四"/>
    <w:basedOn w:val="1"/>
    <w:link w:val="124"/>
    <w:qFormat/>
    <w:uiPriority w:val="0"/>
    <w:pPr>
      <w:adjustRightInd w:val="0"/>
      <w:snapToGrid w:val="0"/>
      <w:spacing w:line="480" w:lineRule="exact"/>
      <w:ind w:firstLine="200" w:firstLineChars="200"/>
    </w:pPr>
    <w:rPr>
      <w:rFonts w:ascii="Courier New" w:hAnsi="Courier New" w:eastAsia="Courier New"/>
      <w:sz w:val="24"/>
    </w:rPr>
  </w:style>
  <w:style w:type="character" w:customStyle="1" w:styleId="126">
    <w:name w:val="正文文本首行缩进 2 字符"/>
    <w:link w:val="42"/>
    <w:qFormat/>
    <w:uiPriority w:val="0"/>
    <w:rPr>
      <w:rFonts w:ascii="Calibri" w:hAnsi="Calibri" w:eastAsia="宋体" w:cs="Times New Roman"/>
      <w:kern w:val="0"/>
      <w:sz w:val="20"/>
      <w:szCs w:val="24"/>
    </w:rPr>
  </w:style>
  <w:style w:type="character" w:customStyle="1" w:styleId="127">
    <w:name w:val="称呼 字符"/>
    <w:link w:val="17"/>
    <w:qFormat/>
    <w:uiPriority w:val="0"/>
    <w:rPr>
      <w:sz w:val="32"/>
      <w:szCs w:val="24"/>
    </w:rPr>
  </w:style>
  <w:style w:type="character" w:customStyle="1" w:styleId="128">
    <w:name w:val="批注框文本 Char2"/>
    <w:semiHidden/>
    <w:qFormat/>
    <w:uiPriority w:val="99"/>
    <w:rPr>
      <w:rFonts w:ascii="Times New Roman" w:hAnsi="Times New Roman" w:eastAsia="宋体" w:cs="Times New Roman"/>
      <w:sz w:val="18"/>
      <w:szCs w:val="18"/>
    </w:rPr>
  </w:style>
  <w:style w:type="character" w:customStyle="1" w:styleId="129">
    <w:name w:val="正文缩进 字符"/>
    <w:link w:val="13"/>
    <w:qFormat/>
    <w:uiPriority w:val="0"/>
    <w:rPr>
      <w:rFonts w:eastAsia="宋体"/>
      <w:szCs w:val="24"/>
    </w:rPr>
  </w:style>
  <w:style w:type="character" w:customStyle="1" w:styleId="130">
    <w:name w:val="批注主题 Char1"/>
    <w:semiHidden/>
    <w:qFormat/>
    <w:uiPriority w:val="99"/>
    <w:rPr>
      <w:rFonts w:ascii="Times New Roman" w:hAnsi="Times New Roman" w:eastAsia="宋体" w:cs="Times New Roman"/>
      <w:b/>
      <w:bCs/>
      <w:szCs w:val="24"/>
    </w:rPr>
  </w:style>
  <w:style w:type="paragraph" w:customStyle="1" w:styleId="131">
    <w:name w:val="CM15"/>
    <w:basedOn w:val="1"/>
    <w:next w:val="1"/>
    <w:qFormat/>
    <w:uiPriority w:val="0"/>
    <w:pPr>
      <w:autoSpaceDE w:val="0"/>
      <w:autoSpaceDN w:val="0"/>
      <w:adjustRightInd w:val="0"/>
      <w:spacing w:line="468" w:lineRule="atLeast"/>
      <w:jc w:val="left"/>
    </w:pPr>
    <w:rPr>
      <w:rFonts w:ascii="黑体" w:hAnsi="Calibri" w:eastAsia="黑体" w:cs="Times New Roman"/>
      <w:kern w:val="0"/>
      <w:sz w:val="24"/>
      <w:szCs w:val="24"/>
    </w:rPr>
  </w:style>
  <w:style w:type="character" w:customStyle="1" w:styleId="132">
    <w:name w:val="正文文本 2 Char1"/>
    <w:semiHidden/>
    <w:qFormat/>
    <w:uiPriority w:val="99"/>
    <w:rPr>
      <w:rFonts w:ascii="Times New Roman" w:hAnsi="Times New Roman" w:eastAsia="宋体" w:cs="Times New Roman"/>
      <w:szCs w:val="24"/>
    </w:rPr>
  </w:style>
  <w:style w:type="character" w:customStyle="1" w:styleId="133">
    <w:name w:val="一级标题 Char"/>
    <w:link w:val="134"/>
    <w:qFormat/>
    <w:uiPriority w:val="0"/>
    <w:rPr>
      <w:b/>
      <w:sz w:val="30"/>
      <w:szCs w:val="30"/>
    </w:rPr>
  </w:style>
  <w:style w:type="paragraph" w:customStyle="1" w:styleId="134">
    <w:name w:val="一级标题"/>
    <w:basedOn w:val="1"/>
    <w:link w:val="133"/>
    <w:qFormat/>
    <w:uiPriority w:val="0"/>
    <w:pPr>
      <w:spacing w:line="360" w:lineRule="auto"/>
      <w:outlineLvl w:val="0"/>
    </w:pPr>
    <w:rPr>
      <w:b/>
      <w:sz w:val="30"/>
      <w:szCs w:val="30"/>
    </w:rPr>
  </w:style>
  <w:style w:type="character" w:customStyle="1" w:styleId="135">
    <w:name w:val="正文文本 2 Char3"/>
    <w:basedOn w:val="44"/>
    <w:semiHidden/>
    <w:qFormat/>
    <w:uiPriority w:val="99"/>
  </w:style>
  <w:style w:type="character" w:customStyle="1" w:styleId="136">
    <w:name w:val="页脚 Char2"/>
    <w:semiHidden/>
    <w:qFormat/>
    <w:uiPriority w:val="99"/>
    <w:rPr>
      <w:rFonts w:ascii="Times New Roman" w:hAnsi="Times New Roman" w:eastAsia="宋体" w:cs="Times New Roman"/>
      <w:sz w:val="18"/>
      <w:szCs w:val="18"/>
    </w:rPr>
  </w:style>
  <w:style w:type="character" w:customStyle="1" w:styleId="137">
    <w:name w:val="正文文本 3 字符"/>
    <w:link w:val="18"/>
    <w:qFormat/>
    <w:uiPriority w:val="0"/>
    <w:rPr>
      <w:rFonts w:eastAsia="宋体"/>
      <w:sz w:val="16"/>
      <w:szCs w:val="16"/>
    </w:rPr>
  </w:style>
  <w:style w:type="character" w:customStyle="1" w:styleId="138">
    <w:name w:val="标题 Char3"/>
    <w:basedOn w:val="44"/>
    <w:qFormat/>
    <w:uiPriority w:val="10"/>
    <w:rPr>
      <w:rFonts w:eastAsia="宋体" w:asciiTheme="majorHAnsi" w:hAnsiTheme="majorHAnsi" w:cstheme="majorBidi"/>
      <w:b/>
      <w:bCs/>
      <w:sz w:val="32"/>
      <w:szCs w:val="32"/>
    </w:rPr>
  </w:style>
  <w:style w:type="character" w:customStyle="1" w:styleId="139">
    <w:name w:val="0段落文字 Char Char"/>
    <w:link w:val="140"/>
    <w:qFormat/>
    <w:uiPriority w:val="0"/>
    <w:rPr>
      <w:rFonts w:ascii="Times New Roman" w:hAnsi="Times New Roman" w:eastAsia="宋体" w:cs="Times New Roman"/>
      <w:sz w:val="24"/>
      <w:szCs w:val="21"/>
      <w:lang w:val="zh-CN"/>
    </w:rPr>
  </w:style>
  <w:style w:type="paragraph" w:customStyle="1" w:styleId="140">
    <w:name w:val="0段落文字"/>
    <w:basedOn w:val="1"/>
    <w:link w:val="139"/>
    <w:qFormat/>
    <w:uiPriority w:val="0"/>
    <w:pPr>
      <w:spacing w:line="360" w:lineRule="auto"/>
      <w:ind w:firstLine="200" w:firstLineChars="200"/>
    </w:pPr>
    <w:rPr>
      <w:rFonts w:ascii="Times New Roman" w:hAnsi="Times New Roman" w:eastAsia="宋体" w:cs="Times New Roman"/>
      <w:sz w:val="24"/>
      <w:szCs w:val="21"/>
      <w:lang w:val="zh-CN"/>
    </w:rPr>
  </w:style>
  <w:style w:type="character" w:customStyle="1" w:styleId="141">
    <w:name w:val="插图名称 Char"/>
    <w:link w:val="74"/>
    <w:qFormat/>
    <w:uiPriority w:val="0"/>
    <w:rPr>
      <w:rFonts w:eastAsia="Times New Roman"/>
      <w:szCs w:val="24"/>
    </w:rPr>
  </w:style>
  <w:style w:type="character" w:customStyle="1" w:styleId="142">
    <w:name w:val="正文文本 Char"/>
    <w:qFormat/>
    <w:uiPriority w:val="0"/>
    <w:rPr>
      <w:rFonts w:eastAsia="宋体"/>
      <w:kern w:val="2"/>
      <w:sz w:val="21"/>
      <w:szCs w:val="24"/>
      <w:lang w:val="en-US" w:eastAsia="zh-CN" w:bidi="ar-SA"/>
    </w:rPr>
  </w:style>
  <w:style w:type="character" w:customStyle="1" w:styleId="143">
    <w:name w:val="批注框文本 字符"/>
    <w:link w:val="27"/>
    <w:semiHidden/>
    <w:qFormat/>
    <w:uiPriority w:val="0"/>
    <w:rPr>
      <w:rFonts w:eastAsia="宋体"/>
      <w:sz w:val="18"/>
      <w:szCs w:val="18"/>
    </w:rPr>
  </w:style>
  <w:style w:type="character" w:customStyle="1" w:styleId="144">
    <w:name w:val="正文首行缩进 2 Char2"/>
    <w:basedOn w:val="145"/>
    <w:semiHidden/>
    <w:qFormat/>
    <w:uiPriority w:val="99"/>
    <w:rPr>
      <w:rFonts w:ascii="Times New Roman" w:hAnsi="Times New Roman" w:eastAsia="宋体" w:cs="Times New Roman"/>
      <w:szCs w:val="24"/>
    </w:rPr>
  </w:style>
  <w:style w:type="character" w:customStyle="1" w:styleId="145">
    <w:name w:val="正文文本缩进 Char2"/>
    <w:semiHidden/>
    <w:qFormat/>
    <w:uiPriority w:val="99"/>
    <w:rPr>
      <w:rFonts w:ascii="Times New Roman" w:hAnsi="Times New Roman" w:eastAsia="宋体" w:cs="Times New Roman"/>
      <w:szCs w:val="24"/>
    </w:rPr>
  </w:style>
  <w:style w:type="paragraph" w:customStyle="1" w:styleId="146">
    <w:name w:val="样式 小四 首行缩进:  0.85 厘米 行距: 1.5 倍行距"/>
    <w:basedOn w:val="1"/>
    <w:next w:val="1"/>
    <w:link w:val="165"/>
    <w:qFormat/>
    <w:uiPriority w:val="0"/>
    <w:pPr>
      <w:spacing w:line="360" w:lineRule="auto"/>
      <w:ind w:firstLine="480"/>
    </w:pPr>
    <w:rPr>
      <w:rFonts w:ascii="Courier New" w:hAnsi="Courier New" w:eastAsia="Courier New"/>
      <w:bCs/>
      <w:sz w:val="24"/>
      <w:szCs w:val="28"/>
    </w:rPr>
  </w:style>
  <w:style w:type="character" w:customStyle="1" w:styleId="147">
    <w:name w:val="正文文本缩进 2 Char3"/>
    <w:basedOn w:val="44"/>
    <w:semiHidden/>
    <w:qFormat/>
    <w:uiPriority w:val="99"/>
  </w:style>
  <w:style w:type="paragraph" w:customStyle="1" w:styleId="148">
    <w:name w:val="列出段落1"/>
    <w:basedOn w:val="1"/>
    <w:qFormat/>
    <w:uiPriority w:val="34"/>
    <w:pPr>
      <w:ind w:firstLine="420" w:firstLineChars="200"/>
    </w:pPr>
    <w:rPr>
      <w:rFonts w:ascii="Calibri" w:hAnsi="Calibri" w:eastAsia="宋体" w:cs="Times New Roman"/>
    </w:rPr>
  </w:style>
  <w:style w:type="character" w:customStyle="1" w:styleId="149">
    <w:name w:val="正文文本缩进 3 Char2"/>
    <w:semiHidden/>
    <w:qFormat/>
    <w:uiPriority w:val="99"/>
    <w:rPr>
      <w:rFonts w:ascii="Times New Roman" w:hAnsi="Times New Roman" w:eastAsia="宋体" w:cs="Times New Roman"/>
      <w:sz w:val="16"/>
      <w:szCs w:val="16"/>
    </w:rPr>
  </w:style>
  <w:style w:type="character" w:customStyle="1" w:styleId="150">
    <w:name w:val="正文文本 3 Char3"/>
    <w:basedOn w:val="44"/>
    <w:semiHidden/>
    <w:qFormat/>
    <w:uiPriority w:val="99"/>
    <w:rPr>
      <w:sz w:val="16"/>
      <w:szCs w:val="16"/>
    </w:rPr>
  </w:style>
  <w:style w:type="character" w:customStyle="1" w:styleId="151">
    <w:name w:val="日期 Char3"/>
    <w:basedOn w:val="44"/>
    <w:semiHidden/>
    <w:qFormat/>
    <w:uiPriority w:val="99"/>
  </w:style>
  <w:style w:type="character" w:customStyle="1" w:styleId="152">
    <w:name w:val="日期 Char2"/>
    <w:semiHidden/>
    <w:qFormat/>
    <w:uiPriority w:val="99"/>
    <w:rPr>
      <w:rFonts w:ascii="Times New Roman" w:hAnsi="Times New Roman" w:eastAsia="宋体" w:cs="Times New Roman"/>
      <w:szCs w:val="24"/>
    </w:rPr>
  </w:style>
  <w:style w:type="character" w:customStyle="1" w:styleId="153">
    <w:name w:val="标题 8 字符"/>
    <w:basedOn w:val="44"/>
    <w:link w:val="9"/>
    <w:qFormat/>
    <w:uiPriority w:val="0"/>
    <w:rPr>
      <w:rFonts w:ascii="Arial" w:hAnsi="Arial" w:eastAsia="黑体" w:cs="Times New Roman"/>
      <w:kern w:val="0"/>
      <w:sz w:val="24"/>
      <w:szCs w:val="24"/>
    </w:rPr>
  </w:style>
  <w:style w:type="character" w:customStyle="1" w:styleId="154">
    <w:name w:val="页眉 Char1"/>
    <w:semiHidden/>
    <w:qFormat/>
    <w:uiPriority w:val="99"/>
    <w:rPr>
      <w:rFonts w:ascii="Times New Roman" w:hAnsi="Times New Roman" w:eastAsia="宋体" w:cs="Times New Roman"/>
      <w:sz w:val="18"/>
      <w:szCs w:val="18"/>
    </w:rPr>
  </w:style>
  <w:style w:type="character" w:customStyle="1" w:styleId="155">
    <w:name w:val="无 A"/>
    <w:qFormat/>
    <w:uiPriority w:val="0"/>
  </w:style>
  <w:style w:type="character" w:customStyle="1" w:styleId="156">
    <w:name w:val="称呼 Char3"/>
    <w:basedOn w:val="44"/>
    <w:semiHidden/>
    <w:qFormat/>
    <w:uiPriority w:val="99"/>
  </w:style>
  <w:style w:type="character" w:customStyle="1" w:styleId="157">
    <w:name w:val="标题 Char2"/>
    <w:qFormat/>
    <w:uiPriority w:val="10"/>
    <w:rPr>
      <w:rFonts w:ascii="Cambria" w:hAnsi="Cambria" w:eastAsia="宋体" w:cs="Times New Roman"/>
      <w:b/>
      <w:bCs/>
      <w:sz w:val="32"/>
      <w:szCs w:val="32"/>
    </w:rPr>
  </w:style>
  <w:style w:type="character" w:customStyle="1" w:styleId="158">
    <w:name w:val="正文首行缩进 2 Char3"/>
    <w:basedOn w:val="67"/>
    <w:semiHidden/>
    <w:qFormat/>
    <w:uiPriority w:val="99"/>
  </w:style>
  <w:style w:type="character" w:customStyle="1" w:styleId="159">
    <w:name w:val="批注文字 Char"/>
    <w:semiHidden/>
    <w:qFormat/>
    <w:uiPriority w:val="0"/>
    <w:rPr>
      <w:rFonts w:eastAsia="宋体"/>
      <w:kern w:val="2"/>
      <w:sz w:val="21"/>
      <w:szCs w:val="24"/>
      <w:lang w:val="en-US" w:eastAsia="zh-CN" w:bidi="ar-SA"/>
    </w:rPr>
  </w:style>
  <w:style w:type="character" w:customStyle="1" w:styleId="160">
    <w:name w:val="批注框文本 Char1"/>
    <w:semiHidden/>
    <w:qFormat/>
    <w:uiPriority w:val="99"/>
    <w:rPr>
      <w:rFonts w:ascii="Times New Roman" w:hAnsi="Times New Roman" w:eastAsia="宋体" w:cs="Times New Roman"/>
      <w:sz w:val="18"/>
      <w:szCs w:val="18"/>
    </w:rPr>
  </w:style>
  <w:style w:type="character" w:customStyle="1" w:styleId="161">
    <w:name w:val="B Head Char5"/>
    <w:qFormat/>
    <w:uiPriority w:val="0"/>
    <w:rPr>
      <w:rFonts w:eastAsia="宋体"/>
      <w:b/>
      <w:bCs/>
      <w:kern w:val="2"/>
      <w:sz w:val="32"/>
      <w:szCs w:val="32"/>
      <w:lang w:val="en-US" w:eastAsia="zh-CN" w:bidi="ar-SA"/>
    </w:rPr>
  </w:style>
  <w:style w:type="character" w:customStyle="1" w:styleId="162">
    <w:name w:val="文档结构图 Char3"/>
    <w:basedOn w:val="44"/>
    <w:semiHidden/>
    <w:qFormat/>
    <w:uiPriority w:val="99"/>
    <w:rPr>
      <w:rFonts w:ascii="宋体" w:eastAsia="宋体"/>
      <w:sz w:val="18"/>
      <w:szCs w:val="18"/>
    </w:rPr>
  </w:style>
  <w:style w:type="character" w:customStyle="1" w:styleId="163">
    <w:name w:val="正文文本首行缩进 字符"/>
    <w:link w:val="41"/>
    <w:qFormat/>
    <w:uiPriority w:val="0"/>
    <w:rPr>
      <w:rFonts w:ascii="Calibri" w:hAnsi="Calibri" w:eastAsia="宋体" w:cs="Times New Roman"/>
      <w:szCs w:val="24"/>
    </w:rPr>
  </w:style>
  <w:style w:type="character" w:customStyle="1" w:styleId="164">
    <w:name w:val="日期 Char1"/>
    <w:semiHidden/>
    <w:qFormat/>
    <w:uiPriority w:val="99"/>
    <w:rPr>
      <w:rFonts w:ascii="Times New Roman" w:hAnsi="Times New Roman" w:eastAsia="宋体" w:cs="Times New Roman"/>
      <w:szCs w:val="24"/>
    </w:rPr>
  </w:style>
  <w:style w:type="character" w:customStyle="1" w:styleId="165">
    <w:name w:val="样式 小四 首行缩进:  0.85 厘米 行距: 1.5 倍行距 Char1"/>
    <w:link w:val="146"/>
    <w:qFormat/>
    <w:uiPriority w:val="0"/>
    <w:rPr>
      <w:rFonts w:ascii="Courier New" w:hAnsi="Courier New" w:eastAsia="Courier New"/>
      <w:bCs/>
      <w:sz w:val="24"/>
      <w:szCs w:val="28"/>
    </w:rPr>
  </w:style>
  <w:style w:type="character" w:customStyle="1" w:styleId="166">
    <w:name w:val="正文文本缩进 2 Char1"/>
    <w:semiHidden/>
    <w:qFormat/>
    <w:uiPriority w:val="99"/>
    <w:rPr>
      <w:rFonts w:ascii="Times New Roman" w:hAnsi="Times New Roman" w:eastAsia="宋体" w:cs="Times New Roman"/>
      <w:szCs w:val="24"/>
    </w:rPr>
  </w:style>
  <w:style w:type="character" w:customStyle="1" w:styleId="167">
    <w:name w:val="HTML 预设格式 Char2"/>
    <w:semiHidden/>
    <w:qFormat/>
    <w:uiPriority w:val="99"/>
    <w:rPr>
      <w:rFonts w:ascii="Courier New" w:hAnsi="Courier New" w:eastAsia="宋体" w:cs="Courier New"/>
      <w:sz w:val="20"/>
      <w:szCs w:val="20"/>
    </w:rPr>
  </w:style>
  <w:style w:type="character" w:customStyle="1" w:styleId="168">
    <w:name w:val="批注主题 字符"/>
    <w:link w:val="40"/>
    <w:semiHidden/>
    <w:qFormat/>
    <w:uiPriority w:val="0"/>
    <w:rPr>
      <w:rFonts w:eastAsia="宋体"/>
      <w:b/>
      <w:bCs/>
      <w:szCs w:val="24"/>
    </w:rPr>
  </w:style>
  <w:style w:type="paragraph" w:customStyle="1" w:styleId="169">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069D70-0584-4A2F-9832-E7403B85DF61}">
  <ds:schemaRefs/>
</ds:datastoreItem>
</file>

<file path=docProps/app.xml><?xml version="1.0" encoding="utf-8"?>
<Properties xmlns="http://schemas.openxmlformats.org/officeDocument/2006/extended-properties" xmlns:vt="http://schemas.openxmlformats.org/officeDocument/2006/docPropsVTypes">
  <Template>Normal</Template>
  <Pages>36</Pages>
  <Words>19387</Words>
  <Characters>20056</Characters>
  <Lines>162</Lines>
  <Paragraphs>45</Paragraphs>
  <TotalTime>13</TotalTime>
  <ScaleCrop>false</ScaleCrop>
  <LinksUpToDate>false</LinksUpToDate>
  <CharactersWithSpaces>20141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2024-12-26T01:23:00Z</dcterms:created>
  <dc:creator>章梁斌</dc:creator>
  <cp:lastModifiedBy>丽娟</cp:lastModifiedBy>
  <cp:lastPrinted>2024-06-17T09:06:00Z</cp:lastPrinted>
  <dcterms:modified xsi:type="dcterms:W3CDTF">2025-02-28T03:39:06Z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4EF3A7B357474A1B8C73E8725CA9E674_13</vt:lpwstr>
  </property>
  <property fmtid="{D5CDD505-2E9C-101B-9397-08002B2CF9AE}" pid="4" name="KSOTemplateDocerSaveRecord">
    <vt:lpwstr>eyJoZGlkIjoiMjQ4N2U5ZTEyYTZiN2E1YjY1MDU0ZDhiMGFjMGQ5YzQiLCJ1c2VySWQiOiI3MTc0NjgzMjQifQ==</vt:lpwstr>
  </property>
</Properties>
</file>